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BF1E4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7"/>
          <w:szCs w:val="27"/>
          <w:bdr w:val="none" w:color="auto" w:sz="0" w:space="0"/>
          <w:shd w:val="clear" w:fill="FFFFFF"/>
        </w:rPr>
        <w:t>北京蓝洁利德环境科技有限公司管理人</w:t>
      </w:r>
      <w:r>
        <w:rPr>
          <w:rFonts w:hint="eastAsia" w:ascii="宋体" w:hAnsi="宋体" w:eastAsia="宋体" w:cs="宋体"/>
          <w:color w:val="FF0000"/>
          <w:sz w:val="28"/>
          <w:szCs w:val="28"/>
          <w:bdr w:val="none" w:color="auto" w:sz="0" w:space="0"/>
          <w:shd w:val="clear" w:fill="FFFFFF"/>
        </w:rPr>
        <w:t>将于2025年6月2日10时至2025年6月3日10时止（延时除外）</w:t>
      </w:r>
      <w:r>
        <w:rPr>
          <w:rFonts w:hint="eastAsia" w:ascii="宋体" w:hAnsi="宋体" w:eastAsia="宋体" w:cs="宋体"/>
          <w:color w:val="000000"/>
          <w:sz w:val="28"/>
          <w:szCs w:val="28"/>
          <w:bdr w:val="none" w:color="auto" w:sz="0" w:space="0"/>
          <w:shd w:val="clear" w:fill="FFFFFF"/>
        </w:rPr>
        <w:t>在京东拍卖破产强清平台（</w:t>
      </w:r>
      <w:r>
        <w:rPr>
          <w:rFonts w:hint="eastAsia" w:ascii="宋体" w:hAnsi="宋体" w:eastAsia="宋体" w:cs="宋体"/>
          <w:color w:val="FF0000"/>
          <w:sz w:val="28"/>
          <w:szCs w:val="28"/>
          <w:bdr w:val="none" w:color="auto" w:sz="0" w:space="0"/>
          <w:shd w:val="clear" w:fill="FFFFFF"/>
        </w:rPr>
        <w:t>处置单位：北京蓝洁利德环境科技有限公司管理人，监督单位：北京市第一中级人民法院</w:t>
      </w:r>
      <w:r>
        <w:rPr>
          <w:rFonts w:hint="eastAsia" w:ascii="宋体" w:hAnsi="宋体" w:eastAsia="宋体" w:cs="宋体"/>
          <w:color w:val="000000"/>
          <w:sz w:val="27"/>
          <w:szCs w:val="27"/>
          <w:bdr w:val="none" w:color="auto" w:sz="0" w:space="0"/>
          <w:shd w:val="clear" w:fill="FFFFFF"/>
        </w:rPr>
        <w:t>，网址：https://auction.jd.com/bankrupt.html）进行公开拍卖活动，现公告如下：</w:t>
      </w:r>
    </w:p>
    <w:p w14:paraId="46A1CA9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一、拍卖标的</w:t>
      </w:r>
    </w:p>
    <w:p w14:paraId="694F108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北京蓝洁利德环境科技有限公司对外应收债权9笔，具体如下：</w:t>
      </w:r>
    </w:p>
    <w:tbl>
      <w:tblPr>
        <w:tblW w:w="4998"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autofit"/>
        <w:tblCellMar>
          <w:top w:w="15" w:type="dxa"/>
          <w:left w:w="15" w:type="dxa"/>
          <w:bottom w:w="15" w:type="dxa"/>
          <w:right w:w="15" w:type="dxa"/>
        </w:tblCellMar>
      </w:tblPr>
      <w:tblGrid>
        <w:gridCol w:w="918"/>
        <w:gridCol w:w="4695"/>
        <w:gridCol w:w="2840"/>
      </w:tblGrid>
      <w:tr w14:paraId="6CF0F29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15" w:type="dxa"/>
            <w:left w:w="15" w:type="dxa"/>
            <w:bottom w:w="15" w:type="dxa"/>
            <w:right w:w="15" w:type="dxa"/>
          </w:tblCellMar>
        </w:tblPrEx>
        <w:trPr>
          <w:trHeight w:val="90" w:hRule="atLeast"/>
        </w:trPr>
        <w:tc>
          <w:tcPr>
            <w:tcW w:w="543"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434C189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Style w:val="5"/>
                <w:rFonts w:ascii="仿宋" w:hAnsi="仿宋" w:eastAsia="仿宋" w:cs="仿宋"/>
                <w:color w:val="000000"/>
                <w:sz w:val="18"/>
                <w:szCs w:val="18"/>
                <w:bdr w:val="none" w:color="auto" w:sz="0" w:space="0"/>
              </w:rPr>
              <w:t>序号</w:t>
            </w:r>
          </w:p>
        </w:tc>
        <w:tc>
          <w:tcPr>
            <w:tcW w:w="2776"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626CDC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Style w:val="5"/>
                <w:rFonts w:hint="eastAsia" w:ascii="仿宋" w:hAnsi="仿宋" w:eastAsia="仿宋" w:cs="仿宋"/>
                <w:color w:val="000000"/>
                <w:sz w:val="18"/>
                <w:szCs w:val="18"/>
                <w:bdr w:val="none" w:color="auto" w:sz="0" w:space="0"/>
              </w:rPr>
              <w:t>债务人名称</w:t>
            </w:r>
          </w:p>
        </w:tc>
        <w:tc>
          <w:tcPr>
            <w:tcW w:w="1679"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30824CB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Style w:val="5"/>
                <w:rFonts w:hint="eastAsia" w:ascii="仿宋" w:hAnsi="仿宋" w:eastAsia="仿宋" w:cs="仿宋"/>
                <w:color w:val="000000"/>
                <w:sz w:val="18"/>
                <w:szCs w:val="18"/>
                <w:bdr w:val="none" w:color="auto" w:sz="0" w:space="0"/>
              </w:rPr>
              <w:t>账面债权金额（元）</w:t>
            </w:r>
          </w:p>
        </w:tc>
      </w:tr>
      <w:tr w14:paraId="37A61D0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15" w:type="dxa"/>
            <w:left w:w="15" w:type="dxa"/>
            <w:bottom w:w="15" w:type="dxa"/>
            <w:right w:w="15" w:type="dxa"/>
          </w:tblCellMar>
        </w:tblPrEx>
        <w:trPr>
          <w:trHeight w:val="90" w:hRule="atLeast"/>
        </w:trPr>
        <w:tc>
          <w:tcPr>
            <w:tcW w:w="543"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463C66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Fonts w:hint="eastAsia" w:ascii="仿宋" w:hAnsi="仿宋" w:eastAsia="仿宋" w:cs="仿宋"/>
                <w:color w:val="000000"/>
                <w:sz w:val="18"/>
                <w:szCs w:val="18"/>
                <w:bdr w:val="none" w:color="auto" w:sz="0" w:space="0"/>
              </w:rPr>
              <w:t>1</w:t>
            </w:r>
          </w:p>
        </w:tc>
        <w:tc>
          <w:tcPr>
            <w:tcW w:w="2776"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3039DD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Fonts w:hint="eastAsia" w:ascii="仿宋" w:hAnsi="仿宋" w:eastAsia="仿宋" w:cs="仿宋"/>
                <w:color w:val="000000"/>
                <w:sz w:val="18"/>
                <w:szCs w:val="18"/>
                <w:bdr w:val="none" w:color="auto" w:sz="0" w:space="0"/>
              </w:rPr>
              <w:t>北京建工长竹建设工程有限公司</w:t>
            </w:r>
          </w:p>
        </w:tc>
        <w:tc>
          <w:tcPr>
            <w:tcW w:w="1679"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577BA7E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Fonts w:hint="eastAsia" w:ascii="仿宋" w:hAnsi="仿宋" w:eastAsia="仿宋" w:cs="仿宋"/>
                <w:color w:val="000000"/>
                <w:sz w:val="18"/>
                <w:szCs w:val="18"/>
                <w:bdr w:val="none" w:color="auto" w:sz="0" w:space="0"/>
              </w:rPr>
              <w:t>22000.00</w:t>
            </w:r>
          </w:p>
        </w:tc>
      </w:tr>
      <w:tr w14:paraId="4AA2EB1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15" w:type="dxa"/>
            <w:left w:w="15" w:type="dxa"/>
            <w:bottom w:w="15" w:type="dxa"/>
            <w:right w:w="15" w:type="dxa"/>
          </w:tblCellMar>
        </w:tblPrEx>
        <w:trPr>
          <w:trHeight w:val="90" w:hRule="atLeast"/>
        </w:trPr>
        <w:tc>
          <w:tcPr>
            <w:tcW w:w="543"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6343E0B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Fonts w:hint="eastAsia" w:ascii="仿宋" w:hAnsi="仿宋" w:eastAsia="仿宋" w:cs="仿宋"/>
                <w:color w:val="000000"/>
                <w:sz w:val="18"/>
                <w:szCs w:val="18"/>
                <w:bdr w:val="none" w:color="auto" w:sz="0" w:space="0"/>
              </w:rPr>
              <w:t>2</w:t>
            </w:r>
          </w:p>
        </w:tc>
        <w:tc>
          <w:tcPr>
            <w:tcW w:w="2776"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32F5E44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Fonts w:hint="eastAsia" w:ascii="仿宋" w:hAnsi="仿宋" w:eastAsia="仿宋" w:cs="仿宋"/>
                <w:color w:val="000000"/>
                <w:sz w:val="18"/>
                <w:szCs w:val="18"/>
                <w:bdr w:val="none" w:color="auto" w:sz="0" w:space="0"/>
              </w:rPr>
              <w:t>山东海利尔化工有限公司</w:t>
            </w:r>
          </w:p>
        </w:tc>
        <w:tc>
          <w:tcPr>
            <w:tcW w:w="1679"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0B8771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Fonts w:hint="eastAsia" w:ascii="仿宋" w:hAnsi="仿宋" w:eastAsia="仿宋" w:cs="仿宋"/>
                <w:color w:val="000000"/>
                <w:sz w:val="18"/>
                <w:szCs w:val="18"/>
                <w:bdr w:val="none" w:color="auto" w:sz="0" w:space="0"/>
              </w:rPr>
              <w:t>90180.40</w:t>
            </w:r>
          </w:p>
        </w:tc>
      </w:tr>
      <w:tr w14:paraId="2A65E8A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15" w:type="dxa"/>
            <w:left w:w="15" w:type="dxa"/>
            <w:bottom w:w="15" w:type="dxa"/>
            <w:right w:w="15" w:type="dxa"/>
          </w:tblCellMar>
        </w:tblPrEx>
        <w:trPr>
          <w:trHeight w:val="90" w:hRule="atLeast"/>
        </w:trPr>
        <w:tc>
          <w:tcPr>
            <w:tcW w:w="543"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25EAE40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Fonts w:hint="eastAsia" w:ascii="仿宋" w:hAnsi="仿宋" w:eastAsia="仿宋" w:cs="仿宋"/>
                <w:color w:val="000000"/>
                <w:sz w:val="18"/>
                <w:szCs w:val="18"/>
                <w:bdr w:val="none" w:color="auto" w:sz="0" w:space="0"/>
              </w:rPr>
              <w:t>3</w:t>
            </w:r>
          </w:p>
        </w:tc>
        <w:tc>
          <w:tcPr>
            <w:tcW w:w="2776"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6B8137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Fonts w:hint="eastAsia" w:ascii="仿宋" w:hAnsi="仿宋" w:eastAsia="仿宋" w:cs="仿宋"/>
                <w:color w:val="000000"/>
                <w:sz w:val="18"/>
                <w:szCs w:val="18"/>
                <w:bdr w:val="none" w:color="auto" w:sz="0" w:space="0"/>
              </w:rPr>
              <w:t>北京金隅红树林环保技术有限责任公司</w:t>
            </w:r>
          </w:p>
        </w:tc>
        <w:tc>
          <w:tcPr>
            <w:tcW w:w="1679"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41993DF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Fonts w:hint="eastAsia" w:ascii="仿宋" w:hAnsi="仿宋" w:eastAsia="仿宋" w:cs="仿宋"/>
                <w:color w:val="000000"/>
                <w:sz w:val="18"/>
                <w:szCs w:val="18"/>
                <w:bdr w:val="none" w:color="auto" w:sz="0" w:space="0"/>
              </w:rPr>
              <w:t>1308.03</w:t>
            </w:r>
          </w:p>
        </w:tc>
      </w:tr>
      <w:tr w14:paraId="4E882FE0">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15" w:type="dxa"/>
            <w:left w:w="15" w:type="dxa"/>
            <w:bottom w:w="15" w:type="dxa"/>
            <w:right w:w="15" w:type="dxa"/>
          </w:tblCellMar>
        </w:tblPrEx>
        <w:trPr>
          <w:trHeight w:val="90" w:hRule="atLeast"/>
        </w:trPr>
        <w:tc>
          <w:tcPr>
            <w:tcW w:w="543"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689A73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Fonts w:hint="eastAsia" w:ascii="仿宋" w:hAnsi="仿宋" w:eastAsia="仿宋" w:cs="仿宋"/>
                <w:color w:val="000000"/>
                <w:sz w:val="18"/>
                <w:szCs w:val="18"/>
                <w:bdr w:val="none" w:color="auto" w:sz="0" w:space="0"/>
              </w:rPr>
              <w:t>4</w:t>
            </w:r>
          </w:p>
        </w:tc>
        <w:tc>
          <w:tcPr>
            <w:tcW w:w="2776"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5656CB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Fonts w:hint="eastAsia" w:ascii="仿宋" w:hAnsi="仿宋" w:eastAsia="仿宋" w:cs="仿宋"/>
                <w:color w:val="000000"/>
                <w:sz w:val="18"/>
                <w:szCs w:val="18"/>
                <w:bdr w:val="none" w:color="auto" w:sz="0" w:space="0"/>
              </w:rPr>
              <w:t>山西晋海绿洲环保科技有限公司</w:t>
            </w:r>
          </w:p>
        </w:tc>
        <w:tc>
          <w:tcPr>
            <w:tcW w:w="1679"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226E5C4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Fonts w:hint="eastAsia" w:ascii="仿宋" w:hAnsi="仿宋" w:eastAsia="仿宋" w:cs="仿宋"/>
                <w:color w:val="000000"/>
                <w:sz w:val="18"/>
                <w:szCs w:val="18"/>
                <w:bdr w:val="none" w:color="auto" w:sz="0" w:space="0"/>
              </w:rPr>
              <w:t>92687.00</w:t>
            </w:r>
          </w:p>
        </w:tc>
      </w:tr>
      <w:tr w14:paraId="57CEEE3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15" w:type="dxa"/>
            <w:left w:w="15" w:type="dxa"/>
            <w:bottom w:w="15" w:type="dxa"/>
            <w:right w:w="15" w:type="dxa"/>
          </w:tblCellMar>
        </w:tblPrEx>
        <w:trPr>
          <w:trHeight w:val="90" w:hRule="atLeast"/>
        </w:trPr>
        <w:tc>
          <w:tcPr>
            <w:tcW w:w="543"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1699620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Fonts w:hint="eastAsia" w:ascii="仿宋" w:hAnsi="仿宋" w:eastAsia="仿宋" w:cs="仿宋"/>
                <w:color w:val="000000"/>
                <w:sz w:val="18"/>
                <w:szCs w:val="18"/>
                <w:bdr w:val="none" w:color="auto" w:sz="0" w:space="0"/>
              </w:rPr>
              <w:t>5</w:t>
            </w:r>
          </w:p>
        </w:tc>
        <w:tc>
          <w:tcPr>
            <w:tcW w:w="2776"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622112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Fonts w:hint="eastAsia" w:ascii="仿宋" w:hAnsi="仿宋" w:eastAsia="仿宋" w:cs="仿宋"/>
                <w:color w:val="000000"/>
                <w:sz w:val="18"/>
                <w:szCs w:val="18"/>
                <w:bdr w:val="none" w:color="auto" w:sz="0" w:space="0"/>
              </w:rPr>
              <w:t>山东霖润新能源科技有限公司</w:t>
            </w:r>
          </w:p>
        </w:tc>
        <w:tc>
          <w:tcPr>
            <w:tcW w:w="1679"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514E225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Fonts w:hint="eastAsia" w:ascii="仿宋" w:hAnsi="仿宋" w:eastAsia="仿宋" w:cs="仿宋"/>
                <w:color w:val="000000"/>
                <w:sz w:val="18"/>
                <w:szCs w:val="18"/>
                <w:bdr w:val="none" w:color="auto" w:sz="0" w:space="0"/>
              </w:rPr>
              <w:t>6524.55</w:t>
            </w:r>
          </w:p>
        </w:tc>
      </w:tr>
      <w:tr w14:paraId="6B5A29A0">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15" w:type="dxa"/>
            <w:left w:w="15" w:type="dxa"/>
            <w:bottom w:w="15" w:type="dxa"/>
            <w:right w:w="15" w:type="dxa"/>
          </w:tblCellMar>
        </w:tblPrEx>
        <w:trPr>
          <w:trHeight w:val="90" w:hRule="atLeast"/>
        </w:trPr>
        <w:tc>
          <w:tcPr>
            <w:tcW w:w="543"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0D4BC1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Fonts w:hint="eastAsia" w:ascii="仿宋" w:hAnsi="仿宋" w:eastAsia="仿宋" w:cs="仿宋"/>
                <w:color w:val="000000"/>
                <w:sz w:val="18"/>
                <w:szCs w:val="18"/>
                <w:bdr w:val="none" w:color="auto" w:sz="0" w:space="0"/>
              </w:rPr>
              <w:t>6</w:t>
            </w:r>
          </w:p>
        </w:tc>
        <w:tc>
          <w:tcPr>
            <w:tcW w:w="2776"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440637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Fonts w:hint="eastAsia" w:ascii="仿宋" w:hAnsi="仿宋" w:eastAsia="仿宋" w:cs="仿宋"/>
                <w:color w:val="000000"/>
                <w:sz w:val="18"/>
                <w:szCs w:val="18"/>
                <w:bdr w:val="none" w:color="auto" w:sz="0" w:space="0"/>
              </w:rPr>
              <w:t>河北风华环保科技股份有限公司</w:t>
            </w:r>
          </w:p>
        </w:tc>
        <w:tc>
          <w:tcPr>
            <w:tcW w:w="1679"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3DE4C6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Fonts w:hint="eastAsia" w:ascii="仿宋" w:hAnsi="仿宋" w:eastAsia="仿宋" w:cs="仿宋"/>
                <w:color w:val="000000"/>
                <w:sz w:val="18"/>
                <w:szCs w:val="18"/>
                <w:bdr w:val="none" w:color="auto" w:sz="0" w:space="0"/>
              </w:rPr>
              <w:t>44200.00</w:t>
            </w:r>
          </w:p>
        </w:tc>
      </w:tr>
      <w:tr w14:paraId="2ABB71E0">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15" w:type="dxa"/>
            <w:left w:w="15" w:type="dxa"/>
            <w:bottom w:w="15" w:type="dxa"/>
            <w:right w:w="15" w:type="dxa"/>
          </w:tblCellMar>
        </w:tblPrEx>
        <w:trPr>
          <w:trHeight w:val="90" w:hRule="atLeast"/>
        </w:trPr>
        <w:tc>
          <w:tcPr>
            <w:tcW w:w="543"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3A6DFA6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Fonts w:hint="eastAsia" w:ascii="仿宋" w:hAnsi="仿宋" w:eastAsia="仿宋" w:cs="仿宋"/>
                <w:color w:val="000000"/>
                <w:sz w:val="18"/>
                <w:szCs w:val="18"/>
                <w:bdr w:val="none" w:color="auto" w:sz="0" w:space="0"/>
              </w:rPr>
              <w:t>7</w:t>
            </w:r>
          </w:p>
        </w:tc>
        <w:tc>
          <w:tcPr>
            <w:tcW w:w="2776"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3E8CF7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Fonts w:hint="eastAsia" w:ascii="仿宋" w:hAnsi="仿宋" w:eastAsia="仿宋" w:cs="仿宋"/>
                <w:color w:val="000000"/>
                <w:sz w:val="18"/>
                <w:szCs w:val="18"/>
                <w:bdr w:val="none" w:color="auto" w:sz="0" w:space="0"/>
              </w:rPr>
              <w:t>中国重汽集团希尔博（山东）装备有限公司</w:t>
            </w:r>
          </w:p>
        </w:tc>
        <w:tc>
          <w:tcPr>
            <w:tcW w:w="1679"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155DFC7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Fonts w:hint="eastAsia" w:ascii="仿宋" w:hAnsi="仿宋" w:eastAsia="仿宋" w:cs="仿宋"/>
                <w:color w:val="000000"/>
                <w:sz w:val="18"/>
                <w:szCs w:val="18"/>
                <w:bdr w:val="none" w:color="auto" w:sz="0" w:space="0"/>
              </w:rPr>
              <w:t>3000.00</w:t>
            </w:r>
          </w:p>
        </w:tc>
      </w:tr>
      <w:tr w14:paraId="116EE38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15" w:type="dxa"/>
            <w:left w:w="15" w:type="dxa"/>
            <w:bottom w:w="15" w:type="dxa"/>
            <w:right w:w="15" w:type="dxa"/>
          </w:tblCellMar>
        </w:tblPrEx>
        <w:trPr>
          <w:trHeight w:val="90" w:hRule="atLeast"/>
        </w:trPr>
        <w:tc>
          <w:tcPr>
            <w:tcW w:w="543"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6DAD85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Fonts w:hint="eastAsia" w:ascii="仿宋" w:hAnsi="仿宋" w:eastAsia="仿宋" w:cs="仿宋"/>
                <w:color w:val="000000"/>
                <w:sz w:val="18"/>
                <w:szCs w:val="18"/>
                <w:bdr w:val="none" w:color="auto" w:sz="0" w:space="0"/>
              </w:rPr>
              <w:t>8</w:t>
            </w:r>
          </w:p>
        </w:tc>
        <w:tc>
          <w:tcPr>
            <w:tcW w:w="2776"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40E29A4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Fonts w:hint="eastAsia" w:ascii="仿宋" w:hAnsi="仿宋" w:eastAsia="仿宋" w:cs="仿宋"/>
                <w:color w:val="000000"/>
                <w:sz w:val="18"/>
                <w:szCs w:val="18"/>
                <w:bdr w:val="none" w:color="auto" w:sz="0" w:space="0"/>
              </w:rPr>
              <w:t>北京东南汽车部件有限公司</w:t>
            </w:r>
          </w:p>
        </w:tc>
        <w:tc>
          <w:tcPr>
            <w:tcW w:w="1679"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0EA87F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Fonts w:hint="eastAsia" w:ascii="仿宋" w:hAnsi="仿宋" w:eastAsia="仿宋" w:cs="仿宋"/>
                <w:color w:val="000000"/>
                <w:sz w:val="18"/>
                <w:szCs w:val="18"/>
                <w:bdr w:val="none" w:color="auto" w:sz="0" w:space="0"/>
              </w:rPr>
              <w:t>44306.40</w:t>
            </w:r>
          </w:p>
        </w:tc>
      </w:tr>
      <w:tr w14:paraId="3FA5E85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15" w:type="dxa"/>
            <w:left w:w="15" w:type="dxa"/>
            <w:bottom w:w="15" w:type="dxa"/>
            <w:right w:w="15" w:type="dxa"/>
          </w:tblCellMar>
        </w:tblPrEx>
        <w:trPr>
          <w:trHeight w:val="90" w:hRule="atLeast"/>
        </w:trPr>
        <w:tc>
          <w:tcPr>
            <w:tcW w:w="543"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37E13BB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Fonts w:hint="eastAsia" w:ascii="仿宋" w:hAnsi="仿宋" w:eastAsia="仿宋" w:cs="仿宋"/>
                <w:color w:val="000000"/>
                <w:sz w:val="18"/>
                <w:szCs w:val="18"/>
                <w:bdr w:val="none" w:color="auto" w:sz="0" w:space="0"/>
              </w:rPr>
              <w:t>9</w:t>
            </w:r>
          </w:p>
        </w:tc>
        <w:tc>
          <w:tcPr>
            <w:tcW w:w="2776"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378DF96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Fonts w:hint="eastAsia" w:ascii="仿宋" w:hAnsi="仿宋" w:eastAsia="仿宋" w:cs="仿宋"/>
                <w:color w:val="000000"/>
                <w:sz w:val="18"/>
                <w:szCs w:val="18"/>
                <w:bdr w:val="none" w:color="auto" w:sz="0" w:space="0"/>
              </w:rPr>
              <w:t>西华首创环保能源有限公司</w:t>
            </w:r>
          </w:p>
        </w:tc>
        <w:tc>
          <w:tcPr>
            <w:tcW w:w="1679"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7AC8FA0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bottom"/>
              <w:rPr>
                <w:color w:val="000000"/>
              </w:rPr>
            </w:pPr>
            <w:r>
              <w:rPr>
                <w:rFonts w:hint="eastAsia" w:ascii="仿宋" w:hAnsi="仿宋" w:eastAsia="仿宋" w:cs="仿宋"/>
                <w:color w:val="000000"/>
                <w:sz w:val="18"/>
                <w:szCs w:val="18"/>
                <w:bdr w:val="none" w:color="auto" w:sz="0" w:space="0"/>
              </w:rPr>
              <w:t>13982.67</w:t>
            </w:r>
          </w:p>
        </w:tc>
      </w:tr>
    </w:tbl>
    <w:p w14:paraId="4AED1FF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起拍价：</w:t>
      </w:r>
      <w:r>
        <w:rPr>
          <w:rFonts w:hint="eastAsia" w:ascii="宋体" w:hAnsi="宋体" w:eastAsia="宋体" w:cs="宋体"/>
          <w:color w:val="FF0000"/>
          <w:sz w:val="28"/>
          <w:szCs w:val="28"/>
          <w:bdr w:val="none" w:color="auto" w:sz="0" w:space="0"/>
          <w:shd w:val="clear" w:fill="FFFFFF"/>
        </w:rPr>
        <w:t>89092.93</w:t>
      </w:r>
      <w:r>
        <w:rPr>
          <w:rFonts w:hint="eastAsia" w:ascii="宋体" w:hAnsi="宋体" w:eastAsia="宋体" w:cs="宋体"/>
          <w:color w:val="000000"/>
          <w:sz w:val="28"/>
          <w:szCs w:val="28"/>
          <w:bdr w:val="none" w:color="auto" w:sz="0" w:space="0"/>
          <w:shd w:val="clear" w:fill="FFFFFF"/>
        </w:rPr>
        <w:t>元</w:t>
      </w:r>
    </w:p>
    <w:p w14:paraId="2FF3B17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保证金：</w:t>
      </w:r>
      <w:r>
        <w:rPr>
          <w:rFonts w:hint="eastAsia" w:ascii="宋体" w:hAnsi="宋体" w:eastAsia="宋体" w:cs="宋体"/>
          <w:color w:val="FF0000"/>
          <w:sz w:val="28"/>
          <w:szCs w:val="28"/>
          <w:bdr w:val="none" w:color="auto" w:sz="0" w:space="0"/>
          <w:shd w:val="clear" w:fill="FFFFFF"/>
        </w:rPr>
        <w:t>10000</w:t>
      </w:r>
      <w:r>
        <w:rPr>
          <w:rFonts w:hint="eastAsia" w:ascii="宋体" w:hAnsi="宋体" w:eastAsia="宋体" w:cs="宋体"/>
          <w:color w:val="000000"/>
          <w:sz w:val="28"/>
          <w:szCs w:val="28"/>
          <w:bdr w:val="none" w:color="auto" w:sz="0" w:space="0"/>
          <w:shd w:val="clear" w:fill="FFFFFF"/>
        </w:rPr>
        <w:t>元</w:t>
      </w:r>
    </w:p>
    <w:p w14:paraId="367C7B6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增价幅度：</w:t>
      </w:r>
      <w:r>
        <w:rPr>
          <w:rFonts w:hint="eastAsia" w:ascii="宋体" w:hAnsi="宋体" w:eastAsia="宋体" w:cs="宋体"/>
          <w:color w:val="FF0000"/>
          <w:sz w:val="28"/>
          <w:szCs w:val="28"/>
          <w:bdr w:val="none" w:color="auto" w:sz="0" w:space="0"/>
          <w:shd w:val="clear" w:fill="FFFFFF"/>
        </w:rPr>
        <w:t>1000</w:t>
      </w:r>
      <w:r>
        <w:rPr>
          <w:rFonts w:hint="eastAsia" w:ascii="宋体" w:hAnsi="宋体" w:eastAsia="宋体" w:cs="宋体"/>
          <w:color w:val="000000"/>
          <w:sz w:val="28"/>
          <w:szCs w:val="28"/>
          <w:bdr w:val="none" w:color="auto" w:sz="0" w:space="0"/>
          <w:shd w:val="clear" w:fill="FFFFFF"/>
        </w:rPr>
        <w:t>元及其整数倍</w:t>
      </w:r>
    </w:p>
    <w:p w14:paraId="19136D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270" w:lineRule="atLeast"/>
        <w:ind w:left="0" w:right="0" w:firstLine="480"/>
        <w:jc w:val="both"/>
        <w:rPr>
          <w:color w:val="000000"/>
        </w:rPr>
      </w:pPr>
      <w:r>
        <w:rPr>
          <w:rStyle w:val="5"/>
          <w:rFonts w:hint="eastAsia" w:ascii="宋体" w:hAnsi="宋体" w:eastAsia="宋体" w:cs="宋体"/>
          <w:color w:val="000000"/>
          <w:sz w:val="24"/>
          <w:szCs w:val="24"/>
          <w:bdr w:val="none" w:color="auto" w:sz="0" w:space="0"/>
        </w:rPr>
        <w:t>标的物特别情况说明：本次拍卖标的物可能存在的瑕疵包括但不限于下列一项或多项：</w:t>
      </w:r>
    </w:p>
    <w:p w14:paraId="2B5766D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both"/>
        <w:rPr>
          <w:color w:val="000000"/>
        </w:rPr>
      </w:pPr>
      <w:r>
        <w:rPr>
          <w:rFonts w:hint="eastAsia" w:ascii="宋体" w:hAnsi="宋体" w:eastAsia="宋体" w:cs="宋体"/>
          <w:color w:val="FF0000"/>
          <w:sz w:val="24"/>
          <w:szCs w:val="24"/>
          <w:bdr w:val="none" w:color="auto" w:sz="0" w:space="0"/>
          <w:shd w:val="clear" w:fill="FFFFFF"/>
        </w:rPr>
        <w:t>1、管理人未接管到对外应收债权的形成文件、完整的支付凭证，债权可能全部或部分无效、不存在、无法追回、真实性存在瑕疵等；</w:t>
      </w:r>
    </w:p>
    <w:p w14:paraId="6C7B640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both"/>
        <w:rPr>
          <w:color w:val="000000"/>
        </w:rPr>
      </w:pPr>
      <w:r>
        <w:rPr>
          <w:rFonts w:hint="eastAsia" w:ascii="宋体" w:hAnsi="宋体" w:eastAsia="宋体" w:cs="宋体"/>
          <w:color w:val="FF0000"/>
          <w:sz w:val="24"/>
          <w:szCs w:val="24"/>
          <w:bdr w:val="none" w:color="auto" w:sz="0" w:space="0"/>
          <w:shd w:val="clear" w:fill="FFFFFF"/>
        </w:rPr>
        <w:t>2、对外应收债权可能存在已超过诉讼时效或其他相关的法定期间或其他原因已部分消灭，以及存在其他因合同约定、债务人实际已履行、发票未开、被抵销、撤销以及其他原因或纠纷等导致无法收回、产生损失的风险；</w:t>
      </w:r>
    </w:p>
    <w:p w14:paraId="258642C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both"/>
        <w:rPr>
          <w:color w:val="000000"/>
        </w:rPr>
      </w:pPr>
      <w:r>
        <w:rPr>
          <w:rFonts w:hint="eastAsia" w:ascii="宋体" w:hAnsi="宋体" w:eastAsia="宋体" w:cs="宋体"/>
          <w:color w:val="FF0000"/>
          <w:sz w:val="24"/>
          <w:szCs w:val="24"/>
          <w:bdr w:val="none" w:color="auto" w:sz="0" w:space="0"/>
          <w:shd w:val="clear" w:fill="FFFFFF"/>
        </w:rPr>
        <w:t>3、债权可能存在因不符合约定的付款条件等情形导致债权存在争议、无法收回、产生损失的风险；</w:t>
      </w:r>
    </w:p>
    <w:p w14:paraId="69A0CC4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both"/>
        <w:rPr>
          <w:color w:val="000000"/>
        </w:rPr>
      </w:pPr>
      <w:r>
        <w:rPr>
          <w:rFonts w:hint="eastAsia" w:ascii="宋体" w:hAnsi="宋体" w:eastAsia="宋体" w:cs="宋体"/>
          <w:color w:val="FF0000"/>
          <w:sz w:val="24"/>
          <w:szCs w:val="24"/>
          <w:bdr w:val="none" w:color="auto" w:sz="0" w:space="0"/>
          <w:shd w:val="clear" w:fill="FFFFFF"/>
        </w:rPr>
        <w:t>4、与债权相关的债务人或担保人或第三方可能存在破产、被解散、被注销、被撤销、被关闭、被吊销、歇业、下落不明以及其他主体存续性瑕疵的情形；</w:t>
      </w:r>
    </w:p>
    <w:p w14:paraId="57E39E3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both"/>
        <w:rPr>
          <w:color w:val="000000"/>
        </w:rPr>
      </w:pPr>
      <w:r>
        <w:rPr>
          <w:rFonts w:hint="eastAsia" w:ascii="宋体" w:hAnsi="宋体" w:eastAsia="宋体" w:cs="宋体"/>
          <w:color w:val="FF0000"/>
          <w:sz w:val="24"/>
          <w:szCs w:val="24"/>
          <w:bdr w:val="none" w:color="auto" w:sz="0" w:space="0"/>
          <w:shd w:val="clear" w:fill="FFFFFF"/>
        </w:rPr>
        <w:t>5、对外应收债权可能存在因其他原因而未成立、未生效、无效、被撤销、已部分（或全部）消灭或不能被强制执行的情形；</w:t>
      </w:r>
    </w:p>
    <w:p w14:paraId="496068E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both"/>
        <w:rPr>
          <w:color w:val="000000"/>
        </w:rPr>
      </w:pPr>
      <w:r>
        <w:rPr>
          <w:rFonts w:hint="eastAsia" w:ascii="宋体" w:hAnsi="宋体" w:eastAsia="宋体" w:cs="宋体"/>
          <w:color w:val="FF0000"/>
          <w:sz w:val="24"/>
          <w:szCs w:val="24"/>
          <w:bdr w:val="none" w:color="auto" w:sz="0" w:space="0"/>
          <w:shd w:val="clear" w:fill="FFFFFF"/>
        </w:rPr>
        <w:t>6、与债权有关的证据材料（包括但不限于合同、结算单、财务凭证、法律文书等）存在不真实、不完整、原件缺失、不存在或内容冲突等导致债权存在争议、无法收回、产生损失的可能，从而影响债权成立或权利行使；债权可能因相关人员已达成的相关免责协议导致丧失权利基础；</w:t>
      </w:r>
    </w:p>
    <w:p w14:paraId="118C6AA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both"/>
        <w:rPr>
          <w:color w:val="000000"/>
        </w:rPr>
      </w:pPr>
      <w:r>
        <w:rPr>
          <w:rFonts w:hint="eastAsia" w:ascii="宋体" w:hAnsi="宋体" w:eastAsia="宋体" w:cs="宋体"/>
          <w:color w:val="FF0000"/>
          <w:sz w:val="24"/>
          <w:szCs w:val="24"/>
          <w:bdr w:val="none" w:color="auto" w:sz="0" w:space="0"/>
          <w:shd w:val="clear" w:fill="FFFFFF"/>
        </w:rPr>
        <w:t>7、债权文件可能存在因与债权文件清单记载不一致导致债权存在争议、无法收回、产生损失等，可能存在已经被其他债权人或第三人收取的情形风险；</w:t>
      </w:r>
    </w:p>
    <w:p w14:paraId="276E4D0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both"/>
        <w:rPr>
          <w:color w:val="000000"/>
        </w:rPr>
      </w:pPr>
      <w:r>
        <w:rPr>
          <w:rFonts w:hint="eastAsia" w:ascii="宋体" w:hAnsi="宋体" w:eastAsia="宋体" w:cs="宋体"/>
          <w:color w:val="FF0000"/>
          <w:sz w:val="24"/>
          <w:szCs w:val="24"/>
          <w:bdr w:val="none" w:color="auto" w:sz="0" w:space="0"/>
          <w:shd w:val="clear" w:fill="FFFFFF"/>
        </w:rPr>
        <w:t>8、就债权提起诉讼可能存在反诉要求赔偿违约金等债权存在争议、无法收回、产生损失的风险；涉诉应收债权可能存在败诉、不能变更诉讼主体、执行主体等诉讼风险；</w:t>
      </w:r>
    </w:p>
    <w:p w14:paraId="08D8E08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both"/>
        <w:rPr>
          <w:color w:val="000000"/>
        </w:rPr>
      </w:pPr>
      <w:r>
        <w:rPr>
          <w:rFonts w:hint="eastAsia" w:ascii="宋体" w:hAnsi="宋体" w:eastAsia="宋体" w:cs="宋体"/>
          <w:color w:val="FF0000"/>
          <w:sz w:val="24"/>
          <w:szCs w:val="24"/>
          <w:bdr w:val="none" w:color="auto" w:sz="0" w:space="0"/>
          <w:shd w:val="clear" w:fill="FFFFFF"/>
        </w:rPr>
        <w:t>9、对外应收债权的相关债务人可能存在单位名称不明确（账目记载的名称不准确）、地址不详、无法联系且通过公开方式无法查询明确地址等情况，导致债权转让通知可能无法有效送达债务人的，买受人不得据此主张管理人承担任何责任；</w:t>
      </w:r>
    </w:p>
    <w:p w14:paraId="6A411EE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both"/>
        <w:rPr>
          <w:color w:val="000000"/>
        </w:rPr>
      </w:pPr>
      <w:r>
        <w:rPr>
          <w:rFonts w:hint="eastAsia" w:ascii="宋体" w:hAnsi="宋体" w:eastAsia="宋体" w:cs="宋体"/>
          <w:color w:val="FF0000"/>
          <w:sz w:val="24"/>
          <w:szCs w:val="24"/>
          <w:bdr w:val="none" w:color="auto" w:sz="0" w:space="0"/>
          <w:shd w:val="clear" w:fill="FFFFFF"/>
        </w:rPr>
        <w:t>10、因对外应收债权的特殊性，在后续催收过程中与债务人单位可能涉及的税务问题，竞买人应自行调查、判断；</w:t>
      </w:r>
    </w:p>
    <w:p w14:paraId="5D1FD88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both"/>
        <w:rPr>
          <w:color w:val="000000"/>
        </w:rPr>
      </w:pPr>
      <w:r>
        <w:rPr>
          <w:rFonts w:hint="eastAsia" w:ascii="宋体" w:hAnsi="宋体" w:eastAsia="宋体" w:cs="宋体"/>
          <w:color w:val="FF0000"/>
          <w:sz w:val="24"/>
          <w:szCs w:val="24"/>
          <w:bdr w:val="none" w:color="auto" w:sz="0" w:space="0"/>
          <w:shd w:val="clear" w:fill="FFFFFF"/>
        </w:rPr>
        <w:t>11、其他已经或尚未发现的可能导致应收债权存在争议、不存在、无法收回、产生损失等风险；</w:t>
      </w:r>
    </w:p>
    <w:p w14:paraId="6148464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both"/>
        <w:rPr>
          <w:color w:val="000000"/>
        </w:rPr>
      </w:pPr>
      <w:r>
        <w:rPr>
          <w:rFonts w:hint="eastAsia" w:ascii="宋体" w:hAnsi="宋体" w:eastAsia="宋体" w:cs="宋体"/>
          <w:color w:val="FF0000"/>
          <w:sz w:val="24"/>
          <w:szCs w:val="24"/>
          <w:bdr w:val="none" w:color="auto" w:sz="0" w:space="0"/>
          <w:shd w:val="clear" w:fill="FFFFFF"/>
        </w:rPr>
        <w:t>12、关于税、费，因标的物转让权属发生变更所涉及的一切税、费和可能需要补交的相关税、费等均由买受人承担，有意者请自行向税务部门咨询购买上述财产需缴纳的税费种类、税率等。竞价结束后，交易环节产生的一切税、费，包括但不限于增值税及附加、印花税等均由竞买人承担，未明确缴费义务人的费用由买受人承担；</w:t>
      </w:r>
    </w:p>
    <w:p w14:paraId="43E49C5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both"/>
        <w:rPr>
          <w:color w:val="000000"/>
        </w:rPr>
      </w:pPr>
      <w:r>
        <w:rPr>
          <w:rFonts w:hint="eastAsia" w:ascii="宋体" w:hAnsi="宋体" w:eastAsia="宋体" w:cs="宋体"/>
          <w:color w:val="FF0000"/>
          <w:sz w:val="24"/>
          <w:szCs w:val="24"/>
          <w:bdr w:val="none" w:color="auto" w:sz="0" w:space="0"/>
          <w:shd w:val="clear" w:fill="FFFFFF"/>
        </w:rPr>
        <w:t>13、竞买人一旦作出竞买决定，即表明竞买人确认知悉标的债权可能存在的瑕疵和风险,竞买人自愿承担受让该等标的债权后可能承受的一切风险以及由该等风险所造成的一切损失或无法实现的预期利益；</w:t>
      </w:r>
    </w:p>
    <w:p w14:paraId="0C755AB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both"/>
        <w:rPr>
          <w:color w:val="000000"/>
        </w:rPr>
      </w:pPr>
      <w:r>
        <w:rPr>
          <w:rFonts w:hint="eastAsia" w:ascii="宋体" w:hAnsi="宋体" w:eastAsia="宋体" w:cs="宋体"/>
          <w:color w:val="FF0000"/>
          <w:sz w:val="24"/>
          <w:szCs w:val="24"/>
          <w:bdr w:val="none" w:color="auto" w:sz="0" w:space="0"/>
          <w:shd w:val="clear" w:fill="FFFFFF"/>
        </w:rPr>
        <w:t>14、管理人将秉持诚信原则，以管理人接管和调查的材料为限提供给竞买人所需资料，管理人和拍卖辅助机构不对标的任何权利负担或瑕疵承担责任。竞买人根据自身需求可自行调查、了解、核实。未尽事宜，管理人和拍卖辅助机构不承担任何责任；</w:t>
      </w:r>
    </w:p>
    <w:p w14:paraId="766D809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both"/>
        <w:rPr>
          <w:color w:val="000000"/>
        </w:rPr>
      </w:pPr>
      <w:r>
        <w:rPr>
          <w:rFonts w:hint="eastAsia" w:ascii="宋体" w:hAnsi="宋体" w:eastAsia="宋体" w:cs="宋体"/>
          <w:color w:val="FF0000"/>
          <w:sz w:val="24"/>
          <w:szCs w:val="24"/>
          <w:bdr w:val="none" w:color="auto" w:sz="0" w:space="0"/>
          <w:shd w:val="clear" w:fill="FFFFFF"/>
        </w:rPr>
        <w:t>15、其他未尽事宜由竞买人自行了解。</w:t>
      </w:r>
    </w:p>
    <w:p w14:paraId="2AB42E1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270" w:lineRule="atLeast"/>
        <w:ind w:left="0" w:right="0" w:firstLine="555"/>
        <w:jc w:val="both"/>
        <w:rPr>
          <w:color w:val="000000"/>
        </w:rPr>
      </w:pPr>
      <w:r>
        <w:rPr>
          <w:rStyle w:val="5"/>
          <w:rFonts w:hint="eastAsia" w:ascii="宋体" w:hAnsi="宋体" w:eastAsia="宋体" w:cs="宋体"/>
          <w:color w:val="FF0000"/>
          <w:sz w:val="28"/>
          <w:szCs w:val="28"/>
          <w:u w:val="single"/>
          <w:bdr w:val="none" w:color="auto" w:sz="0" w:space="0"/>
        </w:rPr>
        <w:t>请竞买人注意在拍卖前详细了解该标的物的情况、现状和瑕疵，然后再参加竞拍；参加竞拍的竞买人视为对本标的物的所有现状的确认，管理人对债权追收不作保障。</w:t>
      </w:r>
    </w:p>
    <w:p w14:paraId="7F15CFC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二、咨询、展示看样的时间与方式</w:t>
      </w:r>
    </w:p>
    <w:p w14:paraId="5CAC661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pacing w:val="0"/>
          <w:sz w:val="28"/>
          <w:szCs w:val="28"/>
          <w:bdr w:val="none" w:color="auto" w:sz="0" w:space="0"/>
          <w:shd w:val="clear" w:fill="FFFFFF"/>
        </w:rPr>
        <w:t>本管理人已委托</w:t>
      </w:r>
      <w:r>
        <w:rPr>
          <w:rStyle w:val="5"/>
          <w:rFonts w:hint="eastAsia" w:ascii="宋体" w:hAnsi="宋体" w:eastAsia="宋体" w:cs="宋体"/>
          <w:color w:val="000000"/>
          <w:spacing w:val="0"/>
          <w:sz w:val="28"/>
          <w:szCs w:val="28"/>
          <w:bdr w:val="none" w:color="auto" w:sz="0" w:space="0"/>
          <w:shd w:val="clear" w:fill="FFFFFF"/>
        </w:rPr>
        <w:t>北京强裕信息技术有限公司</w:t>
      </w:r>
      <w:r>
        <w:rPr>
          <w:rFonts w:hint="eastAsia" w:ascii="宋体" w:hAnsi="宋体" w:eastAsia="宋体" w:cs="宋体"/>
          <w:color w:val="000000"/>
          <w:spacing w:val="0"/>
          <w:sz w:val="28"/>
          <w:szCs w:val="28"/>
          <w:bdr w:val="none" w:color="auto" w:sz="0" w:space="0"/>
          <w:shd w:val="clear" w:fill="FFFFFF"/>
        </w:rPr>
        <w:t>共同办理咨询、上拍、看样、交接等相关拍卖辅助事务。有意者可自本公告发布之日起至竞价前一个工作日工作时间内咨询上述标的的相关情况。联系人：刘经理，咨询电话：</w:t>
      </w:r>
      <w:r>
        <w:rPr>
          <w:rStyle w:val="5"/>
          <w:rFonts w:hint="eastAsia" w:ascii="宋体" w:hAnsi="宋体" w:eastAsia="宋体" w:cs="宋体"/>
          <w:color w:val="000000"/>
          <w:spacing w:val="0"/>
          <w:sz w:val="28"/>
          <w:szCs w:val="28"/>
          <w:bdr w:val="none" w:color="auto" w:sz="0" w:space="0"/>
          <w:shd w:val="clear" w:fill="FFFFFF"/>
        </w:rPr>
        <w:t>13716405690</w:t>
      </w:r>
      <w:r>
        <w:rPr>
          <w:rFonts w:hint="eastAsia" w:ascii="宋体" w:hAnsi="宋体" w:eastAsia="宋体" w:cs="宋体"/>
          <w:color w:val="000000"/>
          <w:spacing w:val="0"/>
          <w:sz w:val="28"/>
          <w:szCs w:val="28"/>
          <w:bdr w:val="none" w:color="auto" w:sz="0" w:space="0"/>
          <w:shd w:val="clear" w:fill="FFFFFF"/>
        </w:rPr>
        <w:t>。因该资产系无形资产，故本项拍卖不提供现场看样服务。</w:t>
      </w:r>
      <w:r>
        <w:rPr>
          <w:rStyle w:val="5"/>
          <w:rFonts w:hint="eastAsia" w:ascii="宋体" w:hAnsi="宋体" w:eastAsia="宋体" w:cs="宋体"/>
          <w:color w:val="000000"/>
          <w:spacing w:val="0"/>
          <w:sz w:val="28"/>
          <w:szCs w:val="28"/>
          <w:bdr w:val="none" w:color="auto" w:sz="0" w:space="0"/>
          <w:shd w:val="clear" w:fill="FFFFFF"/>
        </w:rPr>
        <w:t>（特别提示：管理人及辅拍机构针对竞买人咨询问题的答复内容不作为竞拍依据，仅供竞买人参考）</w:t>
      </w:r>
    </w:p>
    <w:p w14:paraId="7539612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三、标的已知优先购买权人：无。</w:t>
      </w:r>
    </w:p>
    <w:p w14:paraId="413BADA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7"/>
          <w:szCs w:val="27"/>
          <w:bdr w:val="none" w:color="auto" w:sz="0" w:space="0"/>
          <w:shd w:val="clear" w:fill="FFFFFF"/>
        </w:rPr>
        <w:t>竞价标的如若存在优先购买权人，优先购买权人参加竞买的，应于竞价活动开始5个工作日前向上拍机构或管理人提交合法有效的证明（登记的证件信息必须与京东实名认证相一致），资格经本上拍机构或公司确认后才能以优先购买权人的身份参与竞买，逾期不提交的，视为放弃对本标的物享有优先购买权。本标的优先购买权人未参加竞价，亦视为放弃优先购买权。</w:t>
      </w:r>
    </w:p>
    <w:p w14:paraId="7EAECE8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7"/>
          <w:szCs w:val="27"/>
          <w:bdr w:val="none" w:color="auto" w:sz="0" w:space="0"/>
          <w:shd w:val="clear" w:fill="FFFFFF"/>
        </w:rPr>
        <w:t>四、对上述标的权属有异议者，竞价开始前5天与管理人联系。与本标的物有利害关系的当事人可参加竞价，不参加竞价的请关注本次竞价活动的整个过程。</w:t>
      </w:r>
    </w:p>
    <w:p w14:paraId="7C7582D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五、竞价方式</w:t>
      </w:r>
    </w:p>
    <w:p w14:paraId="16AB46A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（一）竞价从起拍价开始以递增出价方式竞价，增价幅度由管理人确定，竞买人以低于起拍价出价的无效。</w:t>
      </w:r>
    </w:p>
    <w:p w14:paraId="5D2D5DB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7"/>
          <w:szCs w:val="27"/>
          <w:bdr w:val="none" w:color="auto" w:sz="0" w:space="0"/>
          <w:shd w:val="clear" w:fill="FFFFFF"/>
        </w:rPr>
        <w:t>（二）本次竞价活动设置延时出价功能，在竞价活动结束前，每最后5分钟如果有竞买人出价，就自动延迟5分钟。</w:t>
      </w:r>
    </w:p>
    <w:p w14:paraId="557357B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（三）本次拍卖保留价为起拍价。</w:t>
      </w:r>
    </w:p>
    <w:p w14:paraId="03BB6D0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六、保证金与余款交纳</w:t>
      </w:r>
    </w:p>
    <w:p w14:paraId="0C8815E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管理人指定账户；竞价结束后，未能竞得者的保证金以及竞价未成交的（即流拍的）竞买人的保证金在竞价活动结束后即时解冻，保证金冻结期间不计利息。</w:t>
      </w:r>
    </w:p>
    <w:p w14:paraId="1D30A9D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竞价成交后，标的物竞得者原锁定的保证金自动转入管理人指定账户。买受人应于成交之时起</w:t>
      </w:r>
      <w:r>
        <w:rPr>
          <w:rFonts w:hint="eastAsia" w:ascii="宋体" w:hAnsi="宋体" w:eastAsia="宋体" w:cs="宋体"/>
          <w:color w:val="FF0000"/>
          <w:sz w:val="28"/>
          <w:szCs w:val="28"/>
          <w:bdr w:val="none" w:color="auto" w:sz="0" w:space="0"/>
          <w:shd w:val="clear" w:fill="FFFFFF"/>
        </w:rPr>
        <w:t>5个工作日内</w:t>
      </w:r>
      <w:r>
        <w:rPr>
          <w:rFonts w:hint="eastAsia" w:ascii="宋体" w:hAnsi="宋体" w:eastAsia="宋体" w:cs="宋体"/>
          <w:color w:val="000000"/>
          <w:sz w:val="28"/>
          <w:szCs w:val="28"/>
          <w:bdr w:val="none" w:color="auto" w:sz="0" w:space="0"/>
          <w:shd w:val="clear" w:fill="FFFFFF"/>
        </w:rPr>
        <w:t>将竞价成交价余款（扣除保证金后的余款）缴入管理人指定账户</w:t>
      </w:r>
      <w:r>
        <w:rPr>
          <w:rFonts w:hint="eastAsia" w:ascii="宋体" w:hAnsi="宋体" w:eastAsia="宋体" w:cs="宋体"/>
          <w:color w:val="FF0000"/>
          <w:sz w:val="28"/>
          <w:szCs w:val="28"/>
          <w:bdr w:val="none" w:color="auto" w:sz="0" w:space="0"/>
          <w:shd w:val="clear" w:fill="FFFFFF"/>
        </w:rPr>
        <w:t>（户名：北京蓝洁利德环境科技有限公司管理人；账号：8110701013102413581；开户行：中信银行北京三元桥支行），注明“破产案号：（2022）京01破234号；款项性质：拍卖余款”</w:t>
      </w:r>
      <w:r>
        <w:rPr>
          <w:rFonts w:hint="eastAsia" w:ascii="宋体" w:hAnsi="宋体" w:eastAsia="宋体" w:cs="宋体"/>
          <w:color w:val="000000"/>
          <w:sz w:val="28"/>
          <w:szCs w:val="28"/>
          <w:bdr w:val="none" w:color="auto" w:sz="0" w:space="0"/>
          <w:shd w:val="clear" w:fill="FFFFFF"/>
        </w:rPr>
        <w:t>。逾期则视为买受人违约，竞买保证金不予退还。</w:t>
      </w:r>
    </w:p>
    <w:p w14:paraId="2B70AB8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买受人应于成交之时起</w:t>
      </w:r>
      <w:r>
        <w:rPr>
          <w:rFonts w:hint="eastAsia" w:ascii="宋体" w:hAnsi="宋体" w:eastAsia="宋体" w:cs="宋体"/>
          <w:color w:val="FF0000"/>
          <w:sz w:val="28"/>
          <w:szCs w:val="28"/>
          <w:bdr w:val="none" w:color="auto" w:sz="0" w:space="0"/>
          <w:shd w:val="clear" w:fill="FFFFFF"/>
        </w:rPr>
        <w:t>5个工作日内将2%的综合服务费汇款至北京强裕信息技术有限公司指定账户（户名：北京强裕信息技术有限公司，开户银行：北京农村商业银行大钟寺支行，账号：0420000103000008270）。</w:t>
      </w:r>
      <w:r>
        <w:rPr>
          <w:rFonts w:hint="eastAsia" w:ascii="宋体" w:hAnsi="宋体" w:eastAsia="宋体" w:cs="宋体"/>
          <w:color w:val="000000"/>
          <w:sz w:val="28"/>
          <w:szCs w:val="28"/>
          <w:bdr w:val="none" w:color="auto" w:sz="0" w:space="0"/>
          <w:shd w:val="clear" w:fill="FFFFFF"/>
        </w:rPr>
        <w:t>逾期则视为买受人违约，竞买保证金不予退还。</w:t>
      </w:r>
    </w:p>
    <w:p w14:paraId="44051A0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Style w:val="5"/>
          <w:rFonts w:hint="eastAsia" w:ascii="宋体" w:hAnsi="宋体" w:eastAsia="宋体" w:cs="宋体"/>
          <w:color w:val="000000"/>
          <w:sz w:val="27"/>
          <w:szCs w:val="27"/>
          <w:bdr w:val="none" w:color="auto" w:sz="0" w:space="0"/>
          <w:shd w:val="clear" w:fill="FFFFFF"/>
        </w:rPr>
        <w:t>特别提示：本标的物存在2%的综合服务费及0.5%软件服务费由买受人承担。</w:t>
      </w:r>
    </w:p>
    <w:p w14:paraId="43F5F65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七、移交与过户</w:t>
      </w:r>
    </w:p>
    <w:p w14:paraId="29BFA1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pacing w:val="0"/>
          <w:sz w:val="28"/>
          <w:szCs w:val="28"/>
          <w:bdr w:val="none" w:color="auto" w:sz="0" w:space="0"/>
          <w:shd w:val="clear" w:fill="FFFFFF"/>
        </w:rPr>
        <w:t>1. 买受人应于付清全部拍卖成交款后</w:t>
      </w:r>
      <w:r>
        <w:rPr>
          <w:rStyle w:val="5"/>
          <w:rFonts w:hint="eastAsia" w:ascii="宋体" w:hAnsi="宋体" w:eastAsia="宋体" w:cs="宋体"/>
          <w:color w:val="000000"/>
          <w:spacing w:val="0"/>
          <w:sz w:val="28"/>
          <w:szCs w:val="28"/>
          <w:bdr w:val="none" w:color="auto" w:sz="0" w:space="0"/>
          <w:shd w:val="clear" w:fill="FFFFFF"/>
        </w:rPr>
        <w:t>5个工作日内</w:t>
      </w:r>
      <w:r>
        <w:rPr>
          <w:rFonts w:hint="eastAsia" w:ascii="宋体" w:hAnsi="宋体" w:eastAsia="宋体" w:cs="宋体"/>
          <w:color w:val="000000"/>
          <w:spacing w:val="0"/>
          <w:sz w:val="27"/>
          <w:szCs w:val="27"/>
          <w:bdr w:val="none" w:color="auto" w:sz="0" w:space="0"/>
          <w:shd w:val="clear" w:fill="FFFFFF"/>
        </w:rPr>
        <w:t>（遇节假日顺延）凭付款凭证及相关身份材料到管理人处（地址：北京市朝阳区建国门外大街丁12号英皇集团中心1801）签署拍卖成交确认</w:t>
      </w:r>
      <w:r>
        <w:rPr>
          <w:rFonts w:hint="eastAsia" w:ascii="宋体" w:hAnsi="宋体" w:eastAsia="宋体" w:cs="宋体"/>
          <w:color w:val="000000"/>
          <w:spacing w:val="0"/>
          <w:sz w:val="28"/>
          <w:szCs w:val="28"/>
          <w:bdr w:val="none" w:color="auto" w:sz="0" w:space="0"/>
          <w:shd w:val="clear" w:fill="FFFFFF"/>
        </w:rPr>
        <w:t>书。管理人将《拍卖成交确认书》及（可能）持有的标的债权相关资料移交买受人即视为管理人完成拍卖标的物移交。竞买人逾期未办理交接手续，视为竞买人放弃竞价标的，管理人将自行处置，且不退还竞买人交纳的全部款项。</w:t>
      </w:r>
    </w:p>
    <w:p w14:paraId="11E0B55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pacing w:val="0"/>
          <w:sz w:val="28"/>
          <w:szCs w:val="28"/>
          <w:bdr w:val="none" w:color="auto" w:sz="0" w:space="0"/>
          <w:shd w:val="clear" w:fill="FFFFFF"/>
        </w:rPr>
        <w:t>2.管理人不负责刊登对外应收债权转让公告、通知，相关公告、通知或文书送达由买受人自行负责，管理人予以必要的协助，所发生的费用由买受人承担。如因债务人名称不准确、债务人地址不详、下落不明、债务人已吊销、注销等导致买受人无法将债权转让通知送达债务人的，相关风险及不利后果由买受人自行承担。</w:t>
      </w:r>
    </w:p>
    <w:p w14:paraId="478B4F0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八、风险提示</w:t>
      </w:r>
    </w:p>
    <w:p w14:paraId="572B1F0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（一）竞买人应当具备完全民事行为能力。竞买人也可根据《竞买须知》相关规定委托代理人（具备完全民事行为能力的自然人）进行竞买。</w:t>
      </w:r>
    </w:p>
    <w:p w14:paraId="3CE0C3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二）竞买人竞价前应向工商、税务、外管、商务等政府部门，对标的物的权属、能否过户、过户要求和流程、税费缴付的标准及起止时间，以及其他须注意的事项进行咨询，因政策原因或其他原因导致不能过户的风险由竞买人承担。</w:t>
      </w:r>
    </w:p>
    <w:p w14:paraId="16474D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三）本次网络竞价所涉标的物，全部依其现状进行处置。现状是指看样时点标的的质量、数量、新旧程度、使用现状等现实状况，至竞价时点竞买人没有异议，则表示竞买人认可看样时点与竞价时点标的现状一致。请欲报名参与竞价的竞买人充分考虑标的显性和隐性的瑕疵风险以及市场价格的波动，谨慎选择，慎重决定。管理人、上拍机构、京东网络竞价平台不承担标的物的瑕疵保证。有意者请亲自实地看样，未看样的竞买人视为对本标的实物现状的确认，责任自负。</w:t>
      </w:r>
    </w:p>
    <w:p w14:paraId="23F1659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四）本次网络竞价所涉标的物已知的标的物属性、抵押、查封、担保、侵权等情况已经公示，买受人需承担标的物存在的其他权利瑕疵风险。如果标的物本身存在权利瑕疵导致交易行为无法顺利完成的，仅退还买受人支付的全部价款的本金（价款包含保证金），管理人与网络竞价平台不承担任何赔偿责任。</w:t>
      </w:r>
    </w:p>
    <w:p w14:paraId="3094533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（五）管理人、上拍机构对此次竞价标的物所作的说明和提供的图片、文字资料等，仅供竞买人参考，不构成对标的物的任何担保，不作为对竞买人参与此次竞价的建议，仅提供竞买人参考。</w:t>
      </w:r>
      <w:r>
        <w:rPr>
          <w:rStyle w:val="5"/>
          <w:rFonts w:hint="eastAsia" w:ascii="宋体" w:hAnsi="宋体" w:eastAsia="宋体" w:cs="宋体"/>
          <w:color w:val="000000"/>
          <w:sz w:val="28"/>
          <w:szCs w:val="28"/>
          <w:bdr w:val="none" w:color="auto" w:sz="0" w:space="0"/>
          <w:shd w:val="clear" w:fill="FFFFFF"/>
        </w:rPr>
        <w:t>（特别提醒：竞买人一旦作出竞买决定，即表明已完全了解，并接受标的物的现状和一切已知及未知的瑕疵，责任自负。）</w:t>
      </w:r>
    </w:p>
    <w:p w14:paraId="5FB83E1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（六）因标的物本身价值较高，起拍价、保证金、竞价成交数额较大。为避免在在线支付的过程中，因银行限额而导致无法支付的问题，请根据《竞买须知》相关规定进行充分准备。</w:t>
      </w:r>
    </w:p>
    <w:p w14:paraId="180F2C8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七）本次拍卖公告所作的情况说明，仅为竞买人参与竞买提供参考，不能作为竞买人判断、权衡价值的最终依据，竞买人根据自身需求可自行调查、了解、核实。管理人对标的物描述、外观、质量、包装差异等不作担保，由买受人自行承担相关责任，由此产生的问题也不影响竞价成交结果及成交价格。</w:t>
      </w:r>
    </w:p>
    <w:p w14:paraId="52859AB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（八）本次拍卖标的物情况较为复杂，已无法找到标的物当年相关购置票据和说明书等，如本公告中关于标的物的描述与实物不符，以其实物现状为准，管理人与法院均不承担本公告中标的物的瑕疵保证责任。</w:t>
      </w:r>
    </w:p>
    <w:p w14:paraId="1A4473B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（九）管理人将标的物交付至买受人后风险转移至买受人，管理人对交付后可能产生的风险、纠纷及任何后果均不承担任何责任。</w:t>
      </w:r>
    </w:p>
    <w:p w14:paraId="24145D4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（十）本标的物无发票、无保修及其他凭证提供。</w:t>
      </w:r>
    </w:p>
    <w:p w14:paraId="601F4D5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九、本次网上公开竞价《竞买公告》、《竞买须知》、《标的物介绍》等标的物相关文件已在京东网络竞价平台公开展示，请仔细阅读。上拍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14:paraId="379CF6D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十、竞买人在竞价前请务必仔细阅读相应标的竞买公告、须知、标的详情。本公告其他未尽事宜，请向管理人咨询。</w:t>
      </w:r>
    </w:p>
    <w:p w14:paraId="5222375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咨询电话：15801227887</w:t>
      </w:r>
      <w:r>
        <w:rPr>
          <w:rFonts w:hint="eastAsia" w:ascii="宋体" w:hAnsi="宋体" w:eastAsia="宋体" w:cs="宋体"/>
          <w:color w:val="000000"/>
          <w:sz w:val="27"/>
          <w:szCs w:val="27"/>
          <w:bdr w:val="none" w:color="auto" w:sz="0" w:space="0"/>
          <w:shd w:val="clear" w:fill="FFFFFF"/>
        </w:rPr>
        <w:t>，联系地址：北京市朝阳区建国门外大街丁12号英皇集团中心1801北京嘉润律师事务所</w:t>
      </w:r>
    </w:p>
    <w:p w14:paraId="5318CF8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凡发现竞价中有违规行为，可如实举报。</w:t>
      </w:r>
    </w:p>
    <w:p w14:paraId="32D761A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7"/>
          <w:szCs w:val="27"/>
          <w:bdr w:val="none" w:color="auto" w:sz="0" w:space="0"/>
          <w:shd w:val="clear" w:fill="FFFFFF"/>
        </w:rPr>
        <w:t>举报监督电话：010-65142061</w:t>
      </w:r>
    </w:p>
    <w:p w14:paraId="6B27705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7"/>
          <w:szCs w:val="27"/>
          <w:bdr w:val="none" w:color="auto" w:sz="0" w:space="0"/>
          <w:shd w:val="clear" w:fill="FFFFFF"/>
        </w:rPr>
        <w:t>京东技术咨询电话：4006229586</w:t>
      </w:r>
    </w:p>
    <w:p w14:paraId="6B25CDD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7"/>
          <w:szCs w:val="27"/>
          <w:bdr w:val="none" w:color="auto" w:sz="0" w:space="0"/>
          <w:shd w:val="clear" w:fill="FFFFFF"/>
        </w:rPr>
        <w:t>此公告在“京东网”上发布，网址: </w:t>
      </w:r>
      <w:r>
        <w:rPr>
          <w:color w:val="000000"/>
          <w:u w:val="none"/>
          <w:bdr w:val="none" w:color="auto" w:sz="0" w:space="0"/>
          <w:shd w:val="clear" w:fill="FFFFFF"/>
        </w:rPr>
        <w:fldChar w:fldCharType="begin"/>
      </w:r>
      <w:r>
        <w:rPr>
          <w:color w:val="000000"/>
          <w:u w:val="none"/>
          <w:bdr w:val="none" w:color="auto" w:sz="0" w:space="0"/>
          <w:shd w:val="clear" w:fill="FFFFFF"/>
        </w:rPr>
        <w:instrText xml:space="preserve"> HYPERLINK "https://auction.jd.com/bankrupt.html" </w:instrText>
      </w:r>
      <w:r>
        <w:rPr>
          <w:color w:val="000000"/>
          <w:u w:val="none"/>
          <w:bdr w:val="none" w:color="auto" w:sz="0" w:space="0"/>
          <w:shd w:val="clear" w:fill="FFFFFF"/>
        </w:rPr>
        <w:fldChar w:fldCharType="separate"/>
      </w:r>
      <w:r>
        <w:rPr>
          <w:rStyle w:val="6"/>
          <w:rFonts w:hint="eastAsia" w:ascii="宋体" w:hAnsi="宋体" w:eastAsia="宋体" w:cs="宋体"/>
          <w:color w:val="0563C1"/>
          <w:sz w:val="28"/>
          <w:szCs w:val="28"/>
          <w:u w:val="single"/>
          <w:bdr w:val="none" w:color="auto" w:sz="0" w:space="0"/>
          <w:shd w:val="clear" w:fill="FFFFFF"/>
        </w:rPr>
        <w:t>https://auction.jd.com/bankrupt.html</w:t>
      </w:r>
      <w:r>
        <w:rPr>
          <w:color w:val="000000"/>
          <w:u w:val="none"/>
          <w:bdr w:val="none" w:color="auto" w:sz="0" w:space="0"/>
          <w:shd w:val="clear" w:fill="FFFFFF"/>
        </w:rPr>
        <w:fldChar w:fldCharType="end"/>
      </w:r>
      <w:r>
        <w:rPr>
          <w:rFonts w:hint="eastAsia" w:ascii="宋体" w:hAnsi="宋体" w:eastAsia="宋体" w:cs="宋体"/>
          <w:color w:val="000000"/>
          <w:sz w:val="28"/>
          <w:szCs w:val="28"/>
          <w:bdr w:val="none" w:color="auto" w:sz="0" w:space="0"/>
          <w:shd w:val="clear" w:fill="FFFFFF"/>
        </w:rPr>
        <w:t>。</w:t>
      </w:r>
    </w:p>
    <w:p w14:paraId="3932BB6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555"/>
        <w:jc w:val="both"/>
        <w:rPr>
          <w:color w:val="000000"/>
        </w:rPr>
      </w:pPr>
      <w:r>
        <w:rPr>
          <w:rFonts w:hint="eastAsia" w:ascii="宋体" w:hAnsi="宋体" w:eastAsia="宋体" w:cs="宋体"/>
          <w:color w:val="000000"/>
          <w:sz w:val="28"/>
          <w:szCs w:val="28"/>
          <w:bdr w:val="none" w:color="auto" w:sz="0" w:space="0"/>
          <w:shd w:val="clear" w:fill="FFFFFF"/>
        </w:rPr>
        <w:t> </w:t>
      </w:r>
    </w:p>
    <w:p w14:paraId="0CBB2DE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2940"/>
        <w:jc w:val="right"/>
        <w:rPr>
          <w:color w:val="000000"/>
        </w:rPr>
      </w:pPr>
      <w:r>
        <w:rPr>
          <w:rFonts w:hint="eastAsia" w:ascii="宋体" w:hAnsi="宋体" w:eastAsia="宋体" w:cs="宋体"/>
          <w:color w:val="000000"/>
          <w:sz w:val="28"/>
          <w:szCs w:val="28"/>
          <w:bdr w:val="none" w:color="auto" w:sz="0" w:space="0"/>
          <w:shd w:val="clear" w:fill="FFFFFF"/>
        </w:rPr>
        <w:t> 北京蓝洁利德环境科技有限公司管理人</w:t>
      </w:r>
    </w:p>
    <w:p w14:paraId="306F725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005"/>
        <w:jc w:val="right"/>
        <w:rPr>
          <w:color w:val="000000"/>
        </w:rPr>
      </w:pPr>
      <w:r>
        <w:rPr>
          <w:rFonts w:hint="eastAsia" w:ascii="宋体" w:hAnsi="宋体" w:eastAsia="宋体" w:cs="宋体"/>
          <w:color w:val="000000"/>
          <w:sz w:val="28"/>
          <w:szCs w:val="28"/>
          <w:bdr w:val="none" w:color="auto" w:sz="0" w:space="0"/>
          <w:shd w:val="clear" w:fill="FFFFFF"/>
        </w:rPr>
        <w:t>2025年5月23日</w:t>
      </w:r>
    </w:p>
    <w:p w14:paraId="70BFA44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rPr>
          <w:color w:val="000000"/>
        </w:rPr>
      </w:pPr>
    </w:p>
    <w:p w14:paraId="4936A47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9F0BEC"/>
    <w:rsid w:val="64742D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4345</Words>
  <Characters>4606</Characters>
  <Lines>0</Lines>
  <Paragraphs>0</Paragraphs>
  <TotalTime>0</TotalTime>
  <ScaleCrop>false</ScaleCrop>
  <LinksUpToDate>false</LinksUpToDate>
  <CharactersWithSpaces>4610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2025-05-06T07:15:00Z</dcterms:created>
  <dc:creator>12555</dc:creator>
  <cp:lastModifiedBy>强</cp:lastModifiedBy>
  <dcterms:modified xsi:type="dcterms:W3CDTF">2025-05-23T08:42:23Z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eyJoZGlkIjoiODQ1OGZmMWFhMzNlY2JiZGNhY2M4NTQwODU3ZWUxN2EiLCJ1c2VySWQiOiIyMzgzNTM1MDMifQ==</vt:lpwstr>
  </property>
  <property fmtid="{D5CDD505-2E9C-101B-9397-08002B2CF9AE}" pid="4" name="ICV">
    <vt:lpwstr>3E65F89F6EE94322867A9610FF123827_12</vt:lpwstr>
  </property>
</Properties>
</file>