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0CF051">
      <w:pPr>
        <w:spacing w:before="156" w:beforeLines="50" w:line="380" w:lineRule="exact"/>
        <w:jc w:val="center"/>
        <w:rPr>
          <w:rFonts w:hint="eastAsia" w:ascii="宋体" w:hAnsi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</w:rPr>
        <w:t>债权申报须知</w:t>
      </w:r>
    </w:p>
    <w:p w14:paraId="0F6C26D3">
      <w:pPr>
        <w:spacing w:before="156" w:beforeLines="50" w:line="380" w:lineRule="exact"/>
        <w:rPr>
          <w:rFonts w:hint="eastAsia" w:ascii="宋体" w:hAnsi="宋体" w:cs="宋体"/>
          <w:b/>
          <w:sz w:val="24"/>
          <w:szCs w:val="24"/>
        </w:rPr>
      </w:pPr>
      <w:r>
        <w:rPr>
          <w:rFonts w:hint="eastAsia" w:ascii="宋体" w:hAnsi="宋体" w:cs="宋体"/>
          <w:b/>
          <w:sz w:val="24"/>
          <w:szCs w:val="24"/>
          <w:lang w:eastAsia="zh-CN"/>
        </w:rPr>
        <w:t>南京达展脚手架工程有限公司</w:t>
      </w:r>
      <w:r>
        <w:rPr>
          <w:rFonts w:hint="eastAsia" w:ascii="宋体" w:hAnsi="宋体" w:cs="宋体"/>
          <w:b/>
          <w:sz w:val="24"/>
          <w:szCs w:val="24"/>
        </w:rPr>
        <w:t>各债权人：</w:t>
      </w:r>
    </w:p>
    <w:p w14:paraId="431A267F">
      <w:pPr>
        <w:spacing w:before="156" w:beforeLines="50" w:line="380" w:lineRule="exact"/>
        <w:ind w:firstLine="480" w:firstLineChars="200"/>
        <w:rPr>
          <w:rFonts w:hint="eastAsia" w:ascii="宋体" w:hAnsi="宋体" w:cs="宋体"/>
          <w:bCs/>
          <w:sz w:val="24"/>
          <w:szCs w:val="24"/>
          <w:u w:val="single"/>
        </w:rPr>
      </w:pP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2025年5月19日</w:t>
      </w:r>
      <w:r>
        <w:rPr>
          <w:rFonts w:hint="eastAsia" w:ascii="宋体" w:hAnsi="宋体" w:cs="宋体"/>
          <w:sz w:val="24"/>
          <w:szCs w:val="24"/>
        </w:rPr>
        <w:t>，南京市</w:t>
      </w:r>
      <w:r>
        <w:rPr>
          <w:rFonts w:hint="eastAsia" w:ascii="宋体" w:hAnsi="宋体" w:cs="宋体"/>
          <w:sz w:val="24"/>
          <w:szCs w:val="24"/>
          <w:lang w:eastAsia="zh-CN"/>
        </w:rPr>
        <w:t>浦口区</w:t>
      </w:r>
      <w:r>
        <w:rPr>
          <w:rFonts w:hint="eastAsia" w:ascii="宋体" w:hAnsi="宋体" w:cs="宋体"/>
          <w:sz w:val="24"/>
          <w:szCs w:val="24"/>
        </w:rPr>
        <w:t>人民法院</w:t>
      </w:r>
      <w:r>
        <w:rPr>
          <w:rFonts w:hint="eastAsia" w:ascii="宋体" w:hAnsi="宋体" w:cs="宋体"/>
          <w:bCs/>
          <w:sz w:val="24"/>
          <w:szCs w:val="24"/>
        </w:rPr>
        <w:t>依法裁定受理</w:t>
      </w:r>
      <w:r>
        <w:rPr>
          <w:rFonts w:hint="eastAsia" w:ascii="宋体" w:hAnsi="宋体" w:cs="宋体"/>
          <w:bCs/>
          <w:sz w:val="24"/>
          <w:szCs w:val="24"/>
          <w:u w:val="single"/>
          <w:lang w:eastAsia="zh-CN"/>
        </w:rPr>
        <w:t>南京达展脚手架工程有限公司</w:t>
      </w:r>
      <w:r>
        <w:rPr>
          <w:rFonts w:hint="eastAsia" w:ascii="宋体" w:hAnsi="宋体" w:cs="宋体"/>
          <w:bCs/>
          <w:sz w:val="24"/>
          <w:szCs w:val="24"/>
        </w:rPr>
        <w:t>破产清算一案,并于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2025年5月19日</w:t>
      </w:r>
      <w:r>
        <w:rPr>
          <w:rFonts w:hint="eastAsia" w:ascii="宋体" w:hAnsi="宋体" w:cs="宋体"/>
          <w:bCs/>
          <w:sz w:val="24"/>
          <w:szCs w:val="24"/>
        </w:rPr>
        <w:t>指定</w:t>
      </w:r>
      <w:r>
        <w:rPr>
          <w:rFonts w:hint="eastAsia" w:ascii="宋体" w:hAnsi="宋体" w:cs="宋体"/>
          <w:bCs/>
          <w:sz w:val="24"/>
          <w:szCs w:val="24"/>
          <w:u w:val="single"/>
        </w:rPr>
        <w:t>北京市炜衡（南京）律师事务所</w:t>
      </w:r>
      <w:r>
        <w:rPr>
          <w:rFonts w:hint="eastAsia" w:ascii="宋体" w:hAnsi="宋体" w:cs="宋体"/>
          <w:bCs/>
          <w:sz w:val="24"/>
          <w:szCs w:val="24"/>
        </w:rPr>
        <w:t>为管理人。为了保证破产清算工作的顺利进行,现就有关事项告知如下:</w:t>
      </w:r>
    </w:p>
    <w:p w14:paraId="5D43B8AA">
      <w:pPr>
        <w:spacing w:before="156" w:beforeLines="50" w:line="380" w:lineRule="exact"/>
        <w:ind w:firstLine="482" w:firstLineChars="200"/>
        <w:rPr>
          <w:rFonts w:hint="eastAsia" w:ascii="宋体" w:hAnsi="宋体" w:cs="宋体"/>
          <w:b/>
          <w:bCs/>
          <w:sz w:val="24"/>
          <w:szCs w:val="24"/>
        </w:rPr>
      </w:pPr>
      <w:r>
        <w:rPr>
          <w:rFonts w:hint="eastAsia" w:ascii="宋体" w:hAnsi="宋体" w:cs="宋体"/>
          <w:b/>
          <w:bCs/>
          <w:sz w:val="24"/>
          <w:szCs w:val="24"/>
        </w:rPr>
        <w:t>一、申报债权的范围</w:t>
      </w:r>
    </w:p>
    <w:p w14:paraId="0A104C7E">
      <w:pPr>
        <w:spacing w:before="156" w:beforeLines="50" w:line="380" w:lineRule="exact"/>
        <w:ind w:firstLine="480" w:firstLineChars="200"/>
        <w:rPr>
          <w:rFonts w:hint="eastAsia" w:ascii="宋体" w:hAnsi="宋体" w:cs="宋体"/>
          <w:bCs/>
          <w:sz w:val="24"/>
          <w:szCs w:val="24"/>
        </w:rPr>
      </w:pPr>
      <w:r>
        <w:rPr>
          <w:rFonts w:hint="eastAsia" w:ascii="宋体" w:hAnsi="宋体" w:cs="宋体"/>
          <w:bCs/>
          <w:sz w:val="24"/>
          <w:szCs w:val="24"/>
        </w:rPr>
        <w:t>1、人民法院受理破产清算申请时即</w:t>
      </w:r>
      <w:r>
        <w:rPr>
          <w:rFonts w:hint="eastAsia" w:ascii="宋体" w:hAnsi="宋体" w:cs="宋体"/>
          <w:bCs/>
          <w:sz w:val="24"/>
          <w:szCs w:val="24"/>
          <w:u w:val="single"/>
        </w:rPr>
        <w:t xml:space="preserve"> </w:t>
      </w:r>
      <w:r>
        <w:rPr>
          <w:rFonts w:hint="eastAsia" w:ascii="宋体" w:hAnsi="宋体" w:cs="宋体"/>
          <w:bCs/>
          <w:sz w:val="24"/>
          <w:szCs w:val="24"/>
          <w:u w:val="single"/>
          <w:lang w:eastAsia="zh-CN"/>
        </w:rPr>
        <w:t>2025年5月19日</w:t>
      </w:r>
      <w:r>
        <w:rPr>
          <w:rFonts w:hint="eastAsia" w:ascii="宋体" w:hAnsi="宋体" w:cs="宋体"/>
          <w:bCs/>
          <w:sz w:val="24"/>
          <w:szCs w:val="24"/>
        </w:rPr>
        <w:t>对债务人享有债权的债权人,均有权向管理人申报债权。</w:t>
      </w:r>
    </w:p>
    <w:p w14:paraId="2E53457B">
      <w:pPr>
        <w:spacing w:before="156" w:beforeLines="50" w:line="380" w:lineRule="exact"/>
        <w:ind w:firstLine="480" w:firstLineChars="200"/>
        <w:rPr>
          <w:rFonts w:hint="eastAsia" w:ascii="宋体" w:hAnsi="宋体" w:cs="宋体"/>
          <w:bCs/>
          <w:sz w:val="24"/>
          <w:szCs w:val="24"/>
        </w:rPr>
      </w:pPr>
      <w:r>
        <w:rPr>
          <w:rFonts w:hint="eastAsia" w:ascii="宋体" w:hAnsi="宋体" w:cs="宋体"/>
          <w:bCs/>
          <w:sz w:val="24"/>
          <w:szCs w:val="24"/>
        </w:rPr>
        <w:t>2、连带债权人可以由其中一人代表全体连带债权人申报债权,也可以共同申报债权。</w:t>
      </w:r>
    </w:p>
    <w:p w14:paraId="6D86269A">
      <w:pPr>
        <w:spacing w:before="156" w:beforeLines="50" w:line="380" w:lineRule="exact"/>
        <w:ind w:firstLine="480" w:firstLineChars="200"/>
        <w:rPr>
          <w:rFonts w:hint="eastAsia" w:ascii="宋体" w:hAnsi="宋体" w:cs="宋体"/>
          <w:bCs/>
          <w:sz w:val="24"/>
          <w:szCs w:val="24"/>
        </w:rPr>
      </w:pPr>
      <w:r>
        <w:rPr>
          <w:rFonts w:hint="eastAsia" w:ascii="宋体" w:hAnsi="宋体" w:cs="宋体"/>
          <w:bCs/>
          <w:sz w:val="24"/>
          <w:szCs w:val="24"/>
        </w:rPr>
        <w:t>3、债务人的保证人或者其他连带债务人已经代替债务人清偿债务的,以其对债务人的求偿权申报债权。债务人的保证人或者其他连带债务人尚未代替债务人清偿债务的,以其对债务人的将来求偿权申报债权。但是,债权人已经向管理人申报全部债权的除外。</w:t>
      </w:r>
    </w:p>
    <w:p w14:paraId="4E83C899">
      <w:pPr>
        <w:spacing w:before="156" w:beforeLines="50" w:line="380" w:lineRule="exact"/>
        <w:ind w:firstLine="480" w:firstLineChars="200"/>
        <w:rPr>
          <w:rFonts w:hint="eastAsia" w:ascii="宋体" w:hAnsi="宋体" w:cs="宋体"/>
          <w:bCs/>
          <w:sz w:val="24"/>
          <w:szCs w:val="24"/>
        </w:rPr>
      </w:pPr>
      <w:r>
        <w:rPr>
          <w:rFonts w:hint="eastAsia" w:ascii="宋体" w:hAnsi="宋体" w:cs="宋体"/>
          <w:bCs/>
          <w:sz w:val="24"/>
          <w:szCs w:val="24"/>
        </w:rPr>
        <w:t>4、连带债务人数人被裁定适用《破产法》规定的程序的,其债权人有权就全部债权分别在各破产案件中申报债权。</w:t>
      </w:r>
    </w:p>
    <w:p w14:paraId="30B369BA">
      <w:pPr>
        <w:spacing w:before="156" w:beforeLines="50" w:line="380" w:lineRule="exact"/>
        <w:ind w:firstLine="480" w:firstLineChars="200"/>
        <w:rPr>
          <w:rFonts w:hint="eastAsia" w:ascii="宋体" w:hAnsi="宋体" w:cs="宋体"/>
          <w:bCs/>
          <w:sz w:val="24"/>
          <w:szCs w:val="24"/>
        </w:rPr>
      </w:pPr>
      <w:r>
        <w:rPr>
          <w:rFonts w:hint="eastAsia" w:ascii="宋体" w:hAnsi="宋体" w:cs="宋体"/>
          <w:bCs/>
          <w:sz w:val="24"/>
          <w:szCs w:val="24"/>
        </w:rPr>
        <w:t>5、管理人或者债务人依照《破产法》规定解除合同的,对方当事人以因合同解除所产生的损害赔偿请求权申报债权。</w:t>
      </w:r>
    </w:p>
    <w:p w14:paraId="6DEBDDBC">
      <w:pPr>
        <w:spacing w:before="156" w:beforeLines="50" w:line="380" w:lineRule="exact"/>
        <w:ind w:firstLine="480" w:firstLineChars="200"/>
        <w:rPr>
          <w:rFonts w:hint="eastAsia" w:ascii="宋体" w:hAnsi="宋体" w:cs="宋体"/>
          <w:bCs/>
          <w:sz w:val="24"/>
          <w:szCs w:val="24"/>
        </w:rPr>
      </w:pPr>
      <w:r>
        <w:rPr>
          <w:rFonts w:hint="eastAsia" w:ascii="宋体" w:hAnsi="宋体" w:cs="宋体"/>
          <w:bCs/>
          <w:sz w:val="24"/>
          <w:szCs w:val="24"/>
        </w:rPr>
        <w:t>6、债务人是委托合同的委托人,被裁定适用《破产法》规定的程序,受托人不知该事实，继续处理委托事务的，受托人以由此产生的请求权申报债权。</w:t>
      </w:r>
    </w:p>
    <w:p w14:paraId="0CA654FC">
      <w:pPr>
        <w:spacing w:before="156" w:beforeLines="50" w:line="380" w:lineRule="exact"/>
        <w:ind w:firstLine="480" w:firstLineChars="200"/>
        <w:rPr>
          <w:rFonts w:hint="eastAsia" w:ascii="宋体" w:hAnsi="宋体" w:cs="宋体"/>
          <w:bCs/>
          <w:sz w:val="24"/>
          <w:szCs w:val="24"/>
        </w:rPr>
      </w:pPr>
      <w:r>
        <w:rPr>
          <w:rFonts w:ascii="宋体" w:hAnsi="宋体" w:cs="宋体"/>
          <w:bCs/>
          <w:sz w:val="24"/>
          <w:szCs w:val="24"/>
        </w:rPr>
        <w:t>7</w:t>
      </w:r>
      <w:r>
        <w:rPr>
          <w:rFonts w:hint="eastAsia" w:ascii="宋体" w:hAnsi="宋体" w:cs="宋体"/>
          <w:bCs/>
          <w:sz w:val="24"/>
          <w:szCs w:val="24"/>
        </w:rPr>
        <w:t>、债务人是票据的出票人，被裁定适用《破产法》规定的程序，该票据的付款人继续付款或者承兑的，付款人以由此产生的请求权申报债权。</w:t>
      </w:r>
    </w:p>
    <w:p w14:paraId="6416F95F">
      <w:pPr>
        <w:spacing w:before="156" w:beforeLines="50" w:line="380" w:lineRule="exact"/>
        <w:ind w:firstLine="480" w:firstLineChars="200"/>
        <w:rPr>
          <w:rFonts w:hint="eastAsia" w:ascii="宋体" w:hAnsi="宋体" w:cs="宋体"/>
          <w:bCs/>
          <w:sz w:val="24"/>
          <w:szCs w:val="24"/>
        </w:rPr>
      </w:pPr>
      <w:r>
        <w:rPr>
          <w:rFonts w:hint="eastAsia" w:ascii="宋体" w:hAnsi="宋体" w:cs="宋体"/>
          <w:bCs/>
          <w:sz w:val="24"/>
          <w:szCs w:val="24"/>
        </w:rPr>
        <w:t>8、附条件、附期限的债权和诉讼、仲裁未决的债权，债权人可以申报。</w:t>
      </w:r>
    </w:p>
    <w:p w14:paraId="6069A9B2">
      <w:pPr>
        <w:spacing w:before="156" w:beforeLines="50" w:line="380" w:lineRule="exact"/>
        <w:ind w:firstLine="480" w:firstLineChars="200"/>
        <w:rPr>
          <w:rFonts w:hint="eastAsia" w:ascii="宋体" w:hAnsi="宋体" w:cs="宋体"/>
          <w:bCs/>
          <w:sz w:val="24"/>
          <w:szCs w:val="24"/>
        </w:rPr>
      </w:pPr>
      <w:r>
        <w:rPr>
          <w:rFonts w:hint="eastAsia" w:ascii="宋体" w:hAnsi="宋体" w:cs="宋体"/>
          <w:bCs/>
          <w:sz w:val="24"/>
          <w:szCs w:val="24"/>
        </w:rPr>
        <w:t>9、未到期债权，在破产清算申请受理时视为已到期；附利息的债权自破产清算申请受理时停止计息。</w:t>
      </w:r>
    </w:p>
    <w:p w14:paraId="509FF8FD">
      <w:pPr>
        <w:spacing w:before="156" w:beforeLines="50" w:line="380" w:lineRule="exact"/>
        <w:ind w:firstLine="480" w:firstLineChars="200"/>
        <w:rPr>
          <w:rFonts w:hint="eastAsia" w:ascii="宋体" w:hAnsi="宋体" w:cs="宋体"/>
          <w:bCs/>
          <w:sz w:val="24"/>
          <w:szCs w:val="24"/>
        </w:rPr>
      </w:pPr>
      <w:r>
        <w:rPr>
          <w:rFonts w:hint="eastAsia" w:ascii="宋体" w:hAnsi="宋体" w:cs="宋体"/>
          <w:bCs/>
          <w:sz w:val="24"/>
          <w:szCs w:val="24"/>
        </w:rPr>
        <w:t>10、法律规定其他可以申报的债权,债权人应当予以申报。</w:t>
      </w:r>
    </w:p>
    <w:p w14:paraId="241FEE42">
      <w:pPr>
        <w:spacing w:before="156" w:beforeLines="50" w:line="380" w:lineRule="exact"/>
        <w:ind w:firstLine="482" w:firstLineChars="200"/>
        <w:rPr>
          <w:rFonts w:hint="eastAsia" w:ascii="宋体" w:hAnsi="宋体" w:cs="宋体"/>
          <w:b/>
          <w:bCs/>
          <w:sz w:val="24"/>
          <w:szCs w:val="24"/>
        </w:rPr>
      </w:pPr>
      <w:r>
        <w:rPr>
          <w:rFonts w:hint="eastAsia" w:ascii="宋体" w:hAnsi="宋体" w:cs="宋体"/>
          <w:b/>
          <w:bCs/>
          <w:sz w:val="24"/>
          <w:szCs w:val="24"/>
        </w:rPr>
        <w:t>二、申报债权应提交的材料及顺序的要求</w:t>
      </w:r>
    </w:p>
    <w:p w14:paraId="7804267A">
      <w:pPr>
        <w:spacing w:before="156" w:beforeLines="50" w:line="380" w:lineRule="exact"/>
        <w:ind w:firstLine="480" w:firstLineChars="200"/>
        <w:rPr>
          <w:rFonts w:hint="eastAsia" w:ascii="宋体" w:hAnsi="宋体" w:cs="宋体"/>
          <w:bCs/>
          <w:sz w:val="24"/>
          <w:szCs w:val="24"/>
        </w:rPr>
      </w:pPr>
      <w:r>
        <w:rPr>
          <w:rFonts w:hint="eastAsia" w:ascii="宋体" w:hAnsi="宋体" w:cs="宋体"/>
          <w:bCs/>
          <w:sz w:val="24"/>
          <w:szCs w:val="24"/>
        </w:rPr>
        <w:t>(一)申报债权时应按要求提供以下材料：</w:t>
      </w:r>
    </w:p>
    <w:p w14:paraId="5245019E">
      <w:pPr>
        <w:spacing w:before="156" w:beforeLines="50" w:line="380" w:lineRule="exact"/>
        <w:ind w:firstLine="480" w:firstLineChars="200"/>
        <w:rPr>
          <w:rFonts w:hint="eastAsia" w:ascii="宋体" w:hAnsi="宋体" w:cs="宋体"/>
          <w:bCs/>
          <w:sz w:val="24"/>
          <w:szCs w:val="24"/>
        </w:rPr>
      </w:pPr>
      <w:r>
        <w:rPr>
          <w:rFonts w:hint="eastAsia" w:ascii="宋体" w:hAnsi="宋体" w:cs="宋体"/>
          <w:bCs/>
          <w:sz w:val="24"/>
          <w:szCs w:val="24"/>
        </w:rPr>
        <w:t>1、债权人已年检的营业执照复印件(加盖公章)、法定代表人或负责人身份证明(原件)、法定代表人或负责人身份证复印件(签字确认)；债权人为自然人的,提供居民身份证复印件(复印件签字确认)；委托代理人申报的，须提交授权委托书(原件)及代理人身份证复印件(复印件签字确认)；委托代理人是律师的，还应提交律所公函。</w:t>
      </w:r>
    </w:p>
    <w:p w14:paraId="3C5BE86F">
      <w:pPr>
        <w:spacing w:before="156" w:beforeLines="50" w:line="380" w:lineRule="exact"/>
        <w:ind w:firstLine="480" w:firstLineChars="200"/>
        <w:rPr>
          <w:rFonts w:hint="eastAsia" w:ascii="宋体" w:hAnsi="宋体" w:cs="宋体"/>
          <w:bCs/>
          <w:sz w:val="24"/>
          <w:szCs w:val="24"/>
        </w:rPr>
      </w:pPr>
      <w:r>
        <w:rPr>
          <w:rFonts w:hint="eastAsia" w:ascii="宋体" w:hAnsi="宋体" w:cs="宋体"/>
          <w:bCs/>
          <w:sz w:val="24"/>
          <w:szCs w:val="24"/>
        </w:rPr>
        <w:t>2、债权申报表、申报材料清单。</w:t>
      </w:r>
    </w:p>
    <w:p w14:paraId="2CF0C297">
      <w:pPr>
        <w:spacing w:before="156" w:beforeLines="50" w:line="380" w:lineRule="exact"/>
        <w:ind w:firstLine="480" w:firstLineChars="200"/>
        <w:rPr>
          <w:rFonts w:hint="eastAsia" w:ascii="宋体" w:hAnsi="宋体" w:cs="宋体"/>
          <w:bCs/>
          <w:sz w:val="24"/>
          <w:szCs w:val="24"/>
        </w:rPr>
      </w:pPr>
      <w:r>
        <w:rPr>
          <w:rFonts w:hint="eastAsia" w:ascii="宋体" w:hAnsi="宋体" w:cs="宋体"/>
          <w:bCs/>
          <w:sz w:val="24"/>
          <w:szCs w:val="24"/>
        </w:rPr>
        <w:t>3、申报债权的证据材料的复印件(如:合同、协议、往来帐及相关凭证、收款或付款凭证、对账单、结算书、判决书、裁决书、调解书、裁定书、利息或违约金计算说明等书面材料)并加盖公章或签字确认。</w:t>
      </w:r>
    </w:p>
    <w:p w14:paraId="2B65F3A6">
      <w:pPr>
        <w:spacing w:before="156" w:beforeLines="50" w:line="380" w:lineRule="exact"/>
        <w:ind w:firstLine="480" w:firstLineChars="200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（</w:t>
      </w:r>
      <w:r>
        <w:rPr>
          <w:rFonts w:ascii="宋体" w:hAnsi="宋体" w:cs="宋体"/>
          <w:sz w:val="24"/>
          <w:szCs w:val="24"/>
        </w:rPr>
        <w:t>1</w:t>
      </w:r>
      <w:r>
        <w:rPr>
          <w:rFonts w:hint="eastAsia" w:ascii="宋体" w:hAnsi="宋体" w:cs="宋体"/>
          <w:sz w:val="24"/>
          <w:szCs w:val="24"/>
        </w:rPr>
        <w:t>）债权如有担保的，还须提交抵押合同、质押合同、保证合同等相关合同及相关的登记证件（包括但不限于他项权利证）等担保原始材料复印件；</w:t>
      </w:r>
    </w:p>
    <w:p w14:paraId="0140E427">
      <w:pPr>
        <w:spacing w:before="156" w:beforeLines="50" w:line="380" w:lineRule="exact"/>
        <w:ind w:firstLine="480" w:firstLineChars="200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（</w:t>
      </w:r>
      <w:r>
        <w:rPr>
          <w:rFonts w:ascii="宋体" w:hAnsi="宋体" w:cs="宋体"/>
          <w:sz w:val="24"/>
          <w:szCs w:val="24"/>
        </w:rPr>
        <w:t>2</w:t>
      </w:r>
      <w:r>
        <w:rPr>
          <w:rFonts w:hint="eastAsia" w:ascii="宋体" w:hAnsi="宋体" w:cs="宋体"/>
          <w:sz w:val="24"/>
          <w:szCs w:val="24"/>
        </w:rPr>
        <w:t>）债权的发生及变更（包括但不限于债权转移、债务承担、合同转让、债权债务重组、抵销、清偿）等原始材料复印件；</w:t>
      </w:r>
    </w:p>
    <w:p w14:paraId="317D4C2A">
      <w:pPr>
        <w:spacing w:before="156" w:beforeLines="50" w:line="380" w:lineRule="exact"/>
        <w:ind w:firstLine="480" w:firstLineChars="200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（</w:t>
      </w:r>
      <w:r>
        <w:rPr>
          <w:rFonts w:ascii="宋体" w:hAnsi="宋体" w:cs="宋体"/>
          <w:sz w:val="24"/>
          <w:szCs w:val="24"/>
        </w:rPr>
        <w:t>3</w:t>
      </w:r>
      <w:r>
        <w:rPr>
          <w:rFonts w:hint="eastAsia" w:ascii="宋体" w:hAnsi="宋体" w:cs="宋体"/>
          <w:sz w:val="24"/>
          <w:szCs w:val="24"/>
        </w:rPr>
        <w:t>）债权如涉及诉讼、仲裁、调解、保全、执行，则须提交诉讼、仲裁、调解、保全、执行有关的文件复印件；</w:t>
      </w:r>
    </w:p>
    <w:p w14:paraId="2EDFB03E">
      <w:pPr>
        <w:spacing w:before="156" w:beforeLines="50" w:line="380" w:lineRule="exact"/>
        <w:ind w:firstLine="480" w:firstLineChars="200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（</w:t>
      </w:r>
      <w:r>
        <w:rPr>
          <w:rFonts w:ascii="宋体" w:hAnsi="宋体" w:cs="宋体"/>
          <w:sz w:val="24"/>
          <w:szCs w:val="24"/>
        </w:rPr>
        <w:t>4</w:t>
      </w:r>
      <w:r>
        <w:rPr>
          <w:rFonts w:hint="eastAsia" w:ascii="宋体" w:hAnsi="宋体" w:cs="宋体"/>
          <w:sz w:val="24"/>
          <w:szCs w:val="24"/>
        </w:rPr>
        <w:t>）债权人主张债权的相关证明资料，如催款、催收通知等复印件；</w:t>
      </w:r>
    </w:p>
    <w:p w14:paraId="5678F65A">
      <w:pPr>
        <w:spacing w:before="156" w:beforeLines="50" w:line="380" w:lineRule="exact"/>
        <w:ind w:firstLine="480" w:firstLineChars="200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（</w:t>
      </w:r>
      <w:r>
        <w:rPr>
          <w:rFonts w:ascii="宋体" w:hAnsi="宋体" w:cs="宋体"/>
          <w:sz w:val="24"/>
          <w:szCs w:val="24"/>
        </w:rPr>
        <w:t>5</w:t>
      </w:r>
      <w:r>
        <w:rPr>
          <w:rFonts w:hint="eastAsia" w:ascii="宋体" w:hAnsi="宋体" w:cs="宋体"/>
          <w:sz w:val="24"/>
          <w:szCs w:val="24"/>
        </w:rPr>
        <w:t>）能够证明债权发生、变更、存续、诉讼时效中止、中断、延长及其金额等情况的其他材料复印件。</w:t>
      </w:r>
    </w:p>
    <w:p w14:paraId="798FC940">
      <w:pPr>
        <w:spacing w:before="156" w:beforeLines="50" w:line="380" w:lineRule="exact"/>
        <w:ind w:firstLine="480" w:firstLineChars="200"/>
        <w:rPr>
          <w:rFonts w:hint="eastAsia" w:ascii="宋体" w:hAnsi="宋体" w:cs="宋体"/>
          <w:bCs/>
          <w:sz w:val="24"/>
          <w:szCs w:val="24"/>
        </w:rPr>
      </w:pPr>
      <w:r>
        <w:rPr>
          <w:rFonts w:hint="eastAsia" w:ascii="宋体" w:hAnsi="宋体" w:cs="宋体"/>
          <w:bCs/>
          <w:sz w:val="24"/>
          <w:szCs w:val="24"/>
        </w:rPr>
        <w:t>4、债权人申报债权时,应在《债权人基本信息确认书》中明确申报人的通讯地址、邮编、电话、联系人等。</w:t>
      </w:r>
    </w:p>
    <w:p w14:paraId="1C2889A6">
      <w:pPr>
        <w:spacing w:before="156" w:beforeLines="50" w:line="380" w:lineRule="exact"/>
        <w:ind w:firstLine="480" w:firstLineChars="200"/>
        <w:rPr>
          <w:rFonts w:hint="eastAsia" w:ascii="宋体" w:hAnsi="宋体" w:cs="宋体"/>
          <w:bCs/>
          <w:sz w:val="24"/>
          <w:szCs w:val="24"/>
        </w:rPr>
      </w:pPr>
      <w:r>
        <w:rPr>
          <w:rFonts w:hint="eastAsia" w:ascii="宋体" w:hAnsi="宋体" w:cs="宋体"/>
          <w:bCs/>
          <w:sz w:val="24"/>
          <w:szCs w:val="24"/>
        </w:rPr>
        <w:t>5、债权人申报债权时应提交相关文件材料以证明债权存在以及金额,简要陈述该债权的形成经过；若涉及合同关系，则该合同是否已经履行完毕要填写清楚。管理人如认为其提交文件材料不完整, 可要求债权人补充提交文件材料。</w:t>
      </w:r>
      <w:r>
        <w:rPr>
          <w:rFonts w:hint="eastAsia" w:ascii="宋体" w:hAnsi="宋体" w:cs="宋体"/>
          <w:b/>
          <w:bCs w:val="0"/>
          <w:sz w:val="24"/>
          <w:szCs w:val="24"/>
          <w:u w:val="single"/>
        </w:rPr>
        <w:t>申报孳息或违约金涉及多笔债权的,应分别列明每笔债权孳息或违约金计算说明。</w:t>
      </w:r>
    </w:p>
    <w:p w14:paraId="5A356046">
      <w:pPr>
        <w:spacing w:before="156" w:beforeLines="50" w:line="380" w:lineRule="exact"/>
        <w:ind w:firstLine="482" w:firstLineChars="200"/>
        <w:rPr>
          <w:rFonts w:hint="eastAsia" w:ascii="宋体" w:hAnsi="宋体" w:cs="宋体"/>
          <w:bCs/>
          <w:sz w:val="24"/>
          <w:szCs w:val="24"/>
        </w:rPr>
      </w:pPr>
      <w:r>
        <w:rPr>
          <w:rFonts w:hint="eastAsia" w:ascii="宋体" w:hAnsi="宋体" w:cs="宋体"/>
          <w:b/>
          <w:bCs/>
          <w:sz w:val="24"/>
          <w:szCs w:val="24"/>
        </w:rPr>
        <w:t>6、债权人提交的申报材料，须提交相关原件，并提交核对无误的复印件一份，</w:t>
      </w:r>
      <w:r>
        <w:rPr>
          <w:rFonts w:hint="eastAsia" w:ascii="宋体" w:hAnsi="宋体" w:cs="宋体"/>
          <w:bCs/>
          <w:sz w:val="24"/>
          <w:szCs w:val="24"/>
        </w:rPr>
        <w:t>债权人有义务保证其提交的文件资料与原件相一致，并在其提交的复印件上由债权人或其受托人签名或盖章。</w:t>
      </w:r>
      <w:r>
        <w:rPr>
          <w:rFonts w:hint="eastAsia" w:ascii="宋体" w:hAnsi="宋体" w:cs="宋体"/>
          <w:b/>
          <w:bCs w:val="0"/>
          <w:sz w:val="24"/>
          <w:szCs w:val="24"/>
          <w:u w:val="single"/>
        </w:rPr>
        <w:t>(进入司法程序或仲裁程序的，同时提交司法机关或仲裁机构出具的相关法律文书）</w:t>
      </w:r>
    </w:p>
    <w:p w14:paraId="4CBB3565">
      <w:pPr>
        <w:spacing w:before="156" w:beforeLines="50" w:line="380" w:lineRule="exact"/>
        <w:ind w:firstLine="480" w:firstLineChars="200"/>
        <w:rPr>
          <w:rFonts w:hint="eastAsia" w:ascii="宋体" w:hAnsi="宋体" w:cs="宋体"/>
          <w:bCs/>
          <w:sz w:val="24"/>
          <w:szCs w:val="24"/>
        </w:rPr>
      </w:pPr>
      <w:r>
        <w:rPr>
          <w:rFonts w:hint="eastAsia" w:ascii="宋体" w:hAnsi="宋体" w:cs="宋体"/>
          <w:bCs/>
          <w:sz w:val="24"/>
          <w:szCs w:val="24"/>
        </w:rPr>
        <w:t>7、审查债权过程中,管理人如要求审查证据原件的,申报人应根据管理人的要求提交证据原件。</w:t>
      </w:r>
    </w:p>
    <w:p w14:paraId="1D3B8BC9">
      <w:pPr>
        <w:spacing w:before="156" w:beforeLines="50" w:line="380" w:lineRule="exact"/>
        <w:ind w:firstLine="480" w:firstLineChars="200"/>
        <w:rPr>
          <w:rFonts w:hint="eastAsia" w:ascii="宋体" w:hAnsi="宋体" w:cs="宋体"/>
          <w:bCs/>
          <w:sz w:val="24"/>
          <w:szCs w:val="24"/>
        </w:rPr>
      </w:pPr>
      <w:r>
        <w:rPr>
          <w:rFonts w:hint="eastAsia" w:ascii="宋体" w:hAnsi="宋体" w:cs="宋体"/>
          <w:bCs/>
          <w:sz w:val="24"/>
          <w:szCs w:val="24"/>
        </w:rPr>
        <w:t>(二)材料装订顺序要求：请按《债权申报材料清单》所载材料的顺序装订成册,装订时加封面。</w:t>
      </w:r>
    </w:p>
    <w:p w14:paraId="106E62E2">
      <w:pPr>
        <w:spacing w:before="156" w:beforeLines="50" w:line="380" w:lineRule="exact"/>
        <w:ind w:firstLine="482" w:firstLineChars="200"/>
        <w:rPr>
          <w:rFonts w:hint="eastAsia" w:ascii="宋体" w:hAnsi="宋体" w:cs="宋体"/>
          <w:b/>
          <w:sz w:val="24"/>
          <w:szCs w:val="24"/>
        </w:rPr>
      </w:pPr>
      <w:r>
        <w:rPr>
          <w:rFonts w:hint="eastAsia" w:ascii="宋体" w:hAnsi="宋体" w:cs="宋体"/>
          <w:b/>
          <w:sz w:val="24"/>
          <w:szCs w:val="24"/>
        </w:rPr>
        <w:t>*</w:t>
      </w:r>
      <w:r>
        <w:rPr>
          <w:rFonts w:ascii="宋体" w:hAnsi="宋体" w:cs="宋体"/>
          <w:b/>
          <w:sz w:val="24"/>
          <w:szCs w:val="24"/>
        </w:rPr>
        <w:t>**</w:t>
      </w:r>
      <w:r>
        <w:rPr>
          <w:rFonts w:hint="eastAsia" w:ascii="宋体" w:hAnsi="宋体" w:cs="宋体"/>
          <w:b/>
          <w:sz w:val="24"/>
          <w:szCs w:val="24"/>
        </w:rPr>
        <w:t>以上材料均需扫描一份电子档，电子档名称为姓名</w:t>
      </w:r>
      <w:r>
        <w:rPr>
          <w:rFonts w:ascii="宋体" w:hAnsi="宋体" w:cs="宋体"/>
          <w:b/>
          <w:sz w:val="24"/>
          <w:szCs w:val="24"/>
        </w:rPr>
        <w:t>+</w:t>
      </w:r>
      <w:r>
        <w:rPr>
          <w:rFonts w:hint="eastAsia" w:ascii="宋体" w:hAnsi="宋体" w:cs="宋体"/>
          <w:b/>
          <w:sz w:val="24"/>
          <w:szCs w:val="24"/>
        </w:rPr>
        <w:t>申报债权，</w:t>
      </w:r>
      <w:r>
        <w:fldChar w:fldCharType="begin"/>
      </w:r>
      <w:r>
        <w:instrText xml:space="preserve"> HYPERLINK "mailto:2025年6月4日前发送至2653642892@qq.com" </w:instrText>
      </w:r>
      <w:r>
        <w:fldChar w:fldCharType="separate"/>
      </w:r>
      <w:r>
        <w:rPr>
          <w:rStyle w:val="6"/>
          <w:rFonts w:hint="eastAsia" w:ascii="宋体" w:hAnsi="宋体" w:cs="宋体"/>
          <w:sz w:val="24"/>
          <w:szCs w:val="24"/>
          <w:lang w:eastAsia="zh-CN"/>
        </w:rPr>
        <w:t>2025年6月29日</w:t>
      </w:r>
      <w:r>
        <w:rPr>
          <w:rStyle w:val="6"/>
          <w:rFonts w:ascii="宋体" w:hAnsi="宋体" w:cs="宋体"/>
          <w:b/>
          <w:sz w:val="24"/>
          <w:szCs w:val="24"/>
        </w:rPr>
        <w:t>前发送至</w:t>
      </w:r>
      <w:r>
        <w:rPr>
          <w:rStyle w:val="6"/>
          <w:rFonts w:hint="eastAsia" w:ascii="宋体" w:hAnsi="宋体" w:cs="宋体"/>
          <w:b/>
          <w:sz w:val="24"/>
          <w:szCs w:val="24"/>
          <w:lang w:val="en-US" w:eastAsia="zh-CN"/>
        </w:rPr>
        <w:t>1822465395</w:t>
      </w:r>
      <w:r>
        <w:rPr>
          <w:rStyle w:val="6"/>
          <w:rFonts w:ascii="宋体" w:hAnsi="宋体" w:cs="宋体"/>
          <w:b/>
          <w:sz w:val="24"/>
          <w:szCs w:val="24"/>
        </w:rPr>
        <w:t>@qq.com</w:t>
      </w:r>
      <w:r>
        <w:rPr>
          <w:rStyle w:val="6"/>
          <w:rFonts w:ascii="宋体" w:hAnsi="宋体" w:cs="宋体"/>
          <w:b/>
          <w:sz w:val="24"/>
          <w:szCs w:val="24"/>
        </w:rPr>
        <w:fldChar w:fldCharType="end"/>
      </w:r>
      <w:r>
        <w:rPr>
          <w:rFonts w:hint="eastAsia" w:ascii="宋体" w:hAnsi="宋体" w:cs="宋体"/>
          <w:b/>
          <w:sz w:val="24"/>
          <w:szCs w:val="24"/>
        </w:rPr>
        <w:t>。</w:t>
      </w:r>
    </w:p>
    <w:p w14:paraId="75D428CD">
      <w:pPr>
        <w:spacing w:before="156" w:beforeLines="50" w:line="380" w:lineRule="exact"/>
        <w:ind w:firstLine="482" w:firstLineChars="200"/>
        <w:rPr>
          <w:rFonts w:hint="eastAsia" w:ascii="宋体" w:hAnsi="宋体" w:cs="宋体"/>
          <w:b/>
          <w:bCs/>
          <w:sz w:val="24"/>
          <w:szCs w:val="24"/>
        </w:rPr>
      </w:pPr>
      <w:r>
        <w:rPr>
          <w:rFonts w:hint="eastAsia" w:ascii="宋体" w:hAnsi="宋体" w:cs="宋体"/>
          <w:b/>
          <w:bCs/>
          <w:sz w:val="24"/>
          <w:szCs w:val="24"/>
        </w:rPr>
        <w:t>三、申报需注意的问题及未申报或逾期申报债权的法律后果</w:t>
      </w:r>
    </w:p>
    <w:p w14:paraId="672E4338">
      <w:pPr>
        <w:spacing w:before="156" w:beforeLines="50" w:line="380" w:lineRule="exact"/>
        <w:ind w:firstLine="480" w:firstLineChars="200"/>
        <w:rPr>
          <w:rFonts w:hint="eastAsia" w:ascii="宋体" w:hAnsi="宋体" w:cs="宋体"/>
          <w:bCs/>
          <w:sz w:val="24"/>
          <w:szCs w:val="24"/>
        </w:rPr>
      </w:pPr>
      <w:r>
        <w:rPr>
          <w:rFonts w:hint="eastAsia" w:ascii="宋体" w:hAnsi="宋体" w:cs="宋体"/>
          <w:bCs/>
          <w:sz w:val="24"/>
          <w:szCs w:val="24"/>
        </w:rPr>
        <w:t>1、债权人应当在人民法院确定的债权申报期限内向管理人申报债权。在人民法院确定的债权申报期限内，债权人未申报债权的，可以在破产财产最后分配前补充申报；但是，此前已进行的分配，不再对其补充分配。为审查和确认补充申报债权的费用，由补充申报人承担。</w:t>
      </w:r>
    </w:p>
    <w:p w14:paraId="613F3A75">
      <w:pPr>
        <w:spacing w:before="156" w:beforeLines="50" w:line="380" w:lineRule="exact"/>
        <w:ind w:firstLine="480" w:firstLineChars="200"/>
        <w:rPr>
          <w:rFonts w:hint="eastAsia" w:ascii="宋体" w:hAnsi="宋体" w:cs="宋体"/>
          <w:bCs/>
          <w:sz w:val="24"/>
          <w:szCs w:val="24"/>
        </w:rPr>
      </w:pPr>
      <w:r>
        <w:rPr>
          <w:rFonts w:hint="eastAsia" w:ascii="宋体" w:hAnsi="宋体" w:cs="宋体"/>
          <w:bCs/>
          <w:sz w:val="24"/>
          <w:szCs w:val="24"/>
        </w:rPr>
        <w:t>2、债权人未依照《破产法》规定申报债权的,不得依照该法规定的程序行使权利。申报债权必须是在诉讼时效内的债权，凡超过诉讼时效或执行时效的，又无时效中断或中止的证据，不予确认。</w:t>
      </w:r>
    </w:p>
    <w:p w14:paraId="459BB7C4">
      <w:pPr>
        <w:spacing w:before="156" w:beforeLines="50" w:line="380" w:lineRule="exact"/>
        <w:ind w:firstLine="480" w:firstLineChars="200"/>
        <w:rPr>
          <w:rFonts w:hint="eastAsia" w:ascii="宋体" w:hAnsi="宋体" w:cs="宋体"/>
          <w:bCs/>
          <w:sz w:val="24"/>
          <w:szCs w:val="24"/>
          <w:u w:val="single"/>
        </w:rPr>
      </w:pPr>
      <w:r>
        <w:rPr>
          <w:rFonts w:ascii="宋体" w:hAnsi="宋体" w:cs="宋体"/>
          <w:bCs/>
          <w:sz w:val="24"/>
          <w:szCs w:val="24"/>
        </w:rPr>
        <w:t>3</w:t>
      </w:r>
      <w:r>
        <w:rPr>
          <w:rFonts w:hint="eastAsia" w:ascii="宋体" w:hAnsi="宋体" w:cs="宋体"/>
          <w:bCs/>
          <w:sz w:val="24"/>
          <w:szCs w:val="24"/>
        </w:rPr>
        <w:t>、</w:t>
      </w:r>
      <w:r>
        <w:rPr>
          <w:rFonts w:hint="eastAsia" w:ascii="宋体" w:hAnsi="宋体" w:cs="宋体"/>
          <w:bCs/>
          <w:sz w:val="24"/>
          <w:szCs w:val="24"/>
          <w:u w:val="single"/>
        </w:rPr>
        <w:t>申报债权的金额必须确定,外币必须转换成人民币计值,</w:t>
      </w:r>
      <w:r>
        <w:rPr>
          <w:rFonts w:hint="eastAsia" w:ascii="宋体" w:hAnsi="宋体" w:cs="宋体"/>
          <w:b/>
          <w:bCs/>
          <w:sz w:val="24"/>
          <w:szCs w:val="24"/>
          <w:u w:val="single"/>
        </w:rPr>
        <w:t xml:space="preserve">汇率以破产受理日即 </w:t>
      </w:r>
      <w:r>
        <w:rPr>
          <w:rFonts w:hint="eastAsia" w:ascii="宋体" w:hAnsi="宋体" w:cs="宋体"/>
          <w:b/>
          <w:bCs/>
          <w:sz w:val="24"/>
          <w:szCs w:val="24"/>
          <w:u w:val="single"/>
          <w:lang w:eastAsia="zh-CN"/>
        </w:rPr>
        <w:t>2025年5月19日</w:t>
      </w:r>
      <w:r>
        <w:rPr>
          <w:rFonts w:hint="eastAsia" w:ascii="宋体" w:hAnsi="宋体" w:cs="宋体"/>
          <w:b/>
          <w:bCs/>
          <w:sz w:val="24"/>
          <w:szCs w:val="24"/>
          <w:u w:val="single"/>
        </w:rPr>
        <w:t>公布的市场交易中间价为准</w:t>
      </w:r>
      <w:r>
        <w:rPr>
          <w:rFonts w:hint="eastAsia" w:ascii="宋体" w:hAnsi="宋体" w:cs="宋体"/>
          <w:bCs/>
          <w:sz w:val="24"/>
          <w:szCs w:val="24"/>
          <w:u w:val="single"/>
        </w:rPr>
        <w:t>(并请提交银行出具的汇率证明)。</w:t>
      </w:r>
    </w:p>
    <w:p w14:paraId="01E5A1B0">
      <w:pPr>
        <w:spacing w:before="156" w:beforeLines="50" w:line="380" w:lineRule="exact"/>
        <w:ind w:firstLine="480" w:firstLineChars="200"/>
        <w:rPr>
          <w:rFonts w:hint="eastAsia" w:ascii="宋体" w:hAnsi="宋体" w:cs="宋体"/>
          <w:bCs/>
          <w:sz w:val="24"/>
          <w:szCs w:val="24"/>
          <w:u w:val="single"/>
        </w:rPr>
      </w:pPr>
      <w:r>
        <w:rPr>
          <w:rFonts w:hint="eastAsia" w:ascii="宋体" w:hAnsi="宋体" w:cs="宋体"/>
          <w:bCs/>
          <w:sz w:val="24"/>
          <w:szCs w:val="24"/>
          <w:u w:val="single"/>
        </w:rPr>
        <w:t>4、债权申报时包括利息、罚息、违约金、滞纳金的,</w:t>
      </w:r>
      <w:r>
        <w:rPr>
          <w:rFonts w:hint="eastAsia" w:ascii="宋体" w:hAnsi="宋体" w:cs="宋体"/>
          <w:b/>
          <w:bCs/>
          <w:sz w:val="24"/>
          <w:szCs w:val="24"/>
          <w:u w:val="single"/>
        </w:rPr>
        <w:t xml:space="preserve">其计算到破产受理日即 </w:t>
      </w:r>
      <w:r>
        <w:rPr>
          <w:rFonts w:hint="eastAsia" w:ascii="宋体" w:hAnsi="宋体" w:cs="宋体"/>
          <w:b/>
          <w:bCs/>
          <w:sz w:val="24"/>
          <w:szCs w:val="24"/>
          <w:u w:val="single"/>
          <w:lang w:eastAsia="zh-CN"/>
        </w:rPr>
        <w:t>2025年5月19日</w:t>
      </w:r>
      <w:r>
        <w:rPr>
          <w:rFonts w:hint="eastAsia" w:ascii="宋体" w:hAnsi="宋体" w:cs="宋体"/>
          <w:b/>
          <w:bCs/>
          <w:sz w:val="24"/>
          <w:szCs w:val="24"/>
          <w:u w:val="single"/>
        </w:rPr>
        <w:t>为止</w:t>
      </w:r>
      <w:r>
        <w:rPr>
          <w:rFonts w:hint="eastAsia" w:ascii="宋体" w:hAnsi="宋体" w:cs="宋体"/>
          <w:bCs/>
          <w:sz w:val="24"/>
          <w:szCs w:val="24"/>
          <w:u w:val="single"/>
        </w:rPr>
        <w:t>。申报债权时未申报应付利息和违约金的,推定其放弃申报。</w:t>
      </w:r>
    </w:p>
    <w:p w14:paraId="61789B5A">
      <w:pPr>
        <w:spacing w:before="156" w:beforeLines="50" w:line="380" w:lineRule="exact"/>
        <w:ind w:firstLine="482" w:firstLineChars="200"/>
        <w:rPr>
          <w:rFonts w:hint="eastAsia" w:ascii="宋体" w:hAnsi="宋体" w:cs="宋体"/>
          <w:b/>
          <w:bCs/>
          <w:sz w:val="24"/>
          <w:szCs w:val="24"/>
        </w:rPr>
      </w:pPr>
      <w:r>
        <w:rPr>
          <w:rFonts w:hint="eastAsia" w:ascii="宋体" w:hAnsi="宋体" w:cs="宋体"/>
          <w:b/>
          <w:bCs/>
          <w:sz w:val="24"/>
          <w:szCs w:val="24"/>
        </w:rPr>
        <w:t>四、申报方式：</w:t>
      </w:r>
    </w:p>
    <w:p w14:paraId="6AECB14C">
      <w:pPr>
        <w:spacing w:before="156" w:beforeLines="50" w:line="380" w:lineRule="exact"/>
        <w:ind w:firstLine="480" w:firstLineChars="200"/>
        <w:rPr>
          <w:rFonts w:hint="eastAsia" w:ascii="宋体" w:hAnsi="宋体" w:cs="宋体"/>
          <w:bCs/>
          <w:sz w:val="24"/>
          <w:szCs w:val="24"/>
        </w:rPr>
      </w:pPr>
      <w:r>
        <w:rPr>
          <w:rFonts w:hint="eastAsia" w:ascii="宋体" w:hAnsi="宋体" w:cs="宋体"/>
          <w:bCs/>
          <w:sz w:val="24"/>
          <w:szCs w:val="24"/>
        </w:rPr>
        <w:t>1、本次债权申报时间：</w:t>
      </w:r>
      <w:r>
        <w:rPr>
          <w:rFonts w:hint="eastAsia" w:ascii="宋体" w:hAnsi="宋体" w:cs="宋体"/>
          <w:b/>
          <w:bCs/>
          <w:sz w:val="24"/>
          <w:szCs w:val="24"/>
          <w:u w:val="single"/>
        </w:rPr>
        <w:t>从法院出具公告之日起至</w:t>
      </w:r>
      <w:r>
        <w:rPr>
          <w:rFonts w:hint="eastAsia" w:ascii="宋体" w:hAnsi="宋体" w:cs="宋体"/>
          <w:b/>
          <w:bCs/>
          <w:sz w:val="24"/>
          <w:szCs w:val="24"/>
          <w:u w:val="single"/>
          <w:lang w:eastAsia="zh-CN"/>
        </w:rPr>
        <w:t>2025年6月29日</w:t>
      </w:r>
      <w:r>
        <w:rPr>
          <w:rFonts w:hint="eastAsia" w:ascii="宋体" w:hAnsi="宋体" w:cs="宋体"/>
          <w:b/>
          <w:bCs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>止</w:t>
      </w:r>
      <w:r>
        <w:rPr>
          <w:rFonts w:hint="eastAsia" w:ascii="宋体" w:hAnsi="宋体" w:cs="宋体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（周</w:t>
      </w:r>
      <w:r>
        <w:rPr>
          <w:rFonts w:hint="eastAsia" w:ascii="宋体" w:hAnsi="宋体" w:cs="宋体"/>
          <w:bCs/>
          <w:sz w:val="24"/>
          <w:szCs w:val="24"/>
        </w:rPr>
        <w:t>一至周五</w:t>
      </w:r>
      <w:r>
        <w:rPr>
          <w:rFonts w:hint="eastAsia" w:ascii="宋体" w:hAnsi="宋体" w:cs="宋体"/>
          <w:bCs/>
          <w:sz w:val="24"/>
          <w:szCs w:val="24"/>
          <w:lang w:eastAsia="zh-CN"/>
        </w:rPr>
        <w:t>，</w:t>
      </w:r>
      <w:r>
        <w:rPr>
          <w:rFonts w:hint="eastAsia" w:ascii="宋体" w:hAnsi="宋体" w:cs="宋体"/>
          <w:bCs/>
          <w:sz w:val="24"/>
          <w:szCs w:val="24"/>
          <w:lang w:val="en-US" w:eastAsia="zh-CN"/>
        </w:rPr>
        <w:t>9：30-17：00</w:t>
      </w:r>
      <w:r>
        <w:rPr>
          <w:rFonts w:hint="eastAsia" w:ascii="宋体" w:hAnsi="宋体" w:cs="宋体"/>
          <w:bCs/>
          <w:sz w:val="24"/>
          <w:szCs w:val="24"/>
        </w:rPr>
        <w:t>)。</w:t>
      </w:r>
    </w:p>
    <w:p w14:paraId="155AAD25">
      <w:pPr>
        <w:wordWrap w:val="0"/>
        <w:spacing w:before="156" w:beforeLines="50" w:line="380" w:lineRule="exact"/>
        <w:ind w:firstLine="480" w:firstLineChars="200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bCs/>
          <w:sz w:val="24"/>
          <w:szCs w:val="24"/>
        </w:rPr>
        <w:t>2、申报地址：</w:t>
      </w:r>
      <w:r>
        <w:rPr>
          <w:rFonts w:hint="eastAsia" w:ascii="宋体" w:hAnsi="宋体" w:cs="宋体"/>
          <w:sz w:val="24"/>
          <w:szCs w:val="24"/>
        </w:rPr>
        <w:t>南京市建邺区奥体大街6</w:t>
      </w:r>
      <w:r>
        <w:rPr>
          <w:rFonts w:ascii="宋体" w:hAnsi="宋体" w:cs="宋体"/>
          <w:sz w:val="24"/>
          <w:szCs w:val="24"/>
        </w:rPr>
        <w:t>8</w:t>
      </w:r>
      <w:r>
        <w:rPr>
          <w:rFonts w:hint="eastAsia" w:ascii="宋体" w:hAnsi="宋体" w:cs="宋体"/>
          <w:sz w:val="24"/>
          <w:szCs w:val="24"/>
        </w:rPr>
        <w:t>号5</w:t>
      </w:r>
      <w:r>
        <w:rPr>
          <w:rFonts w:ascii="宋体" w:hAnsi="宋体" w:cs="宋体"/>
          <w:sz w:val="24"/>
          <w:szCs w:val="24"/>
        </w:rPr>
        <w:t>A</w:t>
      </w:r>
      <w:r>
        <w:rPr>
          <w:rFonts w:hint="eastAsia" w:ascii="宋体" w:hAnsi="宋体" w:cs="宋体"/>
          <w:sz w:val="24"/>
          <w:szCs w:val="24"/>
        </w:rPr>
        <w:t>栋1</w:t>
      </w:r>
      <w:r>
        <w:rPr>
          <w:rFonts w:ascii="宋体" w:hAnsi="宋体" w:cs="宋体"/>
          <w:sz w:val="24"/>
          <w:szCs w:val="24"/>
        </w:rPr>
        <w:t>5</w:t>
      </w:r>
      <w:r>
        <w:rPr>
          <w:rFonts w:hint="eastAsia" w:ascii="宋体" w:hAnsi="宋体" w:cs="宋体"/>
          <w:sz w:val="24"/>
          <w:szCs w:val="24"/>
        </w:rPr>
        <w:t>层，邮编：2</w:t>
      </w:r>
      <w:r>
        <w:rPr>
          <w:rFonts w:ascii="宋体" w:hAnsi="宋体" w:cs="宋体"/>
          <w:sz w:val="24"/>
          <w:szCs w:val="24"/>
        </w:rPr>
        <w:t>10019</w:t>
      </w:r>
      <w:r>
        <w:rPr>
          <w:rFonts w:ascii="宋体" w:hAnsi="宋体" w:cs="宋体"/>
          <w:bCs/>
          <w:sz w:val="24"/>
          <w:szCs w:val="24"/>
        </w:rPr>
        <w:t xml:space="preserve"> </w:t>
      </w:r>
    </w:p>
    <w:p w14:paraId="52B113B8">
      <w:pPr>
        <w:wordWrap w:val="0"/>
        <w:spacing w:before="156" w:beforeLines="50" w:line="380" w:lineRule="exact"/>
        <w:ind w:firstLine="480" w:firstLineChars="200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bCs/>
          <w:sz w:val="24"/>
          <w:szCs w:val="24"/>
        </w:rPr>
        <w:t>3、联系人：</w:t>
      </w:r>
      <w:r>
        <w:rPr>
          <w:rFonts w:hint="eastAsia" w:ascii="宋体" w:hAnsi="宋体" w:cs="宋体"/>
          <w:bCs/>
          <w:sz w:val="24"/>
          <w:szCs w:val="24"/>
          <w:lang w:eastAsia="zh-CN"/>
        </w:rPr>
        <w:t>南京达展脚手架工程有限公司</w:t>
      </w:r>
      <w:r>
        <w:rPr>
          <w:rFonts w:hint="eastAsia" w:ascii="宋体" w:hAnsi="宋体" w:cs="宋体"/>
          <w:sz w:val="24"/>
          <w:szCs w:val="24"/>
        </w:rPr>
        <w:t xml:space="preserve">管理人 </w:t>
      </w:r>
    </w:p>
    <w:p w14:paraId="6E4E6B48">
      <w:pPr>
        <w:wordWrap w:val="0"/>
        <w:spacing w:before="156" w:beforeLines="50" w:line="380" w:lineRule="exact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 xml:space="preserve">         </w:t>
      </w:r>
      <w:r>
        <w:rPr>
          <w:rFonts w:ascii="宋体" w:hAnsi="宋体" w:cs="宋体"/>
          <w:sz w:val="24"/>
          <w:szCs w:val="24"/>
        </w:rPr>
        <w:t xml:space="preserve">     </w:t>
      </w:r>
      <w:r>
        <w:rPr>
          <w:rFonts w:hint="eastAsia" w:ascii="宋体" w:hAnsi="宋体" w:cs="宋体"/>
          <w:sz w:val="24"/>
          <w:szCs w:val="24"/>
        </w:rPr>
        <w:t xml:space="preserve"> 宋柏安 实习律师 13915959684  潘玉婷 律师  </w:t>
      </w:r>
      <w:r>
        <w:rPr>
          <w:rFonts w:ascii="宋体" w:hAnsi="宋体" w:cs="宋体"/>
          <w:sz w:val="24"/>
          <w:szCs w:val="24"/>
        </w:rPr>
        <w:t>1</w:t>
      </w:r>
      <w:r>
        <w:rPr>
          <w:rFonts w:hint="eastAsia" w:ascii="宋体" w:hAnsi="宋体" w:cs="宋体"/>
          <w:sz w:val="24"/>
          <w:szCs w:val="24"/>
        </w:rPr>
        <w:t>8061062022</w:t>
      </w:r>
    </w:p>
    <w:p w14:paraId="5051BFE9">
      <w:pPr>
        <w:spacing w:before="156" w:beforeLines="50" w:line="380" w:lineRule="exact"/>
        <w:ind w:firstLine="482" w:firstLineChars="200"/>
        <w:rPr>
          <w:rFonts w:hint="eastAsia" w:ascii="宋体" w:hAnsi="宋体" w:cs="宋体"/>
          <w:b/>
          <w:bCs/>
          <w:sz w:val="24"/>
          <w:szCs w:val="24"/>
        </w:rPr>
      </w:pPr>
      <w:r>
        <w:rPr>
          <w:rFonts w:hint="eastAsia" w:ascii="宋体" w:hAnsi="宋体" w:cs="宋体"/>
          <w:b/>
          <w:bCs/>
          <w:sz w:val="24"/>
          <w:szCs w:val="24"/>
        </w:rPr>
        <w:t>五、第一次债权人会议定</w:t>
      </w:r>
      <w:r>
        <w:rPr>
          <w:rFonts w:hint="eastAsia" w:ascii="宋体" w:hAnsi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于</w:t>
      </w:r>
      <w:r>
        <w:rPr>
          <w:rFonts w:hint="eastAsia" w:ascii="宋体" w:hAnsi="宋体" w:cs="宋体"/>
          <w:b/>
          <w:bCs/>
          <w:color w:val="0070C0"/>
          <w:sz w:val="24"/>
          <w:szCs w:val="24"/>
          <w:u w:val="single"/>
        </w:rPr>
        <w:t>2025年7月1日上午9：30在南京市浦口区人民法院第十二法庭召开</w:t>
      </w:r>
      <w:r>
        <w:rPr>
          <w:rFonts w:hint="eastAsia" w:ascii="宋体" w:hAnsi="宋体" w:cs="宋体"/>
          <w:b/>
          <w:bCs/>
          <w:sz w:val="24"/>
          <w:szCs w:val="24"/>
        </w:rPr>
        <w:t>召开,请各位债权人准时参加,参加时请携带有效证件。</w:t>
      </w:r>
    </w:p>
    <w:p w14:paraId="6B3C25C2">
      <w:pPr>
        <w:spacing w:before="156" w:beforeLines="50" w:line="380" w:lineRule="exact"/>
        <w:ind w:firstLine="482" w:firstLineChars="200"/>
        <w:rPr>
          <w:rFonts w:hint="eastAsia" w:ascii="宋体" w:hAnsi="宋体" w:cs="宋体"/>
          <w:b/>
          <w:bCs/>
          <w:sz w:val="24"/>
          <w:szCs w:val="24"/>
        </w:rPr>
      </w:pPr>
      <w:r>
        <w:rPr>
          <w:rFonts w:hint="eastAsia" w:ascii="宋体" w:hAnsi="宋体" w:cs="宋体"/>
          <w:b/>
          <w:bCs/>
          <w:sz w:val="24"/>
          <w:szCs w:val="24"/>
        </w:rPr>
        <w:t>六、管理人特别提示</w:t>
      </w:r>
    </w:p>
    <w:p w14:paraId="7D8174B1">
      <w:pPr>
        <w:spacing w:before="156" w:beforeLines="50" w:line="380" w:lineRule="exact"/>
        <w:ind w:firstLine="480" w:firstLineChars="200"/>
        <w:rPr>
          <w:rFonts w:hint="eastAsia" w:ascii="宋体" w:hAnsi="宋体" w:cs="宋体"/>
          <w:bCs/>
          <w:sz w:val="24"/>
          <w:szCs w:val="24"/>
        </w:rPr>
      </w:pPr>
      <w:r>
        <w:rPr>
          <w:rFonts w:hint="eastAsia" w:ascii="宋体" w:hAnsi="宋体" w:cs="宋体"/>
          <w:bCs/>
          <w:sz w:val="24"/>
          <w:szCs w:val="24"/>
        </w:rPr>
        <w:t>本《申报债权须知》只是针对债权人申报债权时注意事项及风险告知的特别提示，不视为出具给债权人的法律意见。债权人虚假申报债权或提供虚假申报材料,损害其他债权人利益的,管理人将依法移送公安机关</w:t>
      </w:r>
      <w:bookmarkStart w:id="0" w:name="_GoBack"/>
      <w:bookmarkEnd w:id="0"/>
      <w:r>
        <w:rPr>
          <w:rFonts w:hint="eastAsia" w:ascii="宋体" w:hAnsi="宋体" w:cs="宋体"/>
          <w:bCs/>
          <w:sz w:val="24"/>
          <w:szCs w:val="24"/>
        </w:rPr>
        <w:t>追究其法律责任。</w:t>
      </w:r>
    </w:p>
    <w:p w14:paraId="03A95F36">
      <w:pPr>
        <w:spacing w:before="156" w:beforeLines="50" w:line="380" w:lineRule="exact"/>
        <w:ind w:firstLine="1205" w:firstLineChars="500"/>
        <w:jc w:val="right"/>
        <w:rPr>
          <w:rFonts w:hint="eastAsia" w:ascii="宋体" w:hAnsi="宋体" w:cs="宋体"/>
          <w:b/>
          <w:sz w:val="24"/>
          <w:szCs w:val="24"/>
        </w:rPr>
      </w:pPr>
      <w:r>
        <w:rPr>
          <w:rFonts w:hint="eastAsia" w:ascii="宋体" w:hAnsi="宋体" w:cs="宋体"/>
          <w:b/>
          <w:sz w:val="24"/>
          <w:szCs w:val="24"/>
          <w:lang w:eastAsia="zh-CN"/>
        </w:rPr>
        <w:t>南京达展脚手架工程有限公司</w:t>
      </w:r>
      <w:r>
        <w:rPr>
          <w:rFonts w:hint="eastAsia" w:ascii="宋体" w:hAnsi="宋体" w:cs="宋体"/>
          <w:b/>
          <w:sz w:val="24"/>
          <w:szCs w:val="24"/>
        </w:rPr>
        <w:t>管理人</w:t>
      </w:r>
    </w:p>
    <w:p w14:paraId="13B64A33">
      <w:pPr>
        <w:wordWrap w:val="0"/>
        <w:spacing w:before="156" w:beforeLines="50" w:line="380" w:lineRule="exact"/>
        <w:ind w:firstLine="1205" w:firstLineChars="500"/>
        <w:jc w:val="right"/>
        <w:rPr>
          <w:rFonts w:hint="eastAsia" w:ascii="宋体" w:hAnsi="宋体" w:cs="宋体"/>
          <w:b/>
          <w:bCs/>
          <w:sz w:val="28"/>
          <w:szCs w:val="28"/>
          <w:u w:val="single"/>
        </w:rPr>
      </w:pPr>
      <w:r>
        <w:rPr>
          <w:rFonts w:hint="eastAsia" w:ascii="宋体" w:hAnsi="宋体" w:cs="宋体"/>
          <w:b/>
          <w:sz w:val="24"/>
          <w:szCs w:val="24"/>
        </w:rPr>
        <w:t>2025年</w:t>
      </w:r>
      <w:r>
        <w:rPr>
          <w:rFonts w:hint="eastAsia" w:ascii="宋体" w:hAnsi="宋体" w:cs="宋体"/>
          <w:b/>
          <w:sz w:val="24"/>
          <w:szCs w:val="24"/>
          <w:lang w:val="en-US" w:eastAsia="zh-CN"/>
        </w:rPr>
        <w:t>5</w:t>
      </w:r>
      <w:r>
        <w:rPr>
          <w:rFonts w:hint="eastAsia" w:ascii="宋体" w:hAnsi="宋体" w:cs="宋体"/>
          <w:b/>
          <w:sz w:val="24"/>
          <w:szCs w:val="24"/>
        </w:rPr>
        <w:t>月</w:t>
      </w:r>
      <w:r>
        <w:rPr>
          <w:rFonts w:hint="eastAsia" w:ascii="宋体" w:hAnsi="宋体" w:cs="宋体"/>
          <w:b/>
          <w:sz w:val="24"/>
          <w:szCs w:val="24"/>
          <w:lang w:val="en-US" w:eastAsia="zh-CN"/>
        </w:rPr>
        <w:t>22</w:t>
      </w:r>
      <w:r>
        <w:rPr>
          <w:rFonts w:hint="eastAsia" w:ascii="宋体" w:hAnsi="宋体" w:cs="宋体"/>
          <w:b/>
          <w:sz w:val="24"/>
          <w:szCs w:val="24"/>
        </w:rPr>
        <w:t>日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C34F38">
    <w:pPr>
      <w:pStyle w:val="2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2</w:t>
    </w:r>
    <w:r>
      <w:fldChar w:fldCharType="end"/>
    </w:r>
  </w:p>
  <w:p w14:paraId="76C2C1C0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JiYzRjZDg4ODIxMmZkMzVjYzYxNzIzMDEwYjJjY2IifQ=="/>
  </w:docVars>
  <w:rsids>
    <w:rsidRoot w:val="00787792"/>
    <w:rsid w:val="00047220"/>
    <w:rsid w:val="00061F9E"/>
    <w:rsid w:val="00064792"/>
    <w:rsid w:val="00093BA4"/>
    <w:rsid w:val="000B183D"/>
    <w:rsid w:val="000B420C"/>
    <w:rsid w:val="00116B98"/>
    <w:rsid w:val="001445C3"/>
    <w:rsid w:val="00146A0E"/>
    <w:rsid w:val="00162051"/>
    <w:rsid w:val="00196BF0"/>
    <w:rsid w:val="001A2B68"/>
    <w:rsid w:val="001F62D2"/>
    <w:rsid w:val="002253A3"/>
    <w:rsid w:val="0023098D"/>
    <w:rsid w:val="002406CB"/>
    <w:rsid w:val="00270FC4"/>
    <w:rsid w:val="002839C9"/>
    <w:rsid w:val="00285FA6"/>
    <w:rsid w:val="00292515"/>
    <w:rsid w:val="00296287"/>
    <w:rsid w:val="002E6EAE"/>
    <w:rsid w:val="002F0922"/>
    <w:rsid w:val="002F333E"/>
    <w:rsid w:val="0030711E"/>
    <w:rsid w:val="00337509"/>
    <w:rsid w:val="00360D8A"/>
    <w:rsid w:val="0037078C"/>
    <w:rsid w:val="003831B3"/>
    <w:rsid w:val="00385439"/>
    <w:rsid w:val="003A0C0E"/>
    <w:rsid w:val="003B650C"/>
    <w:rsid w:val="003B685B"/>
    <w:rsid w:val="003E26F3"/>
    <w:rsid w:val="003F6714"/>
    <w:rsid w:val="003F7989"/>
    <w:rsid w:val="00407EF4"/>
    <w:rsid w:val="00426991"/>
    <w:rsid w:val="00431A48"/>
    <w:rsid w:val="00457177"/>
    <w:rsid w:val="0047197F"/>
    <w:rsid w:val="00486A26"/>
    <w:rsid w:val="004A1087"/>
    <w:rsid w:val="004B5DA2"/>
    <w:rsid w:val="004F1843"/>
    <w:rsid w:val="00514D0D"/>
    <w:rsid w:val="00545307"/>
    <w:rsid w:val="0055171B"/>
    <w:rsid w:val="00560A13"/>
    <w:rsid w:val="005721A6"/>
    <w:rsid w:val="005764E4"/>
    <w:rsid w:val="0058757E"/>
    <w:rsid w:val="00590F00"/>
    <w:rsid w:val="005931AB"/>
    <w:rsid w:val="005A37E2"/>
    <w:rsid w:val="005B2A7D"/>
    <w:rsid w:val="005C6AFE"/>
    <w:rsid w:val="00603ECB"/>
    <w:rsid w:val="0062414A"/>
    <w:rsid w:val="00647120"/>
    <w:rsid w:val="006717B3"/>
    <w:rsid w:val="006717F8"/>
    <w:rsid w:val="00680C9E"/>
    <w:rsid w:val="00684495"/>
    <w:rsid w:val="006851F3"/>
    <w:rsid w:val="006947CE"/>
    <w:rsid w:val="006B67C1"/>
    <w:rsid w:val="006F140E"/>
    <w:rsid w:val="006F1D8E"/>
    <w:rsid w:val="006F6AC2"/>
    <w:rsid w:val="00705729"/>
    <w:rsid w:val="0071492E"/>
    <w:rsid w:val="00726FE4"/>
    <w:rsid w:val="007321C1"/>
    <w:rsid w:val="00735190"/>
    <w:rsid w:val="00750024"/>
    <w:rsid w:val="00787792"/>
    <w:rsid w:val="00793007"/>
    <w:rsid w:val="0079536E"/>
    <w:rsid w:val="007C3525"/>
    <w:rsid w:val="007D1746"/>
    <w:rsid w:val="007E5F7B"/>
    <w:rsid w:val="00834177"/>
    <w:rsid w:val="0086159C"/>
    <w:rsid w:val="00863ADB"/>
    <w:rsid w:val="008A4BDC"/>
    <w:rsid w:val="00904DEC"/>
    <w:rsid w:val="00910AEB"/>
    <w:rsid w:val="00937A3A"/>
    <w:rsid w:val="0094249E"/>
    <w:rsid w:val="009648E0"/>
    <w:rsid w:val="00975743"/>
    <w:rsid w:val="009E05B6"/>
    <w:rsid w:val="009E366D"/>
    <w:rsid w:val="009E4E61"/>
    <w:rsid w:val="00A371CB"/>
    <w:rsid w:val="00A42CD7"/>
    <w:rsid w:val="00A447B9"/>
    <w:rsid w:val="00A478EE"/>
    <w:rsid w:val="00A535D6"/>
    <w:rsid w:val="00AA609C"/>
    <w:rsid w:val="00AB6672"/>
    <w:rsid w:val="00AC08D0"/>
    <w:rsid w:val="00AC7848"/>
    <w:rsid w:val="00AF6EE0"/>
    <w:rsid w:val="00B132A2"/>
    <w:rsid w:val="00B172E7"/>
    <w:rsid w:val="00B26502"/>
    <w:rsid w:val="00B55141"/>
    <w:rsid w:val="00B72D59"/>
    <w:rsid w:val="00B86C05"/>
    <w:rsid w:val="00BA5A64"/>
    <w:rsid w:val="00BA6433"/>
    <w:rsid w:val="00BC11C5"/>
    <w:rsid w:val="00BD6211"/>
    <w:rsid w:val="00C06801"/>
    <w:rsid w:val="00C9719E"/>
    <w:rsid w:val="00CA6E65"/>
    <w:rsid w:val="00CA7038"/>
    <w:rsid w:val="00D1272F"/>
    <w:rsid w:val="00D22BE7"/>
    <w:rsid w:val="00D25D55"/>
    <w:rsid w:val="00D2706A"/>
    <w:rsid w:val="00D536CB"/>
    <w:rsid w:val="00D565DC"/>
    <w:rsid w:val="00D61FC1"/>
    <w:rsid w:val="00D626D9"/>
    <w:rsid w:val="00DA5CE7"/>
    <w:rsid w:val="00DD71B2"/>
    <w:rsid w:val="00DE3F1A"/>
    <w:rsid w:val="00DE4FB0"/>
    <w:rsid w:val="00DF7819"/>
    <w:rsid w:val="00E15910"/>
    <w:rsid w:val="00E3255D"/>
    <w:rsid w:val="00E520DF"/>
    <w:rsid w:val="00E60F2A"/>
    <w:rsid w:val="00E91683"/>
    <w:rsid w:val="00EC1ADC"/>
    <w:rsid w:val="00F11E55"/>
    <w:rsid w:val="00F225E4"/>
    <w:rsid w:val="00F73B29"/>
    <w:rsid w:val="00FC5DDC"/>
    <w:rsid w:val="00FD3D4A"/>
    <w:rsid w:val="01320079"/>
    <w:rsid w:val="01DF5DA9"/>
    <w:rsid w:val="02892DFF"/>
    <w:rsid w:val="05CD222A"/>
    <w:rsid w:val="070C15DE"/>
    <w:rsid w:val="14EE58A4"/>
    <w:rsid w:val="1ABF7B37"/>
    <w:rsid w:val="1F0979D8"/>
    <w:rsid w:val="285350F9"/>
    <w:rsid w:val="2EC71899"/>
    <w:rsid w:val="33577393"/>
    <w:rsid w:val="35472BB0"/>
    <w:rsid w:val="3806663E"/>
    <w:rsid w:val="3BA9035E"/>
    <w:rsid w:val="3D89645B"/>
    <w:rsid w:val="3EAC6167"/>
    <w:rsid w:val="49D14709"/>
    <w:rsid w:val="4F9311BF"/>
    <w:rsid w:val="51D677D0"/>
    <w:rsid w:val="5440674E"/>
    <w:rsid w:val="5C5B574E"/>
    <w:rsid w:val="5FC260EB"/>
    <w:rsid w:val="72E932AB"/>
    <w:rsid w:val="75A1188D"/>
    <w:rsid w:val="7FA44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7">
    <w:name w:val="页眉 字符"/>
    <w:link w:val="3"/>
    <w:qFormat/>
    <w:locked/>
    <w:uiPriority w:val="99"/>
    <w:rPr>
      <w:sz w:val="18"/>
      <w:szCs w:val="18"/>
    </w:rPr>
  </w:style>
  <w:style w:type="character" w:customStyle="1" w:styleId="8">
    <w:name w:val="页脚 字符"/>
    <w:link w:val="2"/>
    <w:qFormat/>
    <w:locked/>
    <w:uiPriority w:val="99"/>
    <w:rPr>
      <w:sz w:val="18"/>
      <w:szCs w:val="18"/>
    </w:rPr>
  </w:style>
  <w:style w:type="character" w:customStyle="1" w:styleId="9">
    <w:name w:val="未处理的提及1"/>
    <w:basedOn w:val="5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0">
    <w:name w:val="Unresolved Mention"/>
    <w:basedOn w:val="5"/>
    <w:semiHidden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2501</Words>
  <Characters>2582</Characters>
  <Lines>60</Lines>
  <Paragraphs>53</Paragraphs>
  <TotalTime>2</TotalTime>
  <ScaleCrop>false</ScaleCrop>
  <LinksUpToDate>false</LinksUpToDate>
  <CharactersWithSpaces>2610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2025-04-18T04:35:00Z</dcterms:created>
  <dc:creator>sunqiujuan</dc:creator>
  <cp:lastModifiedBy>office11</cp:lastModifiedBy>
  <cp:lastPrinted>2019-02-22T06:32:00Z</cp:lastPrinted>
  <dcterms:modified xsi:type="dcterms:W3CDTF">2025-05-27T07:19:00Z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20603B55A6BD4B309F6E8A57EA42E8A6_12</vt:lpwstr>
  </property>
  <property fmtid="{D5CDD505-2E9C-101B-9397-08002B2CF9AE}" pid="4" name="KSOTemplateDocerSaveRecord">
    <vt:lpwstr>eyJoZGlkIjoiYzBmYTNkOGQxODgxYzE0MmM0YjdlNjIxYjY0ZDlkNWYiLCJ1c2VySWQiOiIzNjY2Nzk5NzEifQ==</vt:lpwstr>
  </property>
</Properties>
</file>