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4D8FC5">
      <w:pPr>
        <w:keepNext w:val="0"/>
        <w:keepLines w:val="0"/>
        <w:pageBreakBefore w:val="0"/>
        <w:widowControl w:val="0"/>
        <w:kinsoku/>
        <w:wordWrap/>
        <w:overflowPunct/>
        <w:topLinePunct w:val="0"/>
        <w:autoSpaceDE/>
        <w:autoSpaceDN/>
        <w:bidi w:val="0"/>
        <w:adjustRightInd/>
        <w:snapToGrid/>
        <w:spacing w:line="540" w:lineRule="exact"/>
        <w:ind w:left="0" w:leftChars="0"/>
        <w:jc w:val="distribute"/>
        <w:textAlignment w:val="auto"/>
        <w:rPr>
          <w:rFonts w:hint="eastAsia" w:eastAsia="宋体"/>
          <w:b/>
          <w:sz w:val="40"/>
          <w:szCs w:val="44"/>
          <w:highlight w:val="none"/>
          <w:lang w:val="en-US" w:eastAsia="zh-CN"/>
        </w:rPr>
      </w:pPr>
      <w:r>
        <w:rPr>
          <w:rFonts w:hint="eastAsia"/>
          <w:b/>
          <w:sz w:val="40"/>
          <w:szCs w:val="44"/>
          <w:highlight w:val="none"/>
          <w:lang w:val="en-US" w:eastAsia="zh-CN"/>
        </w:rPr>
        <w:t>圣泉（福建）制釉有限公司各分公司债权申报</w:t>
      </w:r>
    </w:p>
    <w:p w14:paraId="4A73BF23">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b/>
          <w:sz w:val="40"/>
          <w:szCs w:val="44"/>
        </w:rPr>
      </w:pPr>
      <w:bookmarkStart w:id="0" w:name="_GoBack"/>
      <w:bookmarkEnd w:id="0"/>
      <w:r>
        <w:rPr>
          <w:rFonts w:hint="eastAsia"/>
          <w:b/>
          <w:sz w:val="40"/>
          <w:szCs w:val="44"/>
          <w:lang w:eastAsia="zh-CN"/>
        </w:rPr>
        <w:t>暨</w:t>
      </w:r>
      <w:r>
        <w:rPr>
          <w:rFonts w:hint="eastAsia"/>
          <w:b/>
          <w:sz w:val="40"/>
          <w:szCs w:val="44"/>
        </w:rPr>
        <w:t>第一次债权人会议</w:t>
      </w:r>
    </w:p>
    <w:p w14:paraId="20232F37">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eastAsia="宋体"/>
          <w:b/>
          <w:sz w:val="40"/>
          <w:szCs w:val="44"/>
          <w:lang w:eastAsia="zh-CN"/>
        </w:rPr>
      </w:pPr>
      <w:r>
        <w:rPr>
          <w:rFonts w:hint="eastAsia"/>
          <w:b/>
          <w:sz w:val="40"/>
          <w:szCs w:val="44"/>
          <w:lang w:eastAsia="zh-CN"/>
        </w:rPr>
        <w:t>公</w:t>
      </w:r>
      <w:r>
        <w:rPr>
          <w:rFonts w:hint="eastAsia"/>
          <w:b/>
          <w:sz w:val="40"/>
          <w:szCs w:val="44"/>
          <w:lang w:val="en-US" w:eastAsia="zh-CN"/>
        </w:rPr>
        <w:t xml:space="preserve">   </w:t>
      </w:r>
      <w:r>
        <w:rPr>
          <w:rFonts w:hint="eastAsia"/>
          <w:b/>
          <w:sz w:val="40"/>
          <w:szCs w:val="44"/>
          <w:lang w:eastAsia="zh-CN"/>
        </w:rPr>
        <w:t>告</w:t>
      </w:r>
    </w:p>
    <w:p w14:paraId="3C984B09">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color w:val="auto"/>
          <w:kern w:val="2"/>
          <w:sz w:val="28"/>
          <w:szCs w:val="28"/>
          <w:highlight w:val="none"/>
          <w:lang w:val="en-US" w:eastAsia="zh-CN" w:bidi="ar-SA"/>
        </w:rPr>
      </w:pPr>
      <w:r>
        <w:rPr>
          <w:rFonts w:hint="eastAsia" w:ascii="仿宋" w:hAnsi="仿宋" w:eastAsia="仿宋" w:cs="仿宋"/>
          <w:color w:val="auto"/>
          <w:kern w:val="2"/>
          <w:sz w:val="28"/>
          <w:szCs w:val="28"/>
          <w:highlight w:val="none"/>
          <w:lang w:val="en-US" w:eastAsia="zh-CN" w:bidi="ar-SA"/>
        </w:rPr>
        <w:t>2025年5月9日，福建省泉州市中级人民法院作出（2025）闽05破申61号民事裁定书，裁定受理惠安县农村信用合作联社螺阳信用社对圣泉（福建）制釉有限公司的破产清算申请，并于同日作出（2025）闽05破申61号之一民事裁定书，裁定本案交福建省惠安县人民法院审理。2025年5月15日，福建省惠安县人民法院作出（2025）闽0521破4号决定书，指定泉州公正会计师事务所有限公司担任圣泉（福建）制釉有限公司管理人。</w:t>
      </w:r>
    </w:p>
    <w:p w14:paraId="1979C73F">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sz w:val="28"/>
          <w:szCs w:val="28"/>
        </w:rPr>
      </w:pPr>
      <w:r>
        <w:rPr>
          <w:rFonts w:hint="eastAsia" w:ascii="仿宋" w:hAnsi="仿宋" w:eastAsia="仿宋" w:cs="仿宋"/>
          <w:color w:val="auto"/>
          <w:kern w:val="2"/>
          <w:sz w:val="28"/>
          <w:szCs w:val="28"/>
          <w:highlight w:val="none"/>
          <w:lang w:val="en-US" w:eastAsia="zh-CN" w:bidi="ar-SA"/>
        </w:rPr>
        <w:t>圣泉（福建）制釉有限公司名下有四家分公司：圣泉（福建）制釉有限公司佛山分公司、</w:t>
      </w:r>
      <w:r>
        <w:rPr>
          <w:rFonts w:hint="eastAsia" w:ascii="仿宋" w:hAnsi="仿宋" w:eastAsia="仿宋" w:cs="仿宋"/>
          <w:color w:val="auto"/>
          <w:kern w:val="2"/>
          <w:sz w:val="28"/>
          <w:szCs w:val="28"/>
          <w:highlight w:val="none"/>
          <w:lang w:val="en-US" w:eastAsia="zh-CN" w:bidi="ar-SA"/>
        </w:rPr>
        <w:fldChar w:fldCharType="begin"/>
      </w:r>
      <w:r>
        <w:rPr>
          <w:rFonts w:hint="eastAsia" w:ascii="仿宋" w:hAnsi="仿宋" w:eastAsia="仿宋" w:cs="仿宋"/>
          <w:color w:val="auto"/>
          <w:kern w:val="2"/>
          <w:sz w:val="28"/>
          <w:szCs w:val="28"/>
          <w:highlight w:val="none"/>
          <w:lang w:val="en-US" w:eastAsia="zh-CN" w:bidi="ar-SA"/>
        </w:rPr>
        <w:instrText xml:space="preserve"> HYPERLINK "https://www.qcc.com/firm/b6c74532c8f9bad811550971cb967a98.html" \t "https://www.qcc.com/firm/_blank" </w:instrText>
      </w:r>
      <w:r>
        <w:rPr>
          <w:rFonts w:hint="eastAsia" w:ascii="仿宋" w:hAnsi="仿宋" w:eastAsia="仿宋" w:cs="仿宋"/>
          <w:color w:val="auto"/>
          <w:kern w:val="2"/>
          <w:sz w:val="28"/>
          <w:szCs w:val="28"/>
          <w:highlight w:val="none"/>
          <w:lang w:val="en-US" w:eastAsia="zh-CN" w:bidi="ar-SA"/>
        </w:rPr>
        <w:fldChar w:fldCharType="separate"/>
      </w:r>
      <w:r>
        <w:rPr>
          <w:rFonts w:hint="eastAsia" w:ascii="仿宋" w:hAnsi="仿宋" w:eastAsia="仿宋" w:cs="仿宋"/>
          <w:color w:val="auto"/>
          <w:kern w:val="2"/>
          <w:sz w:val="28"/>
          <w:szCs w:val="28"/>
          <w:highlight w:val="none"/>
          <w:lang w:val="en-US" w:eastAsia="zh-CN" w:bidi="ar-SA"/>
        </w:rPr>
        <w:t>圣泉（福建）制釉有限公司淄博分公司</w:t>
      </w:r>
      <w:r>
        <w:rPr>
          <w:rFonts w:hint="eastAsia" w:ascii="仿宋" w:hAnsi="仿宋" w:eastAsia="仿宋" w:cs="仿宋"/>
          <w:color w:val="auto"/>
          <w:kern w:val="2"/>
          <w:sz w:val="28"/>
          <w:szCs w:val="28"/>
          <w:highlight w:val="none"/>
          <w:lang w:val="en-US" w:eastAsia="zh-CN" w:bidi="ar-SA"/>
        </w:rPr>
        <w:fldChar w:fldCharType="end"/>
      </w:r>
      <w:r>
        <w:rPr>
          <w:rFonts w:hint="eastAsia" w:ascii="仿宋" w:hAnsi="仿宋" w:eastAsia="仿宋" w:cs="仿宋"/>
          <w:color w:val="auto"/>
          <w:kern w:val="2"/>
          <w:sz w:val="28"/>
          <w:szCs w:val="28"/>
          <w:highlight w:val="none"/>
          <w:lang w:val="en-US" w:eastAsia="zh-CN" w:bidi="ar-SA"/>
        </w:rPr>
        <w:t>、</w:t>
      </w:r>
      <w:r>
        <w:rPr>
          <w:rFonts w:hint="eastAsia" w:ascii="仿宋" w:hAnsi="仿宋" w:eastAsia="仿宋" w:cs="仿宋"/>
          <w:color w:val="auto"/>
          <w:kern w:val="2"/>
          <w:sz w:val="28"/>
          <w:szCs w:val="28"/>
          <w:highlight w:val="none"/>
          <w:lang w:val="en-US" w:eastAsia="zh-CN" w:bidi="ar-SA"/>
        </w:rPr>
        <w:fldChar w:fldCharType="begin"/>
      </w:r>
      <w:r>
        <w:rPr>
          <w:rFonts w:hint="eastAsia" w:ascii="仿宋" w:hAnsi="仿宋" w:eastAsia="仿宋" w:cs="仿宋"/>
          <w:color w:val="auto"/>
          <w:kern w:val="2"/>
          <w:sz w:val="28"/>
          <w:szCs w:val="28"/>
          <w:highlight w:val="none"/>
          <w:lang w:val="en-US" w:eastAsia="zh-CN" w:bidi="ar-SA"/>
        </w:rPr>
        <w:instrText xml:space="preserve"> HYPERLINK "https://www.qcc.com/firm/0263ea5060c9dada2f11d2630038c787.html" \t "https://www.qcc.com/firm/_blank" </w:instrText>
      </w:r>
      <w:r>
        <w:rPr>
          <w:rFonts w:hint="eastAsia" w:ascii="仿宋" w:hAnsi="仿宋" w:eastAsia="仿宋" w:cs="仿宋"/>
          <w:color w:val="auto"/>
          <w:kern w:val="2"/>
          <w:sz w:val="28"/>
          <w:szCs w:val="28"/>
          <w:highlight w:val="none"/>
          <w:lang w:val="en-US" w:eastAsia="zh-CN" w:bidi="ar-SA"/>
        </w:rPr>
        <w:fldChar w:fldCharType="separate"/>
      </w:r>
      <w:r>
        <w:rPr>
          <w:rFonts w:hint="eastAsia" w:ascii="仿宋" w:hAnsi="仿宋" w:eastAsia="仿宋" w:cs="仿宋"/>
          <w:color w:val="auto"/>
          <w:kern w:val="2"/>
          <w:sz w:val="28"/>
          <w:szCs w:val="28"/>
          <w:highlight w:val="none"/>
          <w:lang w:val="en-US" w:eastAsia="zh-CN" w:bidi="ar-SA"/>
        </w:rPr>
        <w:t>圣泉（福建）制釉有限公司佛山办事处</w:t>
      </w:r>
      <w:r>
        <w:rPr>
          <w:rFonts w:hint="eastAsia" w:ascii="仿宋" w:hAnsi="仿宋" w:eastAsia="仿宋" w:cs="仿宋"/>
          <w:color w:val="auto"/>
          <w:kern w:val="2"/>
          <w:sz w:val="28"/>
          <w:szCs w:val="28"/>
          <w:highlight w:val="none"/>
          <w:lang w:val="en-US" w:eastAsia="zh-CN" w:bidi="ar-SA"/>
        </w:rPr>
        <w:fldChar w:fldCharType="end"/>
      </w:r>
      <w:r>
        <w:rPr>
          <w:rFonts w:hint="eastAsia" w:ascii="仿宋" w:hAnsi="仿宋" w:eastAsia="仿宋" w:cs="仿宋"/>
          <w:color w:val="auto"/>
          <w:kern w:val="2"/>
          <w:sz w:val="28"/>
          <w:szCs w:val="28"/>
          <w:highlight w:val="none"/>
          <w:lang w:val="en-US" w:eastAsia="zh-CN" w:bidi="ar-SA"/>
        </w:rPr>
        <w:t>、</w:t>
      </w:r>
      <w:r>
        <w:rPr>
          <w:rFonts w:hint="eastAsia" w:ascii="仿宋" w:hAnsi="仿宋" w:eastAsia="仿宋" w:cs="仿宋"/>
          <w:color w:val="auto"/>
          <w:kern w:val="2"/>
          <w:sz w:val="28"/>
          <w:szCs w:val="28"/>
          <w:highlight w:val="none"/>
          <w:lang w:val="en-US" w:eastAsia="zh-CN" w:bidi="ar-SA"/>
        </w:rPr>
        <w:fldChar w:fldCharType="begin"/>
      </w:r>
      <w:r>
        <w:rPr>
          <w:rFonts w:hint="eastAsia" w:ascii="仿宋" w:hAnsi="仿宋" w:eastAsia="仿宋" w:cs="仿宋"/>
          <w:color w:val="auto"/>
          <w:kern w:val="2"/>
          <w:sz w:val="28"/>
          <w:szCs w:val="28"/>
          <w:highlight w:val="none"/>
          <w:lang w:val="en-US" w:eastAsia="zh-CN" w:bidi="ar-SA"/>
        </w:rPr>
        <w:instrText xml:space="preserve"> HYPERLINK "https://www.qcc.com/firm/97f8c40fe6d409ccbc92a2bde26640f3.html" \t "https://www.qcc.com/firm/_blank" </w:instrText>
      </w:r>
      <w:r>
        <w:rPr>
          <w:rFonts w:hint="eastAsia" w:ascii="仿宋" w:hAnsi="仿宋" w:eastAsia="仿宋" w:cs="仿宋"/>
          <w:color w:val="auto"/>
          <w:kern w:val="2"/>
          <w:sz w:val="28"/>
          <w:szCs w:val="28"/>
          <w:highlight w:val="none"/>
          <w:lang w:val="en-US" w:eastAsia="zh-CN" w:bidi="ar-SA"/>
        </w:rPr>
        <w:fldChar w:fldCharType="separate"/>
      </w:r>
      <w:r>
        <w:rPr>
          <w:rFonts w:hint="eastAsia" w:ascii="仿宋" w:hAnsi="仿宋" w:eastAsia="仿宋" w:cs="仿宋"/>
          <w:color w:val="auto"/>
          <w:kern w:val="2"/>
          <w:sz w:val="28"/>
          <w:szCs w:val="28"/>
          <w:highlight w:val="none"/>
          <w:lang w:val="en-US" w:eastAsia="zh-CN" w:bidi="ar-SA"/>
        </w:rPr>
        <w:t>圣泉（福建）制釉有限公司晋江办事处</w:t>
      </w:r>
      <w:r>
        <w:rPr>
          <w:rFonts w:hint="eastAsia" w:ascii="仿宋" w:hAnsi="仿宋" w:eastAsia="仿宋" w:cs="仿宋"/>
          <w:color w:val="auto"/>
          <w:kern w:val="2"/>
          <w:sz w:val="28"/>
          <w:szCs w:val="28"/>
          <w:highlight w:val="none"/>
          <w:lang w:val="en-US" w:eastAsia="zh-CN" w:bidi="ar-SA"/>
        </w:rPr>
        <w:fldChar w:fldCharType="end"/>
      </w:r>
      <w:r>
        <w:rPr>
          <w:rFonts w:hint="eastAsia" w:ascii="仿宋" w:hAnsi="仿宋" w:eastAsia="仿宋" w:cs="仿宋"/>
          <w:color w:val="auto"/>
          <w:kern w:val="2"/>
          <w:sz w:val="28"/>
          <w:szCs w:val="28"/>
          <w:highlight w:val="none"/>
          <w:lang w:val="en-US" w:eastAsia="zh-CN" w:bidi="ar-SA"/>
        </w:rPr>
        <w:t>。鉴于分公司不具有法人资格，其</w:t>
      </w:r>
      <w:r>
        <w:rPr>
          <w:rFonts w:hint="default" w:ascii="仿宋" w:hAnsi="仿宋" w:eastAsia="仿宋" w:cs="仿宋"/>
          <w:color w:val="auto"/>
          <w:kern w:val="2"/>
          <w:sz w:val="28"/>
          <w:szCs w:val="28"/>
          <w:highlight w:val="none"/>
          <w:lang w:val="en-US" w:eastAsia="zh-CN" w:bidi="ar-SA"/>
        </w:rPr>
        <w:fldChar w:fldCharType="begin"/>
      </w:r>
      <w:r>
        <w:rPr>
          <w:rFonts w:hint="default" w:ascii="仿宋" w:hAnsi="仿宋" w:eastAsia="仿宋" w:cs="仿宋"/>
          <w:color w:val="auto"/>
          <w:kern w:val="2"/>
          <w:sz w:val="28"/>
          <w:szCs w:val="28"/>
          <w:highlight w:val="none"/>
          <w:lang w:val="en-US" w:eastAsia="zh-CN" w:bidi="ar-SA"/>
        </w:rPr>
        <w:instrText xml:space="preserve"> HYPERLINK "https://www.66law.cn/special/mszr/" \o "民事责任" \t "https://www.66law.cn/laws/_blank" </w:instrText>
      </w:r>
      <w:r>
        <w:rPr>
          <w:rFonts w:hint="default" w:ascii="仿宋" w:hAnsi="仿宋" w:eastAsia="仿宋" w:cs="仿宋"/>
          <w:color w:val="auto"/>
          <w:kern w:val="2"/>
          <w:sz w:val="28"/>
          <w:szCs w:val="28"/>
          <w:highlight w:val="none"/>
          <w:lang w:val="en-US" w:eastAsia="zh-CN" w:bidi="ar-SA"/>
        </w:rPr>
        <w:fldChar w:fldCharType="separate"/>
      </w:r>
      <w:r>
        <w:rPr>
          <w:rFonts w:hint="default" w:ascii="仿宋" w:hAnsi="仿宋" w:eastAsia="仿宋" w:cs="仿宋"/>
          <w:color w:val="auto"/>
          <w:kern w:val="2"/>
          <w:sz w:val="28"/>
          <w:szCs w:val="28"/>
          <w:highlight w:val="none"/>
          <w:lang w:val="en-US" w:eastAsia="zh-CN" w:bidi="ar-SA"/>
        </w:rPr>
        <w:t>民事责任</w:t>
      </w:r>
      <w:r>
        <w:rPr>
          <w:rFonts w:hint="default" w:ascii="仿宋" w:hAnsi="仿宋" w:eastAsia="仿宋" w:cs="仿宋"/>
          <w:color w:val="auto"/>
          <w:kern w:val="2"/>
          <w:sz w:val="28"/>
          <w:szCs w:val="28"/>
          <w:highlight w:val="none"/>
          <w:lang w:val="en-US" w:eastAsia="zh-CN" w:bidi="ar-SA"/>
        </w:rPr>
        <w:fldChar w:fldCharType="end"/>
      </w:r>
      <w:r>
        <w:rPr>
          <w:rFonts w:hint="default" w:ascii="仿宋" w:hAnsi="仿宋" w:eastAsia="仿宋" w:cs="仿宋"/>
          <w:color w:val="auto"/>
          <w:kern w:val="2"/>
          <w:sz w:val="28"/>
          <w:szCs w:val="28"/>
          <w:highlight w:val="none"/>
          <w:lang w:val="en-US" w:eastAsia="zh-CN" w:bidi="ar-SA"/>
        </w:rPr>
        <w:t>由</w:t>
      </w:r>
      <w:r>
        <w:rPr>
          <w:rFonts w:hint="eastAsia" w:ascii="仿宋" w:hAnsi="仿宋" w:eastAsia="仿宋" w:cs="仿宋"/>
          <w:color w:val="auto"/>
          <w:kern w:val="2"/>
          <w:sz w:val="28"/>
          <w:szCs w:val="28"/>
          <w:highlight w:val="none"/>
          <w:lang w:val="en-US" w:eastAsia="zh-CN" w:bidi="ar-SA"/>
        </w:rPr>
        <w:t>总</w:t>
      </w:r>
      <w:r>
        <w:rPr>
          <w:rFonts w:hint="default" w:ascii="仿宋" w:hAnsi="仿宋" w:eastAsia="仿宋" w:cs="仿宋"/>
          <w:color w:val="auto"/>
          <w:kern w:val="2"/>
          <w:sz w:val="28"/>
          <w:szCs w:val="28"/>
          <w:highlight w:val="none"/>
          <w:lang w:val="en-US" w:eastAsia="zh-CN" w:bidi="ar-SA"/>
        </w:rPr>
        <w:t>公司承担</w:t>
      </w:r>
      <w:r>
        <w:rPr>
          <w:rFonts w:hint="eastAsia" w:ascii="仿宋" w:hAnsi="仿宋" w:eastAsia="仿宋" w:cs="仿宋"/>
          <w:color w:val="auto"/>
          <w:kern w:val="2"/>
          <w:sz w:val="28"/>
          <w:szCs w:val="28"/>
          <w:highlight w:val="none"/>
          <w:lang w:val="en-US" w:eastAsia="zh-CN" w:bidi="ar-SA"/>
        </w:rPr>
        <w:t>，故，上述分公司的债权人有权向圣泉（福建）制釉有限公司管理人申报债权，负责人</w:t>
      </w:r>
      <w:r>
        <w:rPr>
          <w:rFonts w:hint="eastAsia" w:ascii="仿宋" w:hAnsi="仿宋" w:eastAsia="仿宋" w:cs="仿宋"/>
          <w:b w:val="0"/>
          <w:bCs/>
          <w:sz w:val="28"/>
          <w:szCs w:val="28"/>
          <w:lang w:eastAsia="zh-CN"/>
        </w:rPr>
        <w:t>或者财产持有人应当向</w:t>
      </w:r>
      <w:r>
        <w:rPr>
          <w:rFonts w:hint="eastAsia" w:ascii="仿宋" w:hAnsi="仿宋" w:eastAsia="仿宋" w:cs="仿宋"/>
          <w:color w:val="auto"/>
          <w:kern w:val="2"/>
          <w:sz w:val="28"/>
          <w:szCs w:val="28"/>
          <w:highlight w:val="none"/>
          <w:lang w:val="en-US" w:eastAsia="zh-CN" w:bidi="ar-SA"/>
        </w:rPr>
        <w:t>圣泉（福建）制釉有限公司</w:t>
      </w:r>
      <w:r>
        <w:rPr>
          <w:rFonts w:hint="eastAsia" w:ascii="仿宋" w:hAnsi="仿宋" w:eastAsia="仿宋" w:cs="仿宋"/>
          <w:b w:val="0"/>
          <w:bCs/>
          <w:sz w:val="28"/>
          <w:szCs w:val="28"/>
          <w:lang w:eastAsia="zh-CN"/>
        </w:rPr>
        <w:t>管理人交付财产。</w:t>
      </w:r>
      <w:r>
        <w:rPr>
          <w:rFonts w:hint="eastAsia" w:ascii="仿宋" w:hAnsi="仿宋" w:eastAsia="仿宋" w:cs="仿宋"/>
          <w:sz w:val="28"/>
          <w:szCs w:val="28"/>
        </w:rPr>
        <w:t>现就</w:t>
      </w:r>
      <w:r>
        <w:rPr>
          <w:rFonts w:hint="eastAsia" w:ascii="仿宋" w:hAnsi="仿宋" w:eastAsia="仿宋" w:cs="仿宋"/>
          <w:sz w:val="28"/>
          <w:szCs w:val="28"/>
          <w:lang w:val="en-US" w:eastAsia="zh-CN"/>
        </w:rPr>
        <w:t>圣泉（福建）制釉有限公司</w:t>
      </w:r>
      <w:r>
        <w:rPr>
          <w:rFonts w:hint="eastAsia" w:ascii="仿宋" w:hAnsi="仿宋" w:eastAsia="仿宋" w:cs="仿宋"/>
          <w:sz w:val="28"/>
          <w:szCs w:val="28"/>
          <w:lang w:eastAsia="zh-CN"/>
        </w:rPr>
        <w:t>债权申报及第一次债权人会议</w:t>
      </w:r>
      <w:r>
        <w:rPr>
          <w:rFonts w:hint="eastAsia" w:ascii="仿宋" w:hAnsi="仿宋" w:eastAsia="仿宋" w:cs="仿宋"/>
          <w:sz w:val="28"/>
          <w:szCs w:val="28"/>
        </w:rPr>
        <w:t>有关事项</w:t>
      </w:r>
      <w:r>
        <w:rPr>
          <w:rFonts w:hint="eastAsia" w:ascii="仿宋" w:hAnsi="仿宋" w:eastAsia="仿宋" w:cs="仿宋"/>
          <w:sz w:val="28"/>
          <w:szCs w:val="28"/>
          <w:lang w:eastAsia="zh-CN"/>
        </w:rPr>
        <w:t>公告</w:t>
      </w:r>
      <w:r>
        <w:rPr>
          <w:rFonts w:hint="eastAsia" w:ascii="仿宋" w:hAnsi="仿宋" w:eastAsia="仿宋" w:cs="仿宋"/>
          <w:sz w:val="28"/>
          <w:szCs w:val="28"/>
        </w:rPr>
        <w:t>如下：</w:t>
      </w:r>
    </w:p>
    <w:p w14:paraId="125AC06B">
      <w:pPr>
        <w:keepNext w:val="0"/>
        <w:keepLines w:val="0"/>
        <w:pageBreakBefore w:val="0"/>
        <w:widowControl w:val="0"/>
        <w:kinsoku/>
        <w:wordWrap/>
        <w:overflowPunct/>
        <w:topLinePunct w:val="0"/>
        <w:autoSpaceDE/>
        <w:autoSpaceDN/>
        <w:bidi w:val="0"/>
        <w:adjustRightInd/>
        <w:snapToGrid/>
        <w:spacing w:line="540" w:lineRule="exact"/>
        <w:ind w:firstLine="562" w:firstLineChars="200"/>
        <w:textAlignment w:val="auto"/>
        <w:rPr>
          <w:rFonts w:hint="eastAsia" w:ascii="仿宋" w:hAnsi="仿宋" w:eastAsia="仿宋" w:cs="仿宋"/>
          <w:color w:val="auto"/>
          <w:kern w:val="2"/>
          <w:sz w:val="28"/>
          <w:szCs w:val="28"/>
          <w:highlight w:val="none"/>
          <w:lang w:val="en-US" w:eastAsia="zh-CN" w:bidi="ar-SA"/>
        </w:rPr>
      </w:pPr>
      <w:r>
        <w:rPr>
          <w:rFonts w:hint="eastAsia" w:ascii="仿宋" w:hAnsi="仿宋" w:eastAsia="仿宋" w:cs="仿宋"/>
          <w:b/>
          <w:bCs/>
          <w:color w:val="auto"/>
          <w:kern w:val="2"/>
          <w:sz w:val="28"/>
          <w:szCs w:val="28"/>
          <w:highlight w:val="none"/>
          <w:lang w:val="en-US" w:eastAsia="zh-CN" w:bidi="ar-SA"/>
        </w:rPr>
        <w:t>各分公司债权人应于2025 年6月18日前，向圣泉（福建 ）制釉有限公司管理人【通讯地址：福建省泉州市丰泽区田安路金帝大厦六楼泉州公正会计师事务所有限公司；邮政编码：362000 ；联系人：张培辉（联系电话：13805920155 ) 、陈琳（联系电话：19959111858)】申报债权</w:t>
      </w:r>
      <w:r>
        <w:rPr>
          <w:rFonts w:hint="eastAsia" w:ascii="仿宋" w:hAnsi="仿宋" w:eastAsia="仿宋" w:cs="仿宋"/>
          <w:color w:val="auto"/>
          <w:kern w:val="2"/>
          <w:sz w:val="28"/>
          <w:szCs w:val="28"/>
          <w:highlight w:val="none"/>
          <w:lang w:val="en-US" w:eastAsia="zh-CN" w:bidi="ar-SA"/>
        </w:rPr>
        <w:t>，书面说明债权数额、有无财产担保及是否属于连带债权， 并提供相关证据材料。未在上述期限内申报债权的，可以在破产财产最后分配前补充申报，但对此前已进行的分配无权要求补充分配，同时要承担为审查和确认补充申报债权所产生的费用。未依法申报债权的， 不得依照《 中华人民共和国企业破产法》规定的程序行使权利。</w:t>
      </w:r>
    </w:p>
    <w:p w14:paraId="47FA59B3">
      <w:pPr>
        <w:keepNext w:val="0"/>
        <w:keepLines w:val="0"/>
        <w:pageBreakBefore w:val="0"/>
        <w:widowControl w:val="0"/>
        <w:kinsoku/>
        <w:wordWrap/>
        <w:overflowPunct/>
        <w:topLinePunct w:val="0"/>
        <w:autoSpaceDE/>
        <w:autoSpaceDN/>
        <w:bidi w:val="0"/>
        <w:adjustRightInd/>
        <w:snapToGrid/>
        <w:spacing w:line="540" w:lineRule="exact"/>
        <w:ind w:firstLine="570"/>
        <w:textAlignment w:val="auto"/>
        <w:rPr>
          <w:rFonts w:hint="eastAsia" w:ascii="仿宋" w:hAnsi="仿宋" w:eastAsia="仿宋" w:cs="仿宋"/>
          <w:sz w:val="28"/>
          <w:szCs w:val="28"/>
        </w:rPr>
      </w:pPr>
      <w:r>
        <w:rPr>
          <w:rFonts w:hint="eastAsia" w:ascii="仿宋" w:hAnsi="仿宋" w:eastAsia="仿宋" w:cs="仿宋"/>
          <w:b/>
          <w:bCs/>
          <w:sz w:val="28"/>
          <w:szCs w:val="28"/>
        </w:rPr>
        <w:t>第一次债权人会议定于2025年</w:t>
      </w: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月</w:t>
      </w:r>
      <w:r>
        <w:rPr>
          <w:rFonts w:hint="eastAsia" w:ascii="仿宋" w:hAnsi="仿宋" w:eastAsia="仿宋" w:cs="仿宋"/>
          <w:b/>
          <w:bCs/>
          <w:sz w:val="28"/>
          <w:szCs w:val="28"/>
          <w:lang w:val="en-US" w:eastAsia="zh-CN"/>
        </w:rPr>
        <w:t>25</w:t>
      </w:r>
      <w:r>
        <w:rPr>
          <w:rFonts w:hint="eastAsia" w:ascii="仿宋" w:hAnsi="仿宋" w:eastAsia="仿宋" w:cs="仿宋"/>
          <w:b/>
          <w:bCs/>
          <w:sz w:val="28"/>
          <w:szCs w:val="28"/>
        </w:rPr>
        <w:t>日以书面方式召开。会议其他事项管理人将另行通知</w:t>
      </w:r>
      <w:r>
        <w:rPr>
          <w:rFonts w:hint="eastAsia" w:ascii="仿宋" w:hAnsi="仿宋" w:eastAsia="仿宋" w:cs="仿宋"/>
          <w:sz w:val="28"/>
          <w:szCs w:val="28"/>
        </w:rPr>
        <w:t>。依法申报债权的债权人为债权人会议的成员，有权参加债权人会议。参加会议的债权人系法人或其他组织的，应提交营业执照、法定代表人或负责人身份证明书，如委托代理人出席会议，应提交特别授权委托书、 委托代理人的身份证件或律师执业证，委托代理人是律师的还应提交律师事务所的指派函。债权人系自然人的，应提交个人身份证明，如委托代理人出席会议，应提交特别授权委托书、委托代理人的身份证件或律师执业证，委托代理人是律师的还应提交律师事务所的指派函。</w:t>
      </w:r>
    </w:p>
    <w:p w14:paraId="053640C0">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b w:val="0"/>
          <w:bCs/>
          <w:sz w:val="28"/>
          <w:szCs w:val="28"/>
        </w:rPr>
      </w:pPr>
      <w:r>
        <w:rPr>
          <w:rFonts w:hint="eastAsia" w:ascii="仿宋" w:hAnsi="仿宋" w:eastAsia="仿宋" w:cs="仿宋"/>
          <w:b w:val="0"/>
          <w:bCs/>
          <w:sz w:val="28"/>
          <w:szCs w:val="28"/>
          <w:lang w:eastAsia="zh-CN"/>
        </w:rPr>
        <w:t>各分公司的负责人或者财产持有人应当向</w:t>
      </w:r>
      <w:r>
        <w:rPr>
          <w:rFonts w:hint="eastAsia" w:ascii="仿宋" w:hAnsi="仿宋" w:eastAsia="仿宋" w:cs="仿宋"/>
          <w:color w:val="auto"/>
          <w:kern w:val="2"/>
          <w:sz w:val="28"/>
          <w:szCs w:val="28"/>
          <w:highlight w:val="none"/>
          <w:lang w:val="en-US" w:eastAsia="zh-CN" w:bidi="ar-SA"/>
        </w:rPr>
        <w:t>圣泉（福建）制釉有限公司</w:t>
      </w:r>
      <w:r>
        <w:rPr>
          <w:rFonts w:hint="eastAsia" w:ascii="仿宋" w:hAnsi="仿宋" w:eastAsia="仿宋" w:cs="仿宋"/>
          <w:b w:val="0"/>
          <w:bCs/>
          <w:sz w:val="28"/>
          <w:szCs w:val="28"/>
          <w:lang w:eastAsia="zh-CN"/>
        </w:rPr>
        <w:t>管理人交付财产，执行机构或者决策机构的成员以及其他法律、法规规定的清算义务人应配应配合</w:t>
      </w:r>
      <w:r>
        <w:rPr>
          <w:rFonts w:hint="eastAsia" w:ascii="仿宋" w:hAnsi="仿宋" w:eastAsia="仿宋" w:cs="仿宋"/>
          <w:b w:val="0"/>
          <w:bCs/>
          <w:sz w:val="28"/>
          <w:szCs w:val="28"/>
          <w:lang w:val="en-US" w:eastAsia="zh-CN"/>
        </w:rPr>
        <w:t>圣泉（福建）制釉有限公司</w:t>
      </w:r>
      <w:r>
        <w:rPr>
          <w:rFonts w:hint="eastAsia" w:ascii="仿宋" w:hAnsi="仿宋" w:eastAsia="仿宋" w:cs="仿宋"/>
          <w:b w:val="0"/>
          <w:bCs/>
          <w:sz w:val="28"/>
          <w:szCs w:val="28"/>
          <w:lang w:eastAsia="zh-CN"/>
        </w:rPr>
        <w:t>管理人进行清算，否则应依法承担相应法律责任。</w:t>
      </w:r>
    </w:p>
    <w:p w14:paraId="4EA1050D">
      <w:pPr>
        <w:keepNext w:val="0"/>
        <w:keepLines w:val="0"/>
        <w:pageBreakBefore w:val="0"/>
        <w:widowControl w:val="0"/>
        <w:kinsoku/>
        <w:wordWrap/>
        <w:overflowPunct/>
        <w:topLinePunct w:val="0"/>
        <w:autoSpaceDE/>
        <w:autoSpaceDN/>
        <w:bidi w:val="0"/>
        <w:adjustRightInd/>
        <w:snapToGrid/>
        <w:spacing w:line="540" w:lineRule="exact"/>
        <w:ind w:firstLine="570"/>
        <w:textAlignment w:val="auto"/>
        <w:rPr>
          <w:rFonts w:hint="eastAsia" w:ascii="仿宋" w:hAnsi="仿宋" w:eastAsia="仿宋" w:cs="仿宋"/>
          <w:sz w:val="28"/>
          <w:szCs w:val="28"/>
        </w:rPr>
      </w:pPr>
      <w:r>
        <w:rPr>
          <w:rFonts w:hint="eastAsia" w:ascii="仿宋" w:hAnsi="仿宋" w:eastAsia="仿宋" w:cs="仿宋"/>
          <w:sz w:val="28"/>
          <w:szCs w:val="28"/>
        </w:rPr>
        <w:t>特此</w:t>
      </w:r>
      <w:r>
        <w:rPr>
          <w:rFonts w:hint="eastAsia" w:ascii="仿宋" w:hAnsi="仿宋" w:eastAsia="仿宋" w:cs="仿宋"/>
          <w:sz w:val="28"/>
          <w:szCs w:val="28"/>
          <w:lang w:eastAsia="zh-CN"/>
        </w:rPr>
        <w:t>公告</w:t>
      </w:r>
      <w:r>
        <w:rPr>
          <w:rFonts w:hint="eastAsia" w:ascii="仿宋" w:hAnsi="仿宋" w:eastAsia="仿宋" w:cs="仿宋"/>
          <w:sz w:val="28"/>
          <w:szCs w:val="28"/>
        </w:rPr>
        <w:t>。</w:t>
      </w:r>
    </w:p>
    <w:p w14:paraId="585E63AD">
      <w:pPr>
        <w:keepNext w:val="0"/>
        <w:keepLines w:val="0"/>
        <w:pageBreakBefore w:val="0"/>
        <w:widowControl w:val="0"/>
        <w:kinsoku/>
        <w:wordWrap/>
        <w:overflowPunct/>
        <w:topLinePunct w:val="0"/>
        <w:autoSpaceDE/>
        <w:autoSpaceDN/>
        <w:bidi w:val="0"/>
        <w:adjustRightInd/>
        <w:snapToGrid/>
        <w:spacing w:line="540" w:lineRule="exact"/>
        <w:ind w:firstLine="570"/>
        <w:jc w:val="right"/>
        <w:textAlignment w:val="auto"/>
        <w:rPr>
          <w:rFonts w:hint="eastAsia" w:ascii="仿宋" w:hAnsi="仿宋" w:eastAsia="仿宋" w:cs="仿宋"/>
          <w:sz w:val="28"/>
          <w:szCs w:val="28"/>
        </w:rPr>
      </w:pPr>
      <w:r>
        <w:rPr>
          <w:rFonts w:hint="eastAsia" w:ascii="仿宋" w:hAnsi="仿宋" w:eastAsia="仿宋" w:cs="仿宋"/>
          <w:sz w:val="28"/>
          <w:szCs w:val="28"/>
        </w:rPr>
        <w:t>　　</w:t>
      </w:r>
      <w:r>
        <w:rPr>
          <w:rFonts w:hint="eastAsia" w:ascii="仿宋" w:hAnsi="仿宋" w:eastAsia="仿宋" w:cs="仿宋"/>
          <w:sz w:val="28"/>
          <w:szCs w:val="28"/>
          <w:lang w:val="en-US" w:eastAsia="zh-CN"/>
        </w:rPr>
        <w:t>圣泉（福建）制釉有限公司</w:t>
      </w:r>
      <w:r>
        <w:rPr>
          <w:rFonts w:hint="eastAsia" w:ascii="仿宋" w:hAnsi="仿宋" w:eastAsia="仿宋" w:cs="仿宋"/>
          <w:sz w:val="28"/>
          <w:szCs w:val="28"/>
        </w:rPr>
        <w:t>管理人</w:t>
      </w:r>
    </w:p>
    <w:p w14:paraId="5BA5133B">
      <w:pPr>
        <w:keepNext w:val="0"/>
        <w:keepLines w:val="0"/>
        <w:pageBreakBefore w:val="0"/>
        <w:widowControl w:val="0"/>
        <w:kinsoku/>
        <w:wordWrap/>
        <w:overflowPunct/>
        <w:topLinePunct w:val="0"/>
        <w:autoSpaceDE/>
        <w:autoSpaceDN/>
        <w:bidi w:val="0"/>
        <w:adjustRightInd/>
        <w:snapToGrid/>
        <w:spacing w:line="540" w:lineRule="exact"/>
        <w:ind w:firstLine="570"/>
        <w:jc w:val="center"/>
        <w:textAlignment w:val="auto"/>
        <w:rPr>
          <w:rFonts w:hint="eastAsia" w:ascii="仿宋" w:hAnsi="仿宋" w:eastAsia="仿宋" w:cs="仿宋"/>
          <w:sz w:val="28"/>
          <w:szCs w:val="28"/>
          <w:highlight w:val="yellow"/>
        </w:rPr>
      </w:pPr>
      <w:r>
        <w:rPr>
          <w:rFonts w:hint="eastAsia" w:ascii="仿宋" w:hAnsi="仿宋" w:eastAsia="仿宋" w:cs="仿宋"/>
          <w:sz w:val="28"/>
          <w:szCs w:val="28"/>
        </w:rPr>
        <w:t>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highlight w:val="none"/>
          <w:lang w:val="en-US" w:eastAsia="zh-CN"/>
        </w:rPr>
        <w:t xml:space="preserve"> </w:t>
      </w:r>
      <w:r>
        <w:rPr>
          <w:rFonts w:hint="eastAsia" w:ascii="仿宋" w:hAnsi="仿宋" w:eastAsia="仿宋" w:cs="仿宋"/>
          <w:sz w:val="28"/>
          <w:szCs w:val="28"/>
          <w:highlight w:val="none"/>
        </w:rPr>
        <w:t>二〇</w:t>
      </w:r>
      <w:r>
        <w:rPr>
          <w:rFonts w:hint="eastAsia" w:ascii="仿宋" w:hAnsi="仿宋" w:eastAsia="仿宋" w:cs="仿宋"/>
          <w:sz w:val="28"/>
          <w:szCs w:val="28"/>
          <w:highlight w:val="none"/>
          <w:lang w:eastAsia="zh-CN"/>
        </w:rPr>
        <w:t>二五</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eastAsia="zh-CN"/>
        </w:rPr>
        <w:t>五月二十三</w:t>
      </w:r>
      <w:r>
        <w:rPr>
          <w:rFonts w:hint="eastAsia" w:ascii="仿宋" w:hAnsi="仿宋" w:eastAsia="仿宋" w:cs="仿宋"/>
          <w:sz w:val="28"/>
          <w:szCs w:val="28"/>
          <w:highlight w:val="none"/>
        </w:rPr>
        <w:t>日</w:t>
      </w:r>
    </w:p>
    <w:p w14:paraId="5CAB952D"/>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JiNjkxMTViYjY3MDJkODZkN2VkNzQ1NWJkNjUxMzIifQ=="/>
  </w:docVars>
  <w:rsids>
    <w:rsidRoot w:val="016428B1"/>
    <w:rsid w:val="016428B1"/>
    <w:rsid w:val="33D426F5"/>
    <w:rsid w:val="773C70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Hyperlink"/>
    <w:basedOn w:val="3"/>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1081</Words>
  <Characters>1138</Characters>
  <Lines>0</Lines>
  <Paragraphs>0</Paragraphs>
  <TotalTime>1</TotalTime>
  <ScaleCrop>false</ScaleCrop>
  <LinksUpToDate>false</LinksUpToDate>
  <CharactersWithSpaces>1171</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2023-11-14T07:53:00Z</dcterms:created>
  <dc:creator>黄慧婷</dc:creator>
  <cp:lastModifiedBy>Evelyn</cp:lastModifiedBy>
  <dcterms:modified xsi:type="dcterms:W3CDTF">2025-05-24T02:34:12Z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A3DD4B3364A545CEBAA8A3C1F2135570_13</vt:lpwstr>
  </property>
  <property fmtid="{D5CDD505-2E9C-101B-9397-08002B2CF9AE}" pid="4" name="KSOTemplateDocerSaveRecord">
    <vt:lpwstr>eyJoZGlkIjoiODJiNjkxMTViYjY3MDJkODZkN2VkNzQ1NWJkNjUxMzIiLCJ1c2VySWQiOiI0NDUzMjczNTcifQ==</vt:lpwstr>
  </property>
</Properties>
</file>