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694D8">
      <w:pPr>
        <w:spacing w:line="360" w:lineRule="auto"/>
        <w:jc w:val="center"/>
        <w:rPr>
          <w:rFonts w:hint="eastAsia" w:ascii="宋体" w:hAnsi="宋体"/>
          <w:b/>
          <w:sz w:val="36"/>
          <w:szCs w:val="36"/>
        </w:rPr>
      </w:pPr>
      <w:r>
        <w:rPr>
          <w:rFonts w:hint="eastAsia" w:ascii="宋体" w:hAnsi="宋体"/>
          <w:b/>
          <w:sz w:val="36"/>
          <w:szCs w:val="36"/>
        </w:rPr>
        <w:t>关于北京华年喜年国际投资有限公司持有的广州华年喜年房地产开发有限公司49%股权的竞买公告</w:t>
      </w:r>
    </w:p>
    <w:p w14:paraId="1DC402E8">
      <w:pPr>
        <w:spacing w:line="360" w:lineRule="auto"/>
        <w:jc w:val="center"/>
        <w:rPr>
          <w:rFonts w:hint="eastAsia" w:ascii="宋体" w:hAnsi="宋体"/>
          <w:sz w:val="24"/>
          <w:szCs w:val="24"/>
        </w:rPr>
      </w:pPr>
    </w:p>
    <w:p w14:paraId="662207E7">
      <w:pPr>
        <w:spacing w:line="360" w:lineRule="auto"/>
        <w:ind w:firstLine="480" w:firstLineChars="200"/>
        <w:rPr>
          <w:rFonts w:hint="eastAsia" w:ascii="宋体" w:hAnsi="宋体"/>
          <w:sz w:val="24"/>
          <w:szCs w:val="24"/>
        </w:rPr>
      </w:pPr>
      <w:r>
        <w:rPr>
          <w:rFonts w:hint="eastAsia" w:ascii="宋体" w:hAnsi="宋体"/>
          <w:sz w:val="24"/>
          <w:szCs w:val="24"/>
        </w:rPr>
        <w:t>北京华年喜年国际投资有限公司（以下简称“华年喜年”）管理人将于</w:t>
      </w:r>
      <w:r>
        <w:rPr>
          <w:rFonts w:hint="eastAsia" w:ascii="宋体" w:hAnsi="宋体"/>
          <w:b/>
          <w:bCs/>
          <w:color w:val="EE0000"/>
          <w:sz w:val="24"/>
          <w:szCs w:val="24"/>
        </w:rPr>
        <w:t>2025年6月11日10时至2025年6月12日10时止（延时的除外）</w:t>
      </w:r>
      <w:r>
        <w:rPr>
          <w:rFonts w:hint="eastAsia" w:ascii="宋体" w:hAnsi="宋体"/>
          <w:sz w:val="24"/>
          <w:szCs w:val="24"/>
        </w:rPr>
        <w:t>在阿里资产·破产网络平台上（网址:</w:t>
      </w:r>
      <w:r>
        <w:t xml:space="preserve"> </w:t>
      </w:r>
      <w:r>
        <w:rPr>
          <w:rFonts w:ascii="宋体" w:hAnsi="宋体"/>
          <w:sz w:val="24"/>
          <w:szCs w:val="24"/>
        </w:rPr>
        <w:t>https://susong.taobao.com/</w:t>
      </w:r>
      <w:r>
        <w:rPr>
          <w:rFonts w:hint="eastAsia" w:ascii="宋体" w:hAnsi="宋体"/>
          <w:sz w:val="24"/>
          <w:szCs w:val="24"/>
        </w:rPr>
        <w:t>）进行公开拍卖活动，现公告如下：</w:t>
      </w:r>
    </w:p>
    <w:p w14:paraId="240EABC6">
      <w:pPr>
        <w:numPr>
          <w:ilvl w:val="0"/>
          <w:numId w:val="1"/>
        </w:numPr>
        <w:spacing w:line="360" w:lineRule="auto"/>
        <w:ind w:firstLine="480" w:firstLineChars="200"/>
        <w:rPr>
          <w:rFonts w:hint="eastAsia" w:ascii="宋体" w:hAnsi="宋体"/>
          <w:b/>
          <w:sz w:val="24"/>
          <w:szCs w:val="24"/>
        </w:rPr>
      </w:pPr>
      <w:r>
        <w:rPr>
          <w:rFonts w:hint="eastAsia" w:ascii="宋体" w:hAnsi="宋体"/>
          <w:b/>
          <w:sz w:val="24"/>
          <w:szCs w:val="24"/>
        </w:rPr>
        <w:t>拍卖标的物情况简介</w:t>
      </w:r>
    </w:p>
    <w:p w14:paraId="07C1E9F3">
      <w:pPr>
        <w:spacing w:line="360" w:lineRule="auto"/>
        <w:ind w:left="482"/>
        <w:rPr>
          <w:rFonts w:hint="eastAsia" w:ascii="宋体" w:hAnsi="宋体"/>
          <w:b/>
          <w:sz w:val="24"/>
          <w:szCs w:val="24"/>
        </w:rPr>
      </w:pPr>
      <w:r>
        <w:rPr>
          <w:rFonts w:hint="eastAsia" w:ascii="宋体" w:hAnsi="宋体"/>
          <w:b/>
          <w:sz w:val="24"/>
          <w:szCs w:val="24"/>
        </w:rPr>
        <w:t>1、标的物所属公司具体情况</w:t>
      </w:r>
    </w:p>
    <w:p w14:paraId="47304BF2">
      <w:pPr>
        <w:spacing w:line="360" w:lineRule="auto"/>
        <w:ind w:firstLine="480"/>
        <w:rPr>
          <w:rFonts w:hint="eastAsia" w:ascii="宋体" w:hAnsi="宋体"/>
          <w:sz w:val="24"/>
        </w:rPr>
      </w:pPr>
      <w:r>
        <w:rPr>
          <w:rFonts w:ascii="宋体" w:hAnsi="宋体"/>
          <w:sz w:val="24"/>
        </w:rPr>
        <w:t>企业名称：</w:t>
      </w:r>
      <w:r>
        <w:rPr>
          <w:rFonts w:hint="eastAsia" w:ascii="宋体" w:hAnsi="宋体"/>
          <w:sz w:val="24"/>
        </w:rPr>
        <w:t>广州华年喜年房地产开发有限公司</w:t>
      </w:r>
    </w:p>
    <w:p w14:paraId="7D464D05">
      <w:pPr>
        <w:spacing w:line="360" w:lineRule="auto"/>
        <w:ind w:firstLine="480"/>
        <w:rPr>
          <w:rFonts w:hint="eastAsia" w:ascii="宋体" w:hAnsi="宋体"/>
          <w:sz w:val="24"/>
        </w:rPr>
      </w:pPr>
      <w:r>
        <w:rPr>
          <w:rFonts w:hint="eastAsia" w:ascii="宋体" w:hAnsi="宋体"/>
          <w:sz w:val="24"/>
        </w:rPr>
        <w:t>法定代表人</w:t>
      </w:r>
      <w:r>
        <w:rPr>
          <w:rFonts w:ascii="宋体" w:hAnsi="宋体"/>
          <w:sz w:val="24"/>
        </w:rPr>
        <w:t>：</w:t>
      </w:r>
      <w:r>
        <w:rPr>
          <w:rFonts w:hint="eastAsia" w:ascii="宋体" w:hAnsi="宋体"/>
          <w:sz w:val="24"/>
        </w:rPr>
        <w:t>杨晓</w:t>
      </w:r>
    </w:p>
    <w:p w14:paraId="64650AFE">
      <w:pPr>
        <w:spacing w:line="360" w:lineRule="auto"/>
        <w:ind w:firstLine="480"/>
        <w:rPr>
          <w:rFonts w:hint="eastAsia" w:ascii="宋体" w:hAnsi="宋体"/>
          <w:sz w:val="24"/>
        </w:rPr>
      </w:pPr>
      <w:r>
        <w:rPr>
          <w:rFonts w:ascii="宋体" w:hAnsi="宋体"/>
          <w:sz w:val="24"/>
        </w:rPr>
        <w:t>注册资本：1000万人民币</w:t>
      </w:r>
    </w:p>
    <w:p w14:paraId="2A91DEDE">
      <w:pPr>
        <w:spacing w:line="360" w:lineRule="auto"/>
        <w:ind w:firstLine="480"/>
        <w:rPr>
          <w:rFonts w:hint="eastAsia" w:ascii="宋体" w:hAnsi="宋体"/>
          <w:sz w:val="24"/>
        </w:rPr>
      </w:pPr>
      <w:r>
        <w:rPr>
          <w:rFonts w:ascii="宋体" w:hAnsi="宋体"/>
          <w:sz w:val="24"/>
        </w:rPr>
        <w:t>统一社会信用代码：91440101572170777K</w:t>
      </w:r>
    </w:p>
    <w:p w14:paraId="554FE89F">
      <w:pPr>
        <w:spacing w:line="360" w:lineRule="auto"/>
        <w:ind w:firstLine="480"/>
        <w:rPr>
          <w:rFonts w:hint="eastAsia" w:ascii="宋体" w:hAnsi="宋体"/>
          <w:sz w:val="24"/>
        </w:rPr>
      </w:pPr>
      <w:r>
        <w:rPr>
          <w:rFonts w:ascii="宋体" w:hAnsi="宋体"/>
          <w:sz w:val="24"/>
        </w:rPr>
        <w:t>成立日期：2011-04-07</w:t>
      </w:r>
    </w:p>
    <w:p w14:paraId="2727EDD9">
      <w:pPr>
        <w:spacing w:line="360" w:lineRule="auto"/>
        <w:ind w:firstLine="480"/>
        <w:rPr>
          <w:rFonts w:hint="eastAsia" w:ascii="宋体" w:hAnsi="宋体"/>
          <w:sz w:val="24"/>
        </w:rPr>
      </w:pPr>
      <w:r>
        <w:rPr>
          <w:rFonts w:ascii="宋体" w:hAnsi="宋体"/>
          <w:sz w:val="24"/>
        </w:rPr>
        <w:t>营业期限：</w:t>
      </w:r>
      <w:r>
        <w:rPr>
          <w:rFonts w:hint="eastAsia" w:ascii="宋体" w:hAnsi="宋体"/>
          <w:sz w:val="24"/>
        </w:rPr>
        <w:t>2011-04-07 至 无固定期限</w:t>
      </w:r>
    </w:p>
    <w:p w14:paraId="77E9CB43">
      <w:pPr>
        <w:spacing w:line="360" w:lineRule="auto"/>
        <w:ind w:firstLine="480"/>
        <w:rPr>
          <w:rFonts w:hint="eastAsia" w:ascii="宋体" w:hAnsi="宋体"/>
          <w:color w:val="333333"/>
          <w:sz w:val="24"/>
          <w:shd w:val="clear" w:color="auto" w:fill="FFFFFF"/>
        </w:rPr>
      </w:pPr>
      <w:r>
        <w:rPr>
          <w:rFonts w:hint="eastAsia" w:ascii="宋体" w:hAnsi="宋体"/>
          <w:color w:val="333333"/>
          <w:sz w:val="24"/>
          <w:shd w:val="clear" w:color="auto" w:fill="FFFFFF"/>
        </w:rPr>
        <w:t>登记状态：开业</w:t>
      </w:r>
    </w:p>
    <w:p w14:paraId="2DB64ADD">
      <w:pPr>
        <w:spacing w:line="360" w:lineRule="auto"/>
        <w:ind w:firstLine="480"/>
        <w:rPr>
          <w:rFonts w:hint="eastAsia" w:ascii="宋体" w:hAnsi="宋体"/>
          <w:sz w:val="24"/>
        </w:rPr>
      </w:pPr>
      <w:r>
        <w:rPr>
          <w:rFonts w:ascii="宋体" w:hAnsi="宋体"/>
          <w:sz w:val="24"/>
        </w:rPr>
        <w:t>注册地址：</w:t>
      </w:r>
      <w:r>
        <w:rPr>
          <w:rFonts w:hint="eastAsia" w:ascii="宋体" w:hAnsi="宋体"/>
          <w:sz w:val="24"/>
        </w:rPr>
        <w:t>广州市花都区云缦街15号101房自编101</w:t>
      </w:r>
    </w:p>
    <w:p w14:paraId="12D40892">
      <w:pPr>
        <w:spacing w:line="360" w:lineRule="auto"/>
        <w:ind w:firstLine="480"/>
        <w:rPr>
          <w:rFonts w:hint="eastAsia" w:ascii="宋体" w:hAnsi="宋体"/>
          <w:sz w:val="24"/>
        </w:rPr>
      </w:pPr>
      <w:r>
        <w:rPr>
          <w:rFonts w:ascii="宋体" w:hAnsi="宋体"/>
          <w:sz w:val="24"/>
        </w:rPr>
        <w:t>经营范围：</w:t>
      </w:r>
      <w:r>
        <w:rPr>
          <w:rFonts w:hint="eastAsia" w:ascii="宋体" w:hAnsi="宋体"/>
          <w:sz w:val="24"/>
        </w:rPr>
        <w:t>房地产开发经营;电子产品零售;体育用品及器材零售;建材、装饰材料批发;园林绿化工程服务;自有房地产经营活动;化工产品批发（危险化学品除外）;技术进出口;五金零售;房屋租赁;货物进出口（专营专控商品除外）;风景园林工程设计服务;室内装饰、装修;房地产中介服务;房地产咨询服务。</w:t>
      </w:r>
    </w:p>
    <w:p w14:paraId="512EFC0D">
      <w:pPr>
        <w:spacing w:line="360" w:lineRule="auto"/>
        <w:ind w:firstLine="480" w:firstLineChars="200"/>
        <w:rPr>
          <w:rFonts w:hint="eastAsia" w:ascii="宋体" w:hAnsi="宋体"/>
          <w:color w:val="000000"/>
          <w:sz w:val="24"/>
          <w:szCs w:val="24"/>
        </w:rPr>
      </w:pPr>
      <w:r>
        <w:rPr>
          <w:rFonts w:hint="eastAsia" w:ascii="宋体" w:hAnsi="宋体"/>
          <w:b/>
          <w:bCs/>
          <w:sz w:val="24"/>
          <w:szCs w:val="24"/>
        </w:rPr>
        <w:t>标的物名称</w:t>
      </w:r>
      <w:r>
        <w:rPr>
          <w:rFonts w:hint="eastAsia" w:ascii="宋体" w:hAnsi="宋体"/>
          <w:sz w:val="24"/>
          <w:szCs w:val="24"/>
        </w:rPr>
        <w:t>：</w:t>
      </w:r>
      <w:r>
        <w:rPr>
          <w:rFonts w:hint="eastAsia" w:ascii="宋体" w:hAnsi="宋体"/>
          <w:b/>
          <w:bCs/>
          <w:sz w:val="24"/>
          <w:szCs w:val="24"/>
        </w:rPr>
        <w:t>北京华年喜年国际投资有限公司持有的广州华年喜年房地产开发有限公司49%股权</w:t>
      </w:r>
    </w:p>
    <w:p w14:paraId="32A3C38D">
      <w:pPr>
        <w:spacing w:line="360" w:lineRule="auto"/>
        <w:ind w:firstLine="480" w:firstLineChars="200"/>
        <w:rPr>
          <w:rFonts w:hint="eastAsia" w:ascii="宋体" w:hAnsi="宋体"/>
          <w:sz w:val="24"/>
          <w:szCs w:val="24"/>
        </w:rPr>
      </w:pPr>
      <w:r>
        <w:rPr>
          <w:rFonts w:hint="eastAsia" w:ascii="宋体" w:hAnsi="宋体"/>
          <w:b/>
          <w:bCs/>
          <w:sz w:val="24"/>
          <w:szCs w:val="24"/>
        </w:rPr>
        <w:t>起拍价</w:t>
      </w:r>
      <w:r>
        <w:rPr>
          <w:rFonts w:hint="eastAsia" w:ascii="宋体" w:hAnsi="宋体"/>
          <w:sz w:val="24"/>
          <w:szCs w:val="24"/>
        </w:rPr>
        <w:t>：</w:t>
      </w:r>
      <w:r>
        <w:rPr>
          <w:rFonts w:ascii="宋体" w:hAnsi="宋体"/>
          <w:b/>
          <w:bCs/>
          <w:color w:val="FF0000"/>
          <w:sz w:val="24"/>
          <w:szCs w:val="24"/>
        </w:rPr>
        <w:t>36,505,779.62</w:t>
      </w:r>
      <w:r>
        <w:rPr>
          <w:rFonts w:hint="eastAsia" w:ascii="宋体" w:hAnsi="宋体"/>
          <w:sz w:val="24"/>
          <w:szCs w:val="24"/>
        </w:rPr>
        <w:t>元，保证金：</w:t>
      </w:r>
      <w:r>
        <w:rPr>
          <w:rFonts w:hint="eastAsia" w:ascii="宋体" w:hAnsi="宋体"/>
          <w:b/>
          <w:bCs/>
          <w:color w:val="FF0000"/>
          <w:sz w:val="24"/>
          <w:szCs w:val="24"/>
        </w:rPr>
        <w:t>5</w:t>
      </w:r>
      <w:r>
        <w:rPr>
          <w:rFonts w:ascii="宋体" w:hAnsi="宋体"/>
          <w:b/>
          <w:bCs/>
          <w:color w:val="FF0000"/>
          <w:sz w:val="24"/>
          <w:szCs w:val="24"/>
        </w:rPr>
        <w:t>,</w:t>
      </w:r>
      <w:r>
        <w:rPr>
          <w:rFonts w:hint="eastAsia" w:ascii="宋体" w:hAnsi="宋体"/>
          <w:b/>
          <w:bCs/>
          <w:color w:val="FF0000"/>
          <w:sz w:val="24"/>
          <w:szCs w:val="24"/>
        </w:rPr>
        <w:t>0</w:t>
      </w:r>
      <w:r>
        <w:rPr>
          <w:rFonts w:ascii="宋体" w:hAnsi="宋体"/>
          <w:b/>
          <w:bCs/>
          <w:color w:val="FF0000"/>
          <w:sz w:val="24"/>
          <w:szCs w:val="24"/>
        </w:rPr>
        <w:t>0</w:t>
      </w:r>
      <w:r>
        <w:rPr>
          <w:rFonts w:hint="eastAsia" w:ascii="宋体" w:hAnsi="宋体"/>
          <w:b/>
          <w:bCs/>
          <w:color w:val="FF0000"/>
          <w:sz w:val="24"/>
          <w:szCs w:val="24"/>
        </w:rPr>
        <w:t>0</w:t>
      </w:r>
      <w:r>
        <w:rPr>
          <w:rFonts w:ascii="宋体" w:hAnsi="宋体"/>
          <w:b/>
          <w:bCs/>
          <w:color w:val="FF0000"/>
          <w:sz w:val="24"/>
          <w:szCs w:val="24"/>
        </w:rPr>
        <w:t>,</w:t>
      </w:r>
      <w:r>
        <w:rPr>
          <w:rFonts w:hint="eastAsia" w:ascii="宋体" w:hAnsi="宋体"/>
          <w:b/>
          <w:bCs/>
          <w:color w:val="FF0000"/>
          <w:sz w:val="24"/>
          <w:szCs w:val="24"/>
        </w:rPr>
        <w:t>000.00</w:t>
      </w:r>
      <w:r>
        <w:rPr>
          <w:rFonts w:hint="eastAsia" w:ascii="宋体" w:hAnsi="宋体"/>
          <w:sz w:val="24"/>
          <w:szCs w:val="24"/>
        </w:rPr>
        <w:t>元，增价幅度：</w:t>
      </w:r>
      <w:r>
        <w:rPr>
          <w:rFonts w:hint="eastAsia" w:ascii="宋体" w:hAnsi="宋体"/>
          <w:b/>
          <w:bCs/>
          <w:color w:val="FF0000"/>
          <w:sz w:val="24"/>
          <w:szCs w:val="24"/>
        </w:rPr>
        <w:t>50</w:t>
      </w:r>
      <w:r>
        <w:rPr>
          <w:rFonts w:ascii="宋体" w:hAnsi="宋体"/>
          <w:b/>
          <w:bCs/>
          <w:color w:val="FF0000"/>
          <w:sz w:val="24"/>
          <w:szCs w:val="24"/>
        </w:rPr>
        <w:t>,</w:t>
      </w:r>
      <w:r>
        <w:rPr>
          <w:rFonts w:hint="eastAsia" w:ascii="宋体" w:hAnsi="宋体"/>
          <w:b/>
          <w:bCs/>
          <w:color w:val="FF0000"/>
          <w:sz w:val="24"/>
          <w:szCs w:val="24"/>
        </w:rPr>
        <w:t>000.00</w:t>
      </w:r>
      <w:r>
        <w:rPr>
          <w:rFonts w:hint="eastAsia" w:ascii="宋体" w:hAnsi="宋体"/>
          <w:sz w:val="24"/>
          <w:szCs w:val="24"/>
        </w:rPr>
        <w:t>元(或整倍数)。</w:t>
      </w:r>
    </w:p>
    <w:p w14:paraId="0DB79709">
      <w:pPr>
        <w:spacing w:line="360" w:lineRule="auto"/>
        <w:ind w:firstLine="480" w:firstLineChars="200"/>
        <w:rPr>
          <w:rFonts w:hint="eastAsia" w:ascii="宋体" w:hAnsi="宋体"/>
          <w:b/>
          <w:bCs/>
          <w:sz w:val="24"/>
          <w:szCs w:val="24"/>
        </w:rPr>
      </w:pPr>
      <w:r>
        <w:rPr>
          <w:rFonts w:hint="eastAsia" w:ascii="宋体" w:hAnsi="宋体"/>
          <w:b/>
          <w:bCs/>
          <w:sz w:val="24"/>
          <w:szCs w:val="24"/>
        </w:rPr>
        <w:t>标的物名下主要资产：</w:t>
      </w:r>
    </w:p>
    <w:p w14:paraId="4AD5018D">
      <w:pPr>
        <w:spacing w:line="360" w:lineRule="auto"/>
        <w:ind w:firstLine="480" w:firstLineChars="200"/>
        <w:rPr>
          <w:rFonts w:hint="eastAsia" w:ascii="宋体" w:hAnsi="宋体"/>
          <w:sz w:val="24"/>
          <w:szCs w:val="24"/>
        </w:rPr>
      </w:pPr>
      <w:r>
        <w:rPr>
          <w:rFonts w:hint="eastAsia" w:ascii="宋体" w:hAnsi="宋体"/>
          <w:sz w:val="24"/>
          <w:szCs w:val="24"/>
        </w:rPr>
        <w:t>根据《</w:t>
      </w:r>
      <w:r>
        <w:rPr>
          <w:rFonts w:ascii="宋体" w:hAnsi="宋体"/>
          <w:sz w:val="24"/>
          <w:szCs w:val="24"/>
        </w:rPr>
        <w:t>广州华年喜年房地产开发有限公司企业价值分析报告</w:t>
      </w:r>
      <w:r>
        <w:rPr>
          <w:rFonts w:hint="eastAsia" w:ascii="宋体" w:hAnsi="宋体"/>
          <w:sz w:val="24"/>
          <w:szCs w:val="24"/>
        </w:rPr>
        <w:t>》显示，截至</w:t>
      </w:r>
      <w:r>
        <w:rPr>
          <w:rFonts w:ascii="宋体" w:hAnsi="宋体"/>
          <w:sz w:val="24"/>
          <w:szCs w:val="24"/>
        </w:rPr>
        <w:t>2024年06月30日</w:t>
      </w:r>
      <w:r>
        <w:rPr>
          <w:rFonts w:hint="eastAsia" w:ascii="宋体" w:hAnsi="宋体"/>
          <w:sz w:val="24"/>
          <w:szCs w:val="24"/>
        </w:rPr>
        <w:t>，</w:t>
      </w:r>
      <w:r>
        <w:rPr>
          <w:rFonts w:ascii="宋体" w:hAnsi="宋体"/>
          <w:sz w:val="24"/>
          <w:szCs w:val="24"/>
        </w:rPr>
        <w:t>远洋芙蓉墅开发项目目剩余房产资产为26套别墅，33套洋房，1间商业（会所），19套商业（商铺）以及444未售车位。</w:t>
      </w:r>
    </w:p>
    <w:p w14:paraId="40995C53">
      <w:pPr>
        <w:spacing w:line="360" w:lineRule="auto"/>
        <w:ind w:firstLine="480" w:firstLineChars="200"/>
        <w:rPr>
          <w:rFonts w:hint="eastAsia" w:ascii="宋体" w:hAnsi="宋体"/>
          <w:sz w:val="24"/>
          <w:szCs w:val="24"/>
        </w:rPr>
      </w:pPr>
      <w:r>
        <w:rPr>
          <w:rFonts w:hint="eastAsia" w:ascii="宋体" w:hAnsi="宋体"/>
          <w:sz w:val="24"/>
          <w:szCs w:val="24"/>
        </w:rPr>
        <w:t>远洋·芙蓉墅是远洋地产倾力打造的东南亚皇家风情园林别墅住区。项目充分利用芙蓉嶂水库的景观资源，并结合原有的山势地形，打造出异域风情。远洋·芙蓉墅地处北起芙蓉嶂水库的花都中轴线北端，具体位置在芙蓉嶂度假区内，是集山水、人文、休闲为一体的度假胜地，景区内负离子含量达到 6500 个/cm3，超广州市区 60 倍以上。项目东边为水面面积达300万㎡的芙蓉嶂水库，水质极好且水库里还生长着 6.5 亿年历史的生物—桃花水母；西边和北边为占地 3200 公顷的森林公园——王子山森林公园。项目配套齐全，能满足生活的需求，项目配备有会所、晓庐私厨、书吧、无边际泳池、spa 馆、瑜伽馆、中医馆、社区超市等。</w:t>
      </w:r>
    </w:p>
    <w:p w14:paraId="664C6B6E">
      <w:pPr>
        <w:spacing w:line="360" w:lineRule="auto"/>
        <w:ind w:firstLine="480" w:firstLineChars="200"/>
        <w:rPr>
          <w:rFonts w:hint="eastAsia" w:ascii="宋体" w:hAnsi="宋体"/>
          <w:sz w:val="24"/>
          <w:szCs w:val="24"/>
        </w:rPr>
      </w:pPr>
    </w:p>
    <w:p w14:paraId="4F5F2E19">
      <w:pPr>
        <w:spacing w:line="360" w:lineRule="auto"/>
        <w:ind w:firstLine="480" w:firstLineChars="200"/>
        <w:rPr>
          <w:rFonts w:hint="eastAsia" w:ascii="宋体" w:hAnsi="宋体"/>
          <w:b/>
          <w:bCs/>
          <w:color w:val="FF0000"/>
          <w:sz w:val="24"/>
          <w:szCs w:val="24"/>
        </w:rPr>
      </w:pPr>
      <w:r>
        <w:rPr>
          <w:rFonts w:hint="eastAsia" w:ascii="宋体" w:hAnsi="宋体"/>
          <w:b/>
          <w:bCs/>
          <w:color w:val="FF0000"/>
          <w:sz w:val="24"/>
          <w:szCs w:val="24"/>
        </w:rPr>
        <w:t>标的物特别情况说明：</w:t>
      </w:r>
    </w:p>
    <w:p w14:paraId="4AB2EB3B">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1</w:t>
      </w:r>
      <w:r>
        <w:rPr>
          <w:rFonts w:ascii="宋体" w:hAnsi="宋体"/>
          <w:color w:val="FF0000"/>
          <w:sz w:val="24"/>
          <w:shd w:val="clear" w:color="auto" w:fill="FFFFFF"/>
        </w:rPr>
        <w:t>、本次拍卖标的物中</w:t>
      </w:r>
      <w:r>
        <w:rPr>
          <w:rFonts w:hint="eastAsia" w:ascii="宋体" w:hAnsi="宋体"/>
          <w:color w:val="FF0000"/>
          <w:sz w:val="24"/>
          <w:shd w:val="clear" w:color="auto" w:fill="FFFFFF"/>
        </w:rPr>
        <w:t>附有机构出具的</w:t>
      </w:r>
      <w:r>
        <w:rPr>
          <w:rFonts w:ascii="宋体" w:hAnsi="宋体"/>
          <w:color w:val="FF0000"/>
          <w:sz w:val="24"/>
          <w:shd w:val="clear" w:color="auto" w:fill="FFFFFF"/>
        </w:rPr>
        <w:t>《广州华年喜年房地产开发有限公司企业价值分析报告》，该报告系对广州华年喜年房地产开发有限公司涉及的资产与负债</w:t>
      </w:r>
      <w:r>
        <w:rPr>
          <w:rFonts w:hint="eastAsia" w:ascii="宋体" w:hAnsi="宋体"/>
          <w:color w:val="FF0000"/>
          <w:sz w:val="24"/>
          <w:shd w:val="clear" w:color="auto" w:fill="FFFFFF"/>
        </w:rPr>
        <w:t>进行分析</w:t>
      </w:r>
      <w:r>
        <w:rPr>
          <w:rFonts w:ascii="宋体" w:hAnsi="宋体"/>
          <w:color w:val="FF0000"/>
          <w:sz w:val="24"/>
          <w:shd w:val="clear" w:color="auto" w:fill="FFFFFF"/>
        </w:rPr>
        <w:t>。鉴于本报告内容</w:t>
      </w:r>
      <w:r>
        <w:rPr>
          <w:rFonts w:hint="eastAsia" w:ascii="宋体" w:hAnsi="宋体"/>
          <w:color w:val="FF0000"/>
          <w:sz w:val="24"/>
          <w:shd w:val="clear" w:color="auto" w:fill="FFFFFF"/>
        </w:rPr>
        <w:t>可能</w:t>
      </w:r>
      <w:r>
        <w:rPr>
          <w:rFonts w:ascii="宋体" w:hAnsi="宋体"/>
          <w:color w:val="FF0000"/>
          <w:sz w:val="24"/>
          <w:shd w:val="clear" w:color="auto" w:fill="FFFFFF"/>
        </w:rPr>
        <w:t>涉及企业</w:t>
      </w:r>
      <w:r>
        <w:rPr>
          <w:rFonts w:hint="eastAsia" w:ascii="宋体" w:hAnsi="宋体"/>
          <w:color w:val="FF0000"/>
          <w:sz w:val="24"/>
          <w:shd w:val="clear" w:color="auto" w:fill="FFFFFF"/>
        </w:rPr>
        <w:t>隐私信息</w:t>
      </w:r>
      <w:r>
        <w:rPr>
          <w:rFonts w:ascii="宋体" w:hAnsi="宋体"/>
          <w:color w:val="FF0000"/>
          <w:sz w:val="24"/>
          <w:shd w:val="clear" w:color="auto" w:fill="FFFFFF"/>
        </w:rPr>
        <w:t>，</w:t>
      </w:r>
      <w:r>
        <w:rPr>
          <w:rFonts w:hint="eastAsia" w:ascii="宋体" w:hAnsi="宋体"/>
          <w:color w:val="FF0000"/>
          <w:sz w:val="24"/>
          <w:shd w:val="clear" w:color="auto" w:fill="FFFFFF"/>
        </w:rPr>
        <w:t>为避免无意向购买人及无关人员对</w:t>
      </w:r>
      <w:r>
        <w:rPr>
          <w:rFonts w:ascii="宋体" w:hAnsi="宋体"/>
          <w:color w:val="FF0000"/>
          <w:sz w:val="24"/>
          <w:shd w:val="clear" w:color="auto" w:fill="FFFFFF"/>
        </w:rPr>
        <w:t>企业价值分析报告</w:t>
      </w:r>
      <w:r>
        <w:rPr>
          <w:rFonts w:hint="eastAsia" w:ascii="宋体" w:hAnsi="宋体"/>
          <w:color w:val="FF0000"/>
          <w:sz w:val="24"/>
          <w:shd w:val="clear" w:color="auto" w:fill="FFFFFF"/>
        </w:rPr>
        <w:t>进行泄露，</w:t>
      </w:r>
      <w:r>
        <w:rPr>
          <w:rFonts w:ascii="宋体" w:hAnsi="宋体"/>
          <w:color w:val="FF0000"/>
          <w:sz w:val="24"/>
          <w:shd w:val="clear" w:color="auto" w:fill="FFFFFF"/>
        </w:rPr>
        <w:t>意向竞买人查阅</w:t>
      </w:r>
      <w:r>
        <w:rPr>
          <w:rFonts w:hint="eastAsia" w:ascii="宋体" w:hAnsi="宋体"/>
          <w:color w:val="FF0000"/>
          <w:sz w:val="24"/>
          <w:shd w:val="clear" w:color="auto" w:fill="FFFFFF"/>
        </w:rPr>
        <w:t>该报告</w:t>
      </w:r>
      <w:r>
        <w:rPr>
          <w:rFonts w:ascii="宋体" w:hAnsi="宋体"/>
          <w:color w:val="FF0000"/>
          <w:sz w:val="24"/>
          <w:shd w:val="clear" w:color="auto" w:fill="FFFFFF"/>
        </w:rPr>
        <w:t>需在足额缴纳标的竞买保证金并完成正式报名程序后，</w:t>
      </w:r>
      <w:r>
        <w:rPr>
          <w:rFonts w:hint="eastAsia" w:ascii="宋体" w:hAnsi="宋体"/>
          <w:color w:val="FF0000"/>
          <w:sz w:val="24"/>
          <w:shd w:val="clear" w:color="auto" w:fill="FFFFFF"/>
        </w:rPr>
        <w:t>联系</w:t>
      </w:r>
      <w:r>
        <w:rPr>
          <w:rFonts w:ascii="宋体" w:hAnsi="宋体"/>
          <w:color w:val="FF0000"/>
          <w:sz w:val="24"/>
          <w:shd w:val="clear" w:color="auto" w:fill="FFFFFF"/>
        </w:rPr>
        <w:t>管理人</w:t>
      </w:r>
      <w:r>
        <w:rPr>
          <w:rFonts w:hint="eastAsia" w:ascii="宋体" w:hAnsi="宋体"/>
          <w:color w:val="FF0000"/>
          <w:sz w:val="24"/>
          <w:shd w:val="clear" w:color="auto" w:fill="FFFFFF"/>
        </w:rPr>
        <w:t>提交个人/企业的身份证明资料，并</w:t>
      </w:r>
      <w:r>
        <w:rPr>
          <w:rFonts w:ascii="宋体" w:hAnsi="宋体"/>
          <w:color w:val="FF0000"/>
          <w:sz w:val="24"/>
          <w:shd w:val="clear" w:color="auto" w:fill="FFFFFF"/>
        </w:rPr>
        <w:t>签订《保密承诺书》，承诺严格履行保密义务。完成上述程序后，</w:t>
      </w:r>
      <w:r>
        <w:rPr>
          <w:rFonts w:hint="eastAsia" w:ascii="宋体" w:hAnsi="宋体"/>
          <w:color w:val="FF0000"/>
          <w:sz w:val="24"/>
          <w:shd w:val="clear" w:color="auto" w:fill="FFFFFF"/>
        </w:rPr>
        <w:t>意向竞买人方能</w:t>
      </w:r>
      <w:r>
        <w:rPr>
          <w:rFonts w:ascii="宋体" w:hAnsi="宋体"/>
          <w:color w:val="FF0000"/>
          <w:sz w:val="24"/>
          <w:shd w:val="clear" w:color="auto" w:fill="FFFFFF"/>
        </w:rPr>
        <w:t>查阅</w:t>
      </w:r>
      <w:r>
        <w:rPr>
          <w:rFonts w:hint="eastAsia" w:ascii="宋体" w:hAnsi="宋体"/>
          <w:color w:val="FF0000"/>
          <w:sz w:val="24"/>
          <w:shd w:val="clear" w:color="auto" w:fill="FFFFFF"/>
        </w:rPr>
        <w:t>该</w:t>
      </w:r>
      <w:r>
        <w:rPr>
          <w:rFonts w:ascii="宋体" w:hAnsi="宋体"/>
          <w:color w:val="FF0000"/>
          <w:sz w:val="24"/>
          <w:shd w:val="clear" w:color="auto" w:fill="FFFFFF"/>
        </w:rPr>
        <w:t>报告。</w:t>
      </w:r>
    </w:p>
    <w:p w14:paraId="5817FAC4">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2、</w:t>
      </w:r>
      <w:r>
        <w:rPr>
          <w:rFonts w:ascii="宋体" w:hAnsi="宋体"/>
          <w:color w:val="FF0000"/>
          <w:sz w:val="24"/>
          <w:shd w:val="clear" w:color="auto" w:fill="FFFFFF"/>
        </w:rPr>
        <w:t>本次拍卖为</w:t>
      </w:r>
      <w:r>
        <w:rPr>
          <w:rFonts w:hint="eastAsia" w:ascii="宋体" w:hAnsi="宋体"/>
          <w:color w:val="FF0000"/>
          <w:sz w:val="24"/>
          <w:shd w:val="clear" w:color="auto" w:fill="FFFFFF"/>
        </w:rPr>
        <w:t>广州华年喜年房地产开发有限公司49%的股权</w:t>
      </w:r>
      <w:r>
        <w:rPr>
          <w:rFonts w:ascii="宋体" w:hAnsi="宋体"/>
          <w:color w:val="FF0000"/>
          <w:sz w:val="24"/>
          <w:shd w:val="clear" w:color="auto" w:fill="FFFFFF"/>
        </w:rPr>
        <w:t>。请竞买人自行了解</w:t>
      </w:r>
      <w:r>
        <w:rPr>
          <w:rFonts w:hint="eastAsia" w:ascii="宋体" w:hAnsi="宋体"/>
          <w:color w:val="FF0000"/>
          <w:sz w:val="24"/>
          <w:shd w:val="clear" w:color="auto" w:fill="FFFFFF"/>
        </w:rPr>
        <w:t>广州华年喜年房地产开发有限公司</w:t>
      </w:r>
      <w:r>
        <w:rPr>
          <w:rFonts w:ascii="宋体" w:hAnsi="宋体"/>
          <w:color w:val="FF0000"/>
          <w:sz w:val="24"/>
          <w:shd w:val="clear" w:color="auto" w:fill="FFFFFF"/>
        </w:rPr>
        <w:t>的经营状况，自行查证拍卖标的物现状，慎重决定竞买行为，竞买人一旦作出竞买决定，即表明已完全了解并接受标的物的现状和一切已知及未知的</w:t>
      </w:r>
      <w:r>
        <w:rPr>
          <w:rFonts w:hint="eastAsia" w:ascii="宋体" w:hAnsi="宋体"/>
          <w:color w:val="FF0000"/>
          <w:sz w:val="24"/>
          <w:shd w:val="clear" w:color="auto" w:fill="FFFFFF"/>
        </w:rPr>
        <w:t>风险、</w:t>
      </w:r>
      <w:r>
        <w:rPr>
          <w:rFonts w:ascii="宋体" w:hAnsi="宋体"/>
          <w:color w:val="FF0000"/>
          <w:sz w:val="24"/>
          <w:shd w:val="clear" w:color="auto" w:fill="FFFFFF"/>
        </w:rPr>
        <w:t>瑕疵，并愿意承担一切法律风险（该等风险包括但不限于</w:t>
      </w:r>
      <w:r>
        <w:rPr>
          <w:rFonts w:hint="eastAsia" w:ascii="宋体" w:hAnsi="宋体"/>
          <w:color w:val="FF0000"/>
          <w:sz w:val="24"/>
          <w:shd w:val="clear" w:color="auto" w:fill="FFFFFF"/>
        </w:rPr>
        <w:t>广州华年喜年房地产开发有限公司可能存在的</w:t>
      </w:r>
      <w:r>
        <w:rPr>
          <w:rFonts w:ascii="宋体" w:hAnsi="宋体"/>
          <w:color w:val="FF0000"/>
          <w:sz w:val="24"/>
          <w:shd w:val="clear" w:color="auto" w:fill="FFFFFF"/>
        </w:rPr>
        <w:t>累积欠的各种税费、</w:t>
      </w:r>
      <w:r>
        <w:rPr>
          <w:rFonts w:hint="eastAsia" w:ascii="宋体" w:hAnsi="宋体"/>
          <w:color w:val="FF0000"/>
          <w:sz w:val="24"/>
          <w:shd w:val="clear" w:color="auto" w:fill="FFFFFF"/>
        </w:rPr>
        <w:t>资不抵债</w:t>
      </w:r>
      <w:r>
        <w:rPr>
          <w:rFonts w:ascii="宋体" w:hAnsi="宋体"/>
          <w:color w:val="FF0000"/>
          <w:sz w:val="24"/>
          <w:shd w:val="clear" w:color="auto" w:fill="FFFFFF"/>
        </w:rPr>
        <w:t>、</w:t>
      </w:r>
      <w:r>
        <w:rPr>
          <w:rFonts w:hint="eastAsia" w:ascii="宋体" w:hAnsi="宋体"/>
          <w:color w:val="FF0000"/>
          <w:sz w:val="24"/>
          <w:shd w:val="clear" w:color="auto" w:fill="FFFFFF"/>
        </w:rPr>
        <w:t>诉讼纠纷、</w:t>
      </w:r>
      <w:r>
        <w:rPr>
          <w:rFonts w:ascii="宋体" w:hAnsi="宋体"/>
          <w:color w:val="FF0000"/>
          <w:sz w:val="24"/>
          <w:shd w:val="clear" w:color="auto" w:fill="FFFFFF"/>
        </w:rPr>
        <w:t>股东未实际出资</w:t>
      </w:r>
      <w:r>
        <w:rPr>
          <w:rFonts w:hint="eastAsia" w:ascii="宋体" w:hAnsi="宋体"/>
          <w:color w:val="FF0000"/>
          <w:sz w:val="24"/>
          <w:shd w:val="clear" w:color="auto" w:fill="FFFFFF"/>
        </w:rPr>
        <w:t>或出资不足</w:t>
      </w:r>
      <w:r>
        <w:rPr>
          <w:rFonts w:ascii="宋体" w:hAnsi="宋体"/>
          <w:color w:val="FF0000"/>
          <w:sz w:val="24"/>
          <w:shd w:val="clear" w:color="auto" w:fill="FFFFFF"/>
        </w:rPr>
        <w:t>、</w:t>
      </w:r>
      <w:r>
        <w:rPr>
          <w:rFonts w:hint="eastAsia" w:ascii="宋体" w:hAnsi="宋体"/>
          <w:color w:val="FF0000"/>
          <w:sz w:val="24"/>
          <w:shd w:val="clear" w:color="auto" w:fill="FFFFFF"/>
        </w:rPr>
        <w:t>停止经营、空壳、公司法定代表人及高管等任何人员失联</w:t>
      </w:r>
      <w:r>
        <w:rPr>
          <w:rFonts w:ascii="宋体" w:hAnsi="宋体"/>
          <w:color w:val="FF0000"/>
          <w:sz w:val="24"/>
          <w:shd w:val="clear" w:color="auto" w:fill="FFFFFF"/>
        </w:rPr>
        <w:t>、</w:t>
      </w:r>
      <w:r>
        <w:rPr>
          <w:rFonts w:hint="eastAsia" w:ascii="宋体" w:hAnsi="宋体"/>
          <w:color w:val="FF0000"/>
          <w:sz w:val="24"/>
          <w:shd w:val="clear" w:color="auto" w:fill="FFFFFF"/>
        </w:rPr>
        <w:t>行政</w:t>
      </w:r>
      <w:r>
        <w:rPr>
          <w:rFonts w:ascii="宋体" w:hAnsi="宋体"/>
          <w:color w:val="FF0000"/>
          <w:sz w:val="24"/>
          <w:shd w:val="clear" w:color="auto" w:fill="FFFFFF"/>
        </w:rPr>
        <w:t>处罚</w:t>
      </w:r>
      <w:r>
        <w:rPr>
          <w:rFonts w:hint="eastAsia" w:ascii="宋体" w:hAnsi="宋体"/>
          <w:color w:val="FF0000"/>
          <w:sz w:val="24"/>
          <w:shd w:val="clear" w:color="auto" w:fill="FFFFFF"/>
        </w:rPr>
        <w:t>、司法罚款、</w:t>
      </w:r>
      <w:r>
        <w:rPr>
          <w:rFonts w:ascii="宋体" w:hAnsi="宋体"/>
          <w:color w:val="FF0000"/>
          <w:sz w:val="24"/>
          <w:shd w:val="clear" w:color="auto" w:fill="FFFFFF"/>
        </w:rPr>
        <w:t>印章证照遗失、财务账册遗失、文件资料遗失、</w:t>
      </w:r>
      <w:r>
        <w:rPr>
          <w:rFonts w:hint="eastAsia" w:ascii="宋体" w:hAnsi="宋体"/>
          <w:color w:val="FF0000"/>
          <w:sz w:val="24"/>
          <w:shd w:val="clear" w:color="auto" w:fill="FFFFFF"/>
        </w:rPr>
        <w:t>股权无法转让</w:t>
      </w:r>
      <w:r>
        <w:rPr>
          <w:rFonts w:ascii="宋体" w:hAnsi="宋体"/>
          <w:color w:val="FF0000"/>
          <w:sz w:val="24"/>
          <w:shd w:val="clear" w:color="auto" w:fill="FFFFFF"/>
        </w:rPr>
        <w:t>过户</w:t>
      </w:r>
      <w:r>
        <w:rPr>
          <w:rFonts w:hint="eastAsia" w:ascii="宋体" w:hAnsi="宋体"/>
          <w:color w:val="FF0000"/>
          <w:sz w:val="24"/>
          <w:shd w:val="clear" w:color="auto" w:fill="FFFFFF"/>
        </w:rPr>
        <w:t>，等</w:t>
      </w:r>
      <w:r>
        <w:rPr>
          <w:rFonts w:ascii="宋体" w:hAnsi="宋体"/>
          <w:color w:val="FF0000"/>
          <w:sz w:val="24"/>
          <w:shd w:val="clear" w:color="auto" w:fill="FFFFFF"/>
        </w:rPr>
        <w:t>等</w:t>
      </w:r>
      <w:r>
        <w:rPr>
          <w:rFonts w:hint="eastAsia" w:ascii="宋体" w:hAnsi="宋体"/>
          <w:color w:val="FF0000"/>
          <w:sz w:val="24"/>
          <w:shd w:val="clear" w:color="auto" w:fill="FFFFFF"/>
        </w:rPr>
        <w:t>风险，此处无法穷尽</w:t>
      </w:r>
      <w:r>
        <w:rPr>
          <w:rFonts w:ascii="宋体" w:hAnsi="宋体"/>
          <w:color w:val="FF0000"/>
          <w:sz w:val="24"/>
          <w:shd w:val="clear" w:color="auto" w:fill="FFFFFF"/>
        </w:rPr>
        <w:t>）。</w:t>
      </w:r>
      <w:r>
        <w:rPr>
          <w:rFonts w:hint="eastAsia" w:ascii="宋体" w:hAnsi="宋体"/>
          <w:color w:val="FF0000"/>
          <w:sz w:val="24"/>
          <w:shd w:val="clear" w:color="auto" w:fill="FFFFFF"/>
        </w:rPr>
        <w:t>管理人</w:t>
      </w:r>
      <w:r>
        <w:rPr>
          <w:rFonts w:ascii="宋体" w:hAnsi="宋体"/>
          <w:color w:val="FF0000"/>
          <w:sz w:val="24"/>
          <w:shd w:val="clear" w:color="auto" w:fill="FFFFFF"/>
        </w:rPr>
        <w:t>对前述风险</w:t>
      </w:r>
      <w:r>
        <w:rPr>
          <w:rFonts w:hint="eastAsia" w:ascii="宋体" w:hAnsi="宋体"/>
          <w:color w:val="FF0000"/>
          <w:sz w:val="24"/>
          <w:shd w:val="clear" w:color="auto" w:fill="FFFFFF"/>
        </w:rPr>
        <w:t>是否存在并不了解，不承担，也</w:t>
      </w:r>
      <w:r>
        <w:rPr>
          <w:rFonts w:ascii="宋体" w:hAnsi="宋体"/>
          <w:color w:val="FF0000"/>
          <w:sz w:val="24"/>
          <w:shd w:val="clear" w:color="auto" w:fill="FFFFFF"/>
        </w:rPr>
        <w:t>不做任何保证</w:t>
      </w:r>
      <w:r>
        <w:rPr>
          <w:rFonts w:hint="eastAsia" w:ascii="宋体" w:hAnsi="宋体"/>
          <w:color w:val="FF0000"/>
          <w:sz w:val="24"/>
          <w:shd w:val="clear" w:color="auto" w:fill="FFFFFF"/>
        </w:rPr>
        <w:t>，请竞买人自行调查判断，但凡参与竞买即表明自愿承担以上风险</w:t>
      </w:r>
      <w:r>
        <w:rPr>
          <w:rFonts w:ascii="宋体" w:hAnsi="宋体"/>
          <w:color w:val="FF0000"/>
          <w:sz w:val="24"/>
          <w:shd w:val="clear" w:color="auto" w:fill="FFFFFF"/>
        </w:rPr>
        <w:t>。拍卖标的物如涉及违法，由买受人自行与相关部门沟通并依照有关规定进行处理，</w:t>
      </w:r>
      <w:r>
        <w:rPr>
          <w:rFonts w:hint="eastAsia" w:ascii="宋体" w:hAnsi="宋体"/>
          <w:color w:val="FF0000"/>
          <w:sz w:val="24"/>
          <w:shd w:val="clear" w:color="auto" w:fill="FFFFFF"/>
        </w:rPr>
        <w:t>管理人</w:t>
      </w:r>
      <w:r>
        <w:rPr>
          <w:rFonts w:ascii="宋体" w:hAnsi="宋体"/>
          <w:color w:val="FF0000"/>
          <w:sz w:val="24"/>
          <w:shd w:val="clear" w:color="auto" w:fill="FFFFFF"/>
        </w:rPr>
        <w:t>不协助买受人处理前述违法问题，买受人不得向</w:t>
      </w:r>
      <w:r>
        <w:rPr>
          <w:rFonts w:hint="eastAsia" w:ascii="宋体" w:hAnsi="宋体"/>
          <w:color w:val="FF0000"/>
          <w:sz w:val="24"/>
          <w:shd w:val="clear" w:color="auto" w:fill="FFFFFF"/>
        </w:rPr>
        <w:t>管理人</w:t>
      </w:r>
      <w:r>
        <w:rPr>
          <w:rFonts w:ascii="宋体" w:hAnsi="宋体"/>
          <w:color w:val="FF0000"/>
          <w:sz w:val="24"/>
          <w:shd w:val="clear" w:color="auto" w:fill="FFFFFF"/>
        </w:rPr>
        <w:t>索偿。</w:t>
      </w:r>
    </w:p>
    <w:p w14:paraId="33D9AC93">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3</w:t>
      </w:r>
      <w:r>
        <w:rPr>
          <w:rFonts w:ascii="宋体" w:hAnsi="宋体"/>
          <w:color w:val="FF0000"/>
          <w:sz w:val="24"/>
          <w:shd w:val="clear" w:color="auto" w:fill="FFFFFF"/>
        </w:rPr>
        <w:t>、</w:t>
      </w:r>
      <w:r>
        <w:rPr>
          <w:rFonts w:hint="eastAsia" w:ascii="宋体" w:hAnsi="宋体"/>
          <w:color w:val="FF0000"/>
          <w:sz w:val="24"/>
          <w:shd w:val="clear" w:color="auto" w:fill="FFFFFF"/>
        </w:rPr>
        <w:t>涉及标的物的各项转让手续由买受人自行办理并承担相应费用及风险，该等风险包括但不限于因股权解封、法律、法规及行业规定、政策原因、目标公司不配合办理股权转让变更登记等原因导致股权变更手续办理时间延长或者不能办理的。因相关规定或相关限制导致股东身份变更手续办理时间延长或无法变更等等。因政策原因或存在隐性瑕疵、拍卖过程中产生权利限制等原因导致股权变更手续办理延长或者受阻等的，优先权人行使优先权导致竞买失败及无法变更股权，等等任何与标的股权有关的风险，管理人及拍卖辅助机构不承担任何保证。</w:t>
      </w:r>
    </w:p>
    <w:p w14:paraId="219F7237">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4</w:t>
      </w:r>
      <w:r>
        <w:rPr>
          <w:rFonts w:ascii="宋体" w:hAnsi="宋体"/>
          <w:color w:val="FF0000"/>
          <w:sz w:val="24"/>
          <w:shd w:val="clear" w:color="auto" w:fill="FFFFFF"/>
        </w:rPr>
        <w:t>、拍卖公告所作的情况说明，仅为竞买人参与竞买提供参考，不能作为竞买人判断、权衡价值的最终依据。竞买人在竞拍前请务必自行确认是否具备持股资格，能否办理股权转让登记</w:t>
      </w:r>
      <w:r>
        <w:rPr>
          <w:rFonts w:hint="eastAsia" w:ascii="宋体" w:hAnsi="宋体"/>
          <w:color w:val="FF0000"/>
          <w:sz w:val="24"/>
          <w:shd w:val="clear" w:color="auto" w:fill="FFFFFF"/>
        </w:rPr>
        <w:t>及办理股权转让登记所需时间，</w:t>
      </w:r>
      <w:r>
        <w:rPr>
          <w:rFonts w:ascii="宋体" w:hAnsi="宋体"/>
          <w:color w:val="FF0000"/>
          <w:sz w:val="24"/>
          <w:shd w:val="clear" w:color="auto" w:fill="FFFFFF"/>
        </w:rPr>
        <w:t>请竞买人自行到有关部门咨询核实。一旦参加竞拍，即视为对本标的物投资入股条件的确认，如不符合条件参加竞拍或者拍卖成交后不能过户的，买受人自行承担风险。</w:t>
      </w:r>
    </w:p>
    <w:p w14:paraId="10EFC9AF">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5</w:t>
      </w:r>
      <w:r>
        <w:rPr>
          <w:rFonts w:ascii="宋体" w:hAnsi="宋体"/>
          <w:color w:val="FF0000"/>
          <w:sz w:val="24"/>
          <w:shd w:val="clear" w:color="auto" w:fill="FFFFFF"/>
        </w:rPr>
        <w:t>、拍卖成交之日起，买受人须承担标的物</w:t>
      </w:r>
      <w:r>
        <w:rPr>
          <w:rFonts w:hint="eastAsia" w:ascii="宋体" w:hAnsi="宋体"/>
          <w:color w:val="FF0000"/>
          <w:sz w:val="24"/>
          <w:shd w:val="clear" w:color="auto" w:fill="FFFFFF"/>
        </w:rPr>
        <w:t>已发生的和</w:t>
      </w:r>
      <w:r>
        <w:rPr>
          <w:rFonts w:ascii="宋体" w:hAnsi="宋体"/>
          <w:color w:val="FF0000"/>
          <w:sz w:val="24"/>
          <w:shd w:val="clear" w:color="auto" w:fill="FFFFFF"/>
        </w:rPr>
        <w:t>可能发生的一切风险。</w:t>
      </w:r>
    </w:p>
    <w:p w14:paraId="29443CF1">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6</w:t>
      </w:r>
      <w:r>
        <w:rPr>
          <w:rFonts w:ascii="宋体" w:hAnsi="宋体"/>
          <w:color w:val="FF0000"/>
          <w:sz w:val="24"/>
          <w:shd w:val="clear" w:color="auto" w:fill="FFFFFF"/>
        </w:rPr>
        <w:t>、</w:t>
      </w:r>
      <w:r>
        <w:rPr>
          <w:rFonts w:hint="eastAsia" w:ascii="宋体" w:hAnsi="宋体"/>
          <w:color w:val="FF0000"/>
          <w:sz w:val="24"/>
          <w:shd w:val="clear" w:color="auto" w:fill="FFFFFF"/>
        </w:rPr>
        <w:t>本次拍卖管理人披露的相关信息不视为广州华年喜年房地产开发有限公司相关信息的全部披露，</w:t>
      </w:r>
      <w:r>
        <w:rPr>
          <w:rFonts w:ascii="宋体" w:hAnsi="宋体"/>
          <w:color w:val="FF0000"/>
          <w:sz w:val="24"/>
          <w:shd w:val="clear" w:color="auto" w:fill="FFFFFF"/>
        </w:rPr>
        <w:t>请竞买人自行咨询股权相关政策及规定，并承担相应的风险。因标的物无法实际看样，详细情况意向竞买人可向相关部门了解或自行进行调查，参加拍卖的竞买人视为对本标的物实物现状的确认，责任自负。请谨慎参拍。</w:t>
      </w:r>
    </w:p>
    <w:p w14:paraId="1F93EDD4">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7、其他未尽事宜由买受人自行了解。</w:t>
      </w:r>
    </w:p>
    <w:p w14:paraId="1F8AC168">
      <w:pPr>
        <w:spacing w:before="100" w:after="100" w:line="360" w:lineRule="auto"/>
        <w:ind w:firstLine="480"/>
        <w:jc w:val="left"/>
        <w:rPr>
          <w:rFonts w:hint="eastAsia" w:ascii="宋体" w:hAnsi="宋体"/>
          <w:color w:val="FF0000"/>
          <w:sz w:val="24"/>
          <w:shd w:val="clear" w:color="auto" w:fill="FFFFFF"/>
        </w:rPr>
      </w:pPr>
      <w:r>
        <w:rPr>
          <w:rFonts w:ascii="宋体" w:hAnsi="宋体"/>
          <w:color w:val="FF0000"/>
          <w:sz w:val="24"/>
          <w:shd w:val="clear" w:color="auto" w:fill="FFFFFF"/>
        </w:rPr>
        <w:t>因上述问题发生费用及造成的股权不能变更的风险由买受人自行承担。</w:t>
      </w:r>
    </w:p>
    <w:p w14:paraId="6C10779D">
      <w:pPr>
        <w:spacing w:before="100" w:after="100" w:line="360" w:lineRule="auto"/>
        <w:ind w:firstLine="480"/>
        <w:jc w:val="left"/>
        <w:rPr>
          <w:rFonts w:hint="eastAsia" w:ascii="宋体" w:hAnsi="宋体"/>
          <w:sz w:val="24"/>
          <w:szCs w:val="24"/>
        </w:rPr>
      </w:pPr>
      <w:r>
        <w:rPr>
          <w:rFonts w:hint="eastAsia" w:ascii="宋体" w:hAnsi="宋体"/>
          <w:b/>
          <w:sz w:val="24"/>
          <w:szCs w:val="24"/>
        </w:rPr>
        <w:t>二、咨询、展示、看样的时间与方式</w:t>
      </w:r>
    </w:p>
    <w:p w14:paraId="377C1939">
      <w:pPr>
        <w:spacing w:line="360" w:lineRule="auto"/>
        <w:ind w:firstLine="480" w:firstLineChars="200"/>
        <w:rPr>
          <w:rFonts w:hint="eastAsia" w:ascii="宋体" w:hAnsi="宋体"/>
          <w:b/>
          <w:color w:val="FF0000"/>
          <w:sz w:val="24"/>
          <w:szCs w:val="24"/>
        </w:rPr>
      </w:pPr>
      <w:r>
        <w:rPr>
          <w:rFonts w:hint="eastAsia" w:ascii="宋体" w:hAnsi="宋体"/>
          <w:sz w:val="24"/>
          <w:szCs w:val="24"/>
        </w:rPr>
        <w:t>自公告之日起至</w:t>
      </w:r>
      <w:r>
        <w:rPr>
          <w:rFonts w:ascii="宋体" w:hAnsi="宋体"/>
          <w:sz w:val="24"/>
          <w:szCs w:val="24"/>
        </w:rPr>
        <w:t>20</w:t>
      </w:r>
      <w:r>
        <w:rPr>
          <w:rFonts w:hint="eastAsia" w:ascii="宋体" w:hAnsi="宋体"/>
          <w:sz w:val="24"/>
          <w:szCs w:val="24"/>
        </w:rPr>
        <w:t>25</w:t>
      </w:r>
      <w:r>
        <w:rPr>
          <w:rFonts w:ascii="宋体" w:hAnsi="宋体"/>
          <w:sz w:val="24"/>
          <w:szCs w:val="24"/>
        </w:rPr>
        <w:t>年</w:t>
      </w:r>
      <w:r>
        <w:rPr>
          <w:rFonts w:hint="eastAsia" w:ascii="宋体" w:hAnsi="宋体"/>
          <w:sz w:val="24"/>
          <w:szCs w:val="24"/>
        </w:rPr>
        <w:t>6月12日</w:t>
      </w:r>
      <w:r>
        <w:rPr>
          <w:rFonts w:ascii="宋体" w:hAnsi="宋体"/>
          <w:sz w:val="24"/>
          <w:szCs w:val="24"/>
        </w:rPr>
        <w:t>10时</w:t>
      </w:r>
      <w:r>
        <w:rPr>
          <w:rFonts w:hint="eastAsia" w:ascii="宋体" w:hAnsi="宋体"/>
          <w:sz w:val="24"/>
          <w:szCs w:val="24"/>
        </w:rPr>
        <w:t>止接受咨询（工作时间内），统一安排现场看样。本管理人已委托北京嘉运亨通拍卖有限公司协助办理咨询、预展事务。有意者请与管理人联系（联系电话：金律师13811200956）；辅助拍卖机构（联系电话：刘先生:16601111018，崔女士:18330353912）。</w:t>
      </w:r>
      <w:r>
        <w:rPr>
          <w:rFonts w:hint="eastAsia" w:ascii="宋体" w:hAnsi="宋体"/>
          <w:b/>
          <w:color w:val="FF0000"/>
          <w:sz w:val="24"/>
          <w:szCs w:val="24"/>
        </w:rPr>
        <w:t>因拍卖标的物无实物可供竞买人看样，请竞买人自行调查该资产的价值与风险瑕疵，详细情况可向相关部门了解，参与拍卖的竞买人视为对标的物的一切瑕疵（包括隐性瑕疵和显性瑕疵）与风险已知，责任自负，请谨慎参拍。管理人与拍卖辅助机构不对标的物的任何权利负担或风险瑕疵承担责任。竞买人一旦作出竞买决定，即表明已完全了解，并接受标的物的现状和一切已知及未知的风险瑕疵。</w:t>
      </w:r>
    </w:p>
    <w:p w14:paraId="2663F813">
      <w:pPr>
        <w:spacing w:line="360" w:lineRule="auto"/>
        <w:ind w:firstLine="480" w:firstLineChars="200"/>
        <w:rPr>
          <w:rFonts w:hint="eastAsia" w:ascii="宋体" w:hAnsi="宋体"/>
          <w:b/>
          <w:sz w:val="24"/>
          <w:szCs w:val="24"/>
        </w:rPr>
      </w:pPr>
      <w:r>
        <w:rPr>
          <w:rFonts w:hint="eastAsia" w:ascii="宋体" w:hAnsi="宋体"/>
          <w:b/>
          <w:sz w:val="24"/>
          <w:szCs w:val="24"/>
        </w:rPr>
        <w:t>三、竞买人条件</w:t>
      </w:r>
    </w:p>
    <w:p w14:paraId="07E77034">
      <w:pPr>
        <w:spacing w:line="360" w:lineRule="auto"/>
        <w:ind w:firstLine="480" w:firstLineChars="200"/>
        <w:rPr>
          <w:rFonts w:hint="eastAsia" w:ascii="宋体" w:hAnsi="宋体"/>
          <w:sz w:val="24"/>
          <w:szCs w:val="24"/>
        </w:rPr>
      </w:pPr>
      <w:r>
        <w:rPr>
          <w:rFonts w:hint="eastAsia" w:ascii="宋体" w:hAnsi="宋体"/>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5DE6FCEC">
      <w:pPr>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color w:val="000000"/>
          <w:sz w:val="24"/>
          <w:szCs w:val="24"/>
        </w:rPr>
        <w:t>竞买人（</w:t>
      </w:r>
      <w:r>
        <w:rPr>
          <w:rFonts w:hint="eastAsia" w:ascii="宋体" w:hAnsi="宋体"/>
          <w:sz w:val="24"/>
          <w:szCs w:val="24"/>
        </w:rPr>
        <w:t>公民、法人和其他组织</w:t>
      </w:r>
      <w:r>
        <w:rPr>
          <w:rFonts w:hint="eastAsia" w:ascii="宋体" w:hAnsi="宋体"/>
          <w:color w:val="000000"/>
          <w:sz w:val="24"/>
          <w:szCs w:val="24"/>
        </w:rPr>
        <w:t>）可委托他人（</w:t>
      </w:r>
      <w:r>
        <w:rPr>
          <w:rFonts w:hint="eastAsia" w:ascii="宋体" w:hAnsi="宋体"/>
          <w:sz w:val="24"/>
          <w:szCs w:val="24"/>
        </w:rPr>
        <w:t>公民、法人和其他组织</w:t>
      </w:r>
      <w:r>
        <w:rPr>
          <w:rFonts w:hint="eastAsia" w:ascii="宋体" w:hAnsi="宋体"/>
          <w:color w:val="000000"/>
          <w:sz w:val="24"/>
          <w:szCs w:val="24"/>
        </w:rPr>
        <w:t>）参与拍卖。</w:t>
      </w:r>
      <w:r>
        <w:rPr>
          <w:rFonts w:hint="eastAsia" w:ascii="宋体" w:hAnsi="宋体"/>
          <w:sz w:val="24"/>
          <w:szCs w:val="24"/>
        </w:rPr>
        <w:t>但须在拍卖开始日的</w:t>
      </w:r>
      <w:r>
        <w:rPr>
          <w:rFonts w:hint="eastAsia" w:ascii="宋体" w:hAnsi="宋体"/>
          <w:color w:val="000000"/>
          <w:sz w:val="24"/>
          <w:szCs w:val="24"/>
        </w:rPr>
        <w:t>两日</w:t>
      </w:r>
      <w:r>
        <w:rPr>
          <w:rFonts w:hint="eastAsia" w:ascii="宋体" w:hAnsi="宋体"/>
          <w:sz w:val="24"/>
          <w:szCs w:val="24"/>
        </w:rPr>
        <w:t>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713DB84B">
      <w:pPr>
        <w:spacing w:line="360" w:lineRule="auto"/>
        <w:ind w:firstLine="480" w:firstLineChars="200"/>
        <w:rPr>
          <w:rFonts w:hint="eastAsia" w:ascii="宋体" w:hAnsi="宋体"/>
          <w:sz w:val="24"/>
          <w:szCs w:val="24"/>
        </w:rPr>
      </w:pPr>
      <w:r>
        <w:rPr>
          <w:rFonts w:hint="eastAsia" w:ascii="宋体" w:hAnsi="宋体"/>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6FAFDEA5">
      <w:pPr>
        <w:spacing w:line="360" w:lineRule="auto"/>
        <w:ind w:firstLine="480" w:firstLineChars="200"/>
        <w:rPr>
          <w:rFonts w:hint="eastAsia" w:ascii="宋体" w:hAnsi="宋体"/>
          <w:sz w:val="24"/>
          <w:szCs w:val="24"/>
        </w:rPr>
      </w:pPr>
      <w:r>
        <w:rPr>
          <w:rFonts w:hint="eastAsia" w:ascii="宋体" w:hAnsi="宋体"/>
          <w:sz w:val="24"/>
          <w:szCs w:val="24"/>
        </w:rPr>
        <w:t>4、因不符合条件参加竞买的，由竞买人/买受人自行承担相应的法律责任。</w:t>
      </w:r>
    </w:p>
    <w:p w14:paraId="1219E127">
      <w:pPr>
        <w:spacing w:line="360" w:lineRule="auto"/>
        <w:ind w:firstLine="480" w:firstLineChars="200"/>
        <w:rPr>
          <w:rFonts w:hint="eastAsia" w:ascii="宋体" w:hAnsi="宋体"/>
          <w:b/>
          <w:sz w:val="24"/>
          <w:szCs w:val="24"/>
        </w:rPr>
      </w:pPr>
      <w:r>
        <w:rPr>
          <w:rFonts w:hint="eastAsia" w:ascii="宋体" w:hAnsi="宋体"/>
          <w:b/>
          <w:sz w:val="24"/>
          <w:szCs w:val="24"/>
        </w:rPr>
        <w:t>四、优先购买权人</w:t>
      </w:r>
    </w:p>
    <w:p w14:paraId="7770F7CA">
      <w:pPr>
        <w:spacing w:line="360" w:lineRule="auto"/>
        <w:ind w:firstLine="480" w:firstLineChars="200"/>
        <w:rPr>
          <w:rFonts w:hint="eastAsia" w:ascii="宋体" w:hAnsi="宋体"/>
          <w:sz w:val="24"/>
          <w:szCs w:val="24"/>
        </w:rPr>
      </w:pPr>
      <w:r>
        <w:rPr>
          <w:rFonts w:hint="eastAsia" w:ascii="宋体" w:hAnsi="宋体"/>
          <w:sz w:val="24"/>
          <w:szCs w:val="24"/>
        </w:rPr>
        <w:t>1、本标的物优先购买权人：北京远东新地置业有限公司</w:t>
      </w:r>
    </w:p>
    <w:p w14:paraId="72A98DEA">
      <w:pPr>
        <w:spacing w:line="360" w:lineRule="auto"/>
        <w:ind w:firstLine="480" w:firstLineChars="200"/>
        <w:rPr>
          <w:rFonts w:hint="eastAsia" w:ascii="宋体" w:hAnsi="宋体"/>
          <w:sz w:val="24"/>
          <w:szCs w:val="24"/>
        </w:rPr>
      </w:pPr>
      <w:r>
        <w:rPr>
          <w:rFonts w:hint="eastAsia" w:ascii="宋体" w:hAnsi="宋体"/>
          <w:sz w:val="24"/>
          <w:szCs w:val="24"/>
        </w:rPr>
        <w:t>优先购买权人应于本公告发布之日起3日内向管理人联系，提供相关证明材料，办理相关手续。逾期未提供材料或办理手续者，视为自动放弃优先购买权。</w:t>
      </w:r>
    </w:p>
    <w:p w14:paraId="541005F5">
      <w:pPr>
        <w:spacing w:line="360" w:lineRule="auto"/>
        <w:ind w:firstLine="480" w:firstLineChars="200"/>
        <w:rPr>
          <w:rFonts w:hint="eastAsia" w:ascii="宋体" w:hAnsi="宋体"/>
          <w:sz w:val="24"/>
          <w:szCs w:val="24"/>
        </w:rPr>
      </w:pPr>
      <w:r>
        <w:rPr>
          <w:rFonts w:hint="eastAsia" w:ascii="宋体" w:hAnsi="宋体"/>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57F7FE66">
      <w:pPr>
        <w:spacing w:line="360" w:lineRule="auto"/>
        <w:ind w:firstLine="480" w:firstLineChars="200"/>
        <w:rPr>
          <w:rFonts w:hint="eastAsia" w:ascii="宋体" w:hAnsi="宋体"/>
          <w:sz w:val="24"/>
          <w:szCs w:val="24"/>
        </w:rPr>
      </w:pPr>
      <w:r>
        <w:rPr>
          <w:rFonts w:hint="eastAsia" w:ascii="宋体" w:hAnsi="宋体"/>
          <w:sz w:val="24"/>
          <w:szCs w:val="24"/>
        </w:rPr>
        <w:t>3、优先购买权人参与竞买的，与其他竞买人以相同的价格出价，没有更高出价的，标的物由优先购买权人竞得。</w:t>
      </w:r>
    </w:p>
    <w:p w14:paraId="69C8CA58">
      <w:pPr>
        <w:spacing w:line="360" w:lineRule="auto"/>
        <w:ind w:firstLine="480" w:firstLineChars="200"/>
        <w:rPr>
          <w:rFonts w:hint="eastAsia" w:ascii="宋体" w:hAnsi="宋体"/>
          <w:sz w:val="24"/>
          <w:szCs w:val="24"/>
        </w:rPr>
      </w:pPr>
      <w:r>
        <w:rPr>
          <w:rFonts w:hint="eastAsia" w:ascii="宋体" w:hAnsi="宋体"/>
          <w:sz w:val="24"/>
          <w:szCs w:val="24"/>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24DF766D">
      <w:pPr>
        <w:spacing w:line="360" w:lineRule="auto"/>
        <w:ind w:firstLine="480" w:firstLineChars="200"/>
        <w:rPr>
          <w:rFonts w:hint="eastAsia" w:ascii="宋体" w:hAnsi="宋体"/>
          <w:b/>
          <w:sz w:val="24"/>
          <w:szCs w:val="24"/>
        </w:rPr>
      </w:pPr>
      <w:r>
        <w:rPr>
          <w:rFonts w:hint="eastAsia" w:ascii="宋体" w:hAnsi="宋体"/>
          <w:b/>
          <w:sz w:val="24"/>
          <w:szCs w:val="24"/>
        </w:rPr>
        <w:t>五、拍卖延时</w:t>
      </w:r>
    </w:p>
    <w:p w14:paraId="1812499B">
      <w:pPr>
        <w:spacing w:line="360" w:lineRule="auto"/>
        <w:ind w:firstLine="480" w:firstLineChars="200"/>
        <w:rPr>
          <w:rFonts w:hint="eastAsia" w:ascii="宋体" w:hAnsi="宋体"/>
          <w:sz w:val="24"/>
          <w:szCs w:val="24"/>
        </w:rPr>
      </w:pPr>
      <w:r>
        <w:rPr>
          <w:rFonts w:hint="eastAsia" w:ascii="宋体" w:hAnsi="宋体"/>
          <w:sz w:val="24"/>
          <w:szCs w:val="24"/>
        </w:rPr>
        <w:t>本次拍卖活动设置延时出价功能，在拍卖活动结束前，每最后5分钟如果有竞买人出价，就自动延迟5分钟。</w:t>
      </w:r>
    </w:p>
    <w:p w14:paraId="2F65E306">
      <w:pPr>
        <w:spacing w:line="360" w:lineRule="auto"/>
        <w:ind w:firstLine="480" w:firstLineChars="200"/>
        <w:rPr>
          <w:rFonts w:hint="eastAsia" w:ascii="宋体" w:hAnsi="宋体"/>
          <w:b/>
          <w:sz w:val="24"/>
          <w:szCs w:val="24"/>
        </w:rPr>
      </w:pPr>
      <w:r>
        <w:rPr>
          <w:rFonts w:hint="eastAsia" w:ascii="宋体" w:hAnsi="宋体"/>
          <w:b/>
          <w:sz w:val="24"/>
          <w:szCs w:val="24"/>
        </w:rPr>
        <w:t>六、拍卖方式</w:t>
      </w:r>
    </w:p>
    <w:p w14:paraId="5B55FCCB">
      <w:pPr>
        <w:spacing w:line="360" w:lineRule="auto"/>
        <w:ind w:firstLine="480" w:firstLineChars="200"/>
        <w:rPr>
          <w:rFonts w:hint="eastAsia" w:ascii="宋体" w:hAnsi="宋体"/>
          <w:sz w:val="24"/>
          <w:szCs w:val="24"/>
        </w:rPr>
      </w:pPr>
      <w:r>
        <w:rPr>
          <w:rFonts w:hint="eastAsia" w:ascii="宋体" w:hAnsi="宋体"/>
          <w:sz w:val="24"/>
          <w:szCs w:val="24"/>
        </w:rPr>
        <w:t>本次拍卖采取有保留价的增价拍卖方式，保留价即为起拍价，至少一人报名且出价不低于起拍价，方可成交。无人报名或出价的，竞价会流拍。</w:t>
      </w:r>
    </w:p>
    <w:p w14:paraId="69C4862C">
      <w:pPr>
        <w:spacing w:line="360" w:lineRule="auto"/>
        <w:ind w:firstLine="480" w:firstLineChars="200"/>
        <w:rPr>
          <w:rFonts w:hint="eastAsia" w:ascii="宋体" w:hAnsi="宋体"/>
          <w:b/>
          <w:sz w:val="24"/>
          <w:szCs w:val="24"/>
        </w:rPr>
      </w:pPr>
      <w:r>
        <w:rPr>
          <w:rFonts w:hint="eastAsia" w:ascii="宋体" w:hAnsi="宋体"/>
          <w:b/>
          <w:sz w:val="24"/>
          <w:szCs w:val="24"/>
        </w:rPr>
        <w:t>七、税费及其他费用承担</w:t>
      </w:r>
    </w:p>
    <w:p w14:paraId="37BEDA02">
      <w:pPr>
        <w:spacing w:line="360" w:lineRule="auto"/>
        <w:ind w:firstLine="480" w:firstLineChars="200"/>
        <w:rPr>
          <w:rFonts w:hint="eastAsia" w:ascii="宋体" w:hAnsi="宋体"/>
          <w:b/>
          <w:color w:val="FF0000"/>
          <w:sz w:val="24"/>
          <w:szCs w:val="24"/>
        </w:rPr>
      </w:pPr>
      <w:r>
        <w:rPr>
          <w:rFonts w:hint="eastAsia" w:ascii="宋体" w:hAnsi="宋体"/>
          <w:b/>
          <w:color w:val="FF0000"/>
          <w:sz w:val="24"/>
          <w:szCs w:val="24"/>
        </w:rPr>
        <w:t>本次拍卖活动计价货币为人民币。本次拍卖成交价不含税费及其他费用。标的物转让登记手续由买受人办理，管理人将给予必要的协助。标的物转让登记买卖双方所涉及的相关税、费等均由买受人承担。如未明确缴费义务人的费用由买受人承担。买受人在竞买前应向所涉税务部门确认成交后应缴纳的税费标准。</w:t>
      </w:r>
      <w:r>
        <w:rPr>
          <w:rFonts w:ascii="宋体" w:hAnsi="宋体"/>
          <w:b/>
          <w:color w:val="FF0000"/>
          <w:sz w:val="24"/>
          <w:szCs w:val="24"/>
        </w:rPr>
        <w:t>鉴于</w:t>
      </w:r>
      <w:r>
        <w:rPr>
          <w:rFonts w:hint="eastAsia" w:ascii="宋体" w:hAnsi="宋体"/>
          <w:b/>
          <w:color w:val="FF0000"/>
          <w:sz w:val="24"/>
          <w:szCs w:val="24"/>
        </w:rPr>
        <w:t>本次拍卖活动为破产资产处置，成交后</w:t>
      </w:r>
      <w:r>
        <w:rPr>
          <w:rFonts w:ascii="宋体" w:hAnsi="宋体"/>
          <w:b/>
          <w:color w:val="FF0000"/>
          <w:sz w:val="24"/>
          <w:szCs w:val="24"/>
        </w:rPr>
        <w:t>可能因破产企业税务状态异常</w:t>
      </w:r>
      <w:r>
        <w:rPr>
          <w:rFonts w:hint="eastAsia" w:ascii="宋体" w:hAnsi="宋体"/>
          <w:b/>
          <w:color w:val="FF0000"/>
          <w:sz w:val="24"/>
          <w:szCs w:val="24"/>
        </w:rPr>
        <w:t>或者管理人</w:t>
      </w:r>
      <w:r>
        <w:rPr>
          <w:rFonts w:ascii="宋体" w:hAnsi="宋体"/>
          <w:b/>
          <w:bCs/>
          <w:color w:val="FF0000"/>
          <w:sz w:val="24"/>
          <w:szCs w:val="24"/>
        </w:rPr>
        <w:t>未接管</w:t>
      </w:r>
      <w:r>
        <w:rPr>
          <w:rFonts w:hint="eastAsia" w:ascii="宋体" w:hAnsi="宋体"/>
          <w:b/>
          <w:bCs/>
          <w:color w:val="FF0000"/>
          <w:sz w:val="24"/>
          <w:szCs w:val="24"/>
        </w:rPr>
        <w:t>到</w:t>
      </w:r>
      <w:r>
        <w:rPr>
          <w:rFonts w:ascii="宋体" w:hAnsi="宋体"/>
          <w:b/>
          <w:bCs/>
          <w:color w:val="FF0000"/>
          <w:sz w:val="24"/>
          <w:szCs w:val="24"/>
        </w:rPr>
        <w:t>必要资料</w:t>
      </w:r>
      <w:r>
        <w:rPr>
          <w:rFonts w:hint="eastAsia" w:ascii="宋体" w:hAnsi="宋体"/>
          <w:b/>
          <w:bCs/>
          <w:color w:val="FF0000"/>
          <w:sz w:val="24"/>
          <w:szCs w:val="24"/>
        </w:rPr>
        <w:t>等原因</w:t>
      </w:r>
      <w:r>
        <w:rPr>
          <w:rFonts w:hint="eastAsia" w:ascii="宋体" w:hAnsi="宋体"/>
          <w:b/>
          <w:color w:val="FF0000"/>
          <w:sz w:val="24"/>
          <w:szCs w:val="24"/>
        </w:rPr>
        <w:t>，导致</w:t>
      </w:r>
      <w:r>
        <w:rPr>
          <w:rFonts w:ascii="宋体" w:hAnsi="宋体"/>
          <w:b/>
          <w:color w:val="FF0000"/>
          <w:sz w:val="24"/>
          <w:szCs w:val="24"/>
        </w:rPr>
        <w:t>买受人无法取得发票</w:t>
      </w:r>
      <w:r>
        <w:rPr>
          <w:rFonts w:hint="eastAsia" w:ascii="宋体" w:hAnsi="宋体"/>
          <w:b/>
          <w:color w:val="FF0000"/>
          <w:sz w:val="24"/>
          <w:szCs w:val="24"/>
        </w:rPr>
        <w:t>的，相应的问题由买受人自行解决，风险由买受人自行承担。</w:t>
      </w:r>
    </w:p>
    <w:p w14:paraId="18DD2135">
      <w:pPr>
        <w:spacing w:line="360" w:lineRule="auto"/>
        <w:ind w:firstLine="482"/>
        <w:rPr>
          <w:rFonts w:hint="eastAsia" w:ascii="宋体" w:hAnsi="宋体" w:cs="宋体"/>
          <w:b/>
          <w:sz w:val="24"/>
        </w:rPr>
      </w:pPr>
      <w:r>
        <w:rPr>
          <w:rFonts w:ascii="宋体" w:hAnsi="宋体" w:cs="宋体"/>
          <w:b/>
          <w:sz w:val="24"/>
        </w:rPr>
        <w:t>八、签署成交文件</w:t>
      </w:r>
    </w:p>
    <w:p w14:paraId="5D4081FA">
      <w:pPr>
        <w:spacing w:line="360" w:lineRule="auto"/>
        <w:ind w:firstLine="482"/>
        <w:rPr>
          <w:rFonts w:hint="eastAsia" w:ascii="宋体" w:hAnsi="宋体" w:cs="宋体"/>
          <w:bCs/>
          <w:sz w:val="24"/>
        </w:rPr>
      </w:pPr>
      <w:r>
        <w:rPr>
          <w:rFonts w:ascii="宋体" w:hAnsi="宋体" w:cs="宋体"/>
          <w:bCs/>
          <w:sz w:val="24"/>
        </w:rPr>
        <w:t>买受人须在拍卖成交之日起三日内（遇节假日顺延）凭缴纳拍卖保证金平台生成的竞买号及相关身份材料到</w:t>
      </w:r>
      <w:r>
        <w:rPr>
          <w:rFonts w:hint="eastAsia" w:ascii="宋体" w:hAnsi="宋体" w:cs="宋体"/>
          <w:bCs/>
          <w:sz w:val="24"/>
        </w:rPr>
        <w:t>管理人</w:t>
      </w:r>
      <w:r>
        <w:rPr>
          <w:rFonts w:ascii="宋体" w:hAnsi="宋体" w:cs="宋体"/>
          <w:bCs/>
          <w:sz w:val="24"/>
        </w:rPr>
        <w:t>处签署拍卖成交确认文件。</w:t>
      </w:r>
    </w:p>
    <w:p w14:paraId="64DE7044">
      <w:pPr>
        <w:spacing w:line="360" w:lineRule="auto"/>
        <w:ind w:firstLine="480" w:firstLineChars="200"/>
        <w:rPr>
          <w:rFonts w:hint="eastAsia" w:ascii="宋体" w:hAnsi="宋体"/>
          <w:b/>
          <w:sz w:val="24"/>
          <w:szCs w:val="24"/>
        </w:rPr>
      </w:pPr>
      <w:r>
        <w:rPr>
          <w:rFonts w:hint="eastAsia" w:ascii="宋体" w:hAnsi="宋体"/>
          <w:b/>
          <w:sz w:val="24"/>
          <w:szCs w:val="24"/>
        </w:rPr>
        <w:t>九、保证金和余款支付</w:t>
      </w:r>
    </w:p>
    <w:p w14:paraId="263E49FC">
      <w:pPr>
        <w:spacing w:line="360" w:lineRule="auto"/>
        <w:ind w:firstLine="480" w:firstLineChars="200"/>
        <w:rPr>
          <w:rFonts w:hint="eastAsia" w:ascii="宋体" w:hAnsi="宋体"/>
          <w:sz w:val="24"/>
          <w:szCs w:val="24"/>
        </w:rPr>
      </w:pPr>
      <w:r>
        <w:rPr>
          <w:rFonts w:hint="eastAsia" w:ascii="宋体" w:hAnsi="宋体"/>
          <w:sz w:val="24"/>
          <w:szCs w:val="24"/>
        </w:rPr>
        <w:t>1、拍卖竞价前将通过网拍系统在竞买人支付宝账户内冻结相应资金作为应缴的保证金，拍卖结束后未能竞得者冻结的保证金自动解冻，冻结期间不计利息。本标的物竞得者原冻结的保证金自动转入指定账户冲抵价款。拍卖余款由竞得者在拍卖成交（即竞价成功日，下同）后</w:t>
      </w:r>
      <w:r>
        <w:rPr>
          <w:rFonts w:hint="eastAsia" w:ascii="宋体" w:hAnsi="宋体"/>
          <w:b/>
          <w:color w:val="FF0000"/>
          <w:sz w:val="24"/>
          <w:szCs w:val="24"/>
        </w:rPr>
        <w:t>三</w:t>
      </w:r>
      <w:r>
        <w:rPr>
          <w:rFonts w:hint="eastAsia" w:ascii="宋体" w:hAnsi="宋体"/>
          <w:b/>
          <w:bCs/>
          <w:color w:val="FF0000"/>
          <w:sz w:val="24"/>
          <w:szCs w:val="24"/>
        </w:rPr>
        <w:t>日</w:t>
      </w:r>
      <w:r>
        <w:rPr>
          <w:rFonts w:hint="eastAsia" w:ascii="宋体" w:hAnsi="宋体"/>
          <w:sz w:val="24"/>
          <w:szCs w:val="24"/>
        </w:rPr>
        <w:t>内缴纳至管理人指定账户：</w:t>
      </w:r>
    </w:p>
    <w:p w14:paraId="51DD00BF">
      <w:pPr>
        <w:spacing w:line="360" w:lineRule="auto"/>
        <w:ind w:firstLine="480" w:firstLineChars="200"/>
        <w:rPr>
          <w:rFonts w:hint="eastAsia" w:ascii="宋体" w:hAnsi="宋体"/>
          <w:b/>
          <w:color w:val="FF0000"/>
          <w:sz w:val="24"/>
          <w:szCs w:val="24"/>
        </w:rPr>
      </w:pPr>
      <w:r>
        <w:rPr>
          <w:rFonts w:hint="eastAsia" w:ascii="宋体" w:hAnsi="宋体"/>
          <w:b/>
          <w:color w:val="FF0000"/>
          <w:sz w:val="24"/>
          <w:szCs w:val="24"/>
        </w:rPr>
        <w:t>户  名：北京华年喜年国际投资有限公司管理人；</w:t>
      </w:r>
    </w:p>
    <w:p w14:paraId="1952A399">
      <w:pPr>
        <w:spacing w:line="360" w:lineRule="auto"/>
        <w:ind w:firstLine="480" w:firstLineChars="200"/>
        <w:rPr>
          <w:rFonts w:hint="eastAsia" w:ascii="宋体" w:hAnsi="宋体"/>
          <w:b/>
          <w:color w:val="FF0000"/>
          <w:sz w:val="24"/>
          <w:szCs w:val="24"/>
        </w:rPr>
      </w:pPr>
      <w:r>
        <w:rPr>
          <w:rFonts w:hint="eastAsia" w:ascii="宋体" w:hAnsi="宋体"/>
          <w:b/>
          <w:color w:val="FF0000"/>
          <w:sz w:val="24"/>
          <w:szCs w:val="24"/>
        </w:rPr>
        <w:t>开户行：中信银行北京三元桥支行；</w:t>
      </w:r>
    </w:p>
    <w:p w14:paraId="72265A02">
      <w:pPr>
        <w:spacing w:line="360" w:lineRule="auto"/>
        <w:ind w:firstLine="480" w:firstLineChars="200"/>
        <w:rPr>
          <w:rFonts w:hint="eastAsia" w:ascii="宋体" w:hAnsi="宋体"/>
          <w:b/>
          <w:color w:val="FF0000"/>
          <w:sz w:val="24"/>
          <w:szCs w:val="24"/>
        </w:rPr>
      </w:pPr>
      <w:r>
        <w:rPr>
          <w:rFonts w:hint="eastAsia" w:ascii="宋体" w:hAnsi="宋体"/>
          <w:b/>
          <w:color w:val="FF0000"/>
          <w:sz w:val="24"/>
          <w:szCs w:val="24"/>
        </w:rPr>
        <w:t>账  户：</w:t>
      </w:r>
      <w:r>
        <w:rPr>
          <w:rFonts w:ascii="宋体" w:hAnsi="宋体"/>
          <w:b/>
          <w:color w:val="FF0000"/>
          <w:sz w:val="24"/>
          <w:szCs w:val="24"/>
        </w:rPr>
        <w:t>8110701014202553002</w:t>
      </w:r>
      <w:r>
        <w:rPr>
          <w:rFonts w:hint="eastAsia" w:ascii="宋体" w:hAnsi="宋体"/>
          <w:b/>
          <w:color w:val="FF0000"/>
          <w:sz w:val="24"/>
          <w:szCs w:val="24"/>
        </w:rPr>
        <w:t>；</w:t>
      </w:r>
    </w:p>
    <w:p w14:paraId="038E9D01">
      <w:pPr>
        <w:spacing w:line="360" w:lineRule="auto"/>
        <w:ind w:firstLine="480" w:firstLineChars="200"/>
        <w:rPr>
          <w:rFonts w:hint="eastAsia" w:ascii="宋体" w:hAnsi="宋体"/>
          <w:sz w:val="24"/>
          <w:szCs w:val="24"/>
        </w:rPr>
      </w:pPr>
      <w:r>
        <w:rPr>
          <w:rFonts w:hint="eastAsia" w:ascii="宋体" w:hAnsi="宋体"/>
          <w:sz w:val="24"/>
          <w:szCs w:val="24"/>
        </w:rPr>
        <w:t>2、支付宝网上付款方式：登录我的淘宝-我的拍卖支付，付款教程：https://www.taobao.com/market/paimai/sf-helpcenter.php?path=sf-hc-right-content5#q8）</w:t>
      </w:r>
    </w:p>
    <w:p w14:paraId="31777809">
      <w:pPr>
        <w:spacing w:line="360" w:lineRule="auto"/>
        <w:ind w:firstLine="480" w:firstLineChars="200"/>
        <w:rPr>
          <w:rFonts w:hint="eastAsia" w:ascii="宋体" w:hAnsi="宋体"/>
          <w:sz w:val="24"/>
          <w:szCs w:val="24"/>
        </w:rPr>
      </w:pPr>
      <w:r>
        <w:rPr>
          <w:rFonts w:hint="eastAsia" w:ascii="宋体" w:hAnsi="宋体"/>
          <w:sz w:val="24"/>
          <w:szCs w:val="24"/>
        </w:rPr>
        <w:t>3、破产企业资产拍卖因标的物本身价值，其起拍价、保证金、竞拍成交价格相对较高的，竞买人参与竞拍，支付保证金及余款可能会碰到当天限额无法支付的情况，请竞买人根据自身情况选择网上充值银行。各大银行充值和支付的限额情况可上网查询，网址：https://www.taobao.com/market/paimai/sf-helpcenter.php?path=sf-hc-right-content5#q1</w:t>
      </w:r>
    </w:p>
    <w:p w14:paraId="119B7A66">
      <w:pPr>
        <w:spacing w:line="360" w:lineRule="auto"/>
        <w:ind w:firstLine="480" w:firstLineChars="200"/>
        <w:rPr>
          <w:rFonts w:hint="eastAsia" w:ascii="宋体" w:hAnsi="宋体"/>
          <w:sz w:val="24"/>
          <w:szCs w:val="24"/>
        </w:rPr>
      </w:pPr>
      <w:r>
        <w:rPr>
          <w:rFonts w:hint="eastAsia" w:ascii="宋体" w:hAnsi="宋体"/>
          <w:sz w:val="24"/>
          <w:szCs w:val="24"/>
        </w:rPr>
        <w:t>4、拍卖成交后买受人悔拍（包括但不限于买受人未在拍卖成交后三日内将拍卖成交全部余款缴入指定账户，以及买受人明示或暗示其悔拍等情形）的，管理人可重新委托拍卖，买受人交纳的保证金不予退还，计入债务人财产。保证金数额不足以弥补拍卖费用损失以及重新拍卖价款低于原拍卖价款的差价的，管理人可向悔拍人追索。重新拍卖时，原买受人不得参加竞买。</w:t>
      </w:r>
    </w:p>
    <w:p w14:paraId="61E0F0F1">
      <w:pPr>
        <w:spacing w:line="360" w:lineRule="auto"/>
        <w:ind w:firstLine="480" w:firstLineChars="200"/>
        <w:rPr>
          <w:rFonts w:hint="eastAsia" w:ascii="宋体" w:hAnsi="宋体"/>
          <w:b/>
          <w:color w:val="FF0000"/>
          <w:sz w:val="24"/>
          <w:szCs w:val="24"/>
        </w:rPr>
      </w:pPr>
      <w:r>
        <w:rPr>
          <w:rFonts w:hint="eastAsia" w:ascii="宋体" w:hAnsi="宋体"/>
          <w:b/>
          <w:color w:val="FF0000"/>
          <w:sz w:val="24"/>
          <w:szCs w:val="24"/>
        </w:rPr>
        <w:t>特别提示：</w:t>
      </w:r>
    </w:p>
    <w:p w14:paraId="49727FC3">
      <w:pPr>
        <w:spacing w:line="360" w:lineRule="auto"/>
        <w:ind w:firstLine="480" w:firstLineChars="200"/>
        <w:rPr>
          <w:rFonts w:hint="eastAsia" w:ascii="宋体" w:hAnsi="宋体"/>
          <w:sz w:val="24"/>
          <w:szCs w:val="24"/>
        </w:rPr>
      </w:pPr>
      <w:r>
        <w:rPr>
          <w:rFonts w:hint="eastAsia" w:ascii="宋体" w:hAnsi="宋体"/>
          <w:sz w:val="24"/>
          <w:szCs w:val="24"/>
        </w:rPr>
        <w:t>1、综合服务费由拍卖辅助机构收取（按照成交价格的2%计算，封顶不超过200万元）买受人需在成交之后三日内将综合服务费汇款至北京嘉运亨通拍卖有限公司指定账户【户名：北京嘉运亨通拍卖有限公司；开户行：招商银行股份有限公司北京崇文门支行；账号：110945693810201；以到账时间为准】。</w:t>
      </w:r>
    </w:p>
    <w:p w14:paraId="4289D554">
      <w:pPr>
        <w:spacing w:line="360" w:lineRule="auto"/>
        <w:ind w:firstLine="480" w:firstLineChars="200"/>
        <w:rPr>
          <w:rFonts w:hint="eastAsia" w:ascii="宋体" w:hAnsi="宋体"/>
          <w:sz w:val="24"/>
          <w:szCs w:val="24"/>
        </w:rPr>
      </w:pPr>
      <w:r>
        <w:rPr>
          <w:rFonts w:hint="eastAsia" w:ascii="宋体" w:hAnsi="宋体"/>
          <w:sz w:val="24"/>
          <w:szCs w:val="24"/>
        </w:rPr>
        <w:t>2、软件服务费由阿里拍卖平台收取，付费方式及软件服务费金额等请详见《阿里拍卖平台破产资产处置频道收费规则》。买受人须于成交后三日内通过线上完成相应费用的支付后，保证金将转为部分成交价款转至管理人的支付宝账户。</w:t>
      </w:r>
    </w:p>
    <w:p w14:paraId="4B3F9A2E">
      <w:pPr>
        <w:spacing w:line="360" w:lineRule="auto"/>
        <w:ind w:firstLine="480" w:firstLineChars="200"/>
        <w:rPr>
          <w:rFonts w:hint="eastAsia" w:ascii="宋体" w:hAnsi="宋体"/>
          <w:sz w:val="24"/>
          <w:szCs w:val="24"/>
        </w:rPr>
      </w:pPr>
      <w:r>
        <w:rPr>
          <w:rFonts w:hint="eastAsia" w:ascii="宋体" w:hAnsi="宋体"/>
          <w:sz w:val="24"/>
          <w:szCs w:val="24"/>
        </w:rPr>
        <w:t>3、上述综合服务费和软件服务费，买受人逾期未全额缴纳的，阿里拍卖平台和拍卖辅助机构可对其进行依法追缴。买受人缴纳相关费用后如需索取发票的，买受人可与拍卖辅助机构联系开具或在阿里支付系统中查看已完成支付的软件服务费记录并点击申请开票。</w:t>
      </w:r>
    </w:p>
    <w:p w14:paraId="72714511">
      <w:pPr>
        <w:spacing w:line="360" w:lineRule="auto"/>
        <w:ind w:firstLine="480" w:firstLineChars="200"/>
        <w:rPr>
          <w:rFonts w:hint="eastAsia" w:ascii="宋体" w:hAnsi="宋体"/>
          <w:b/>
          <w:color w:val="FF0000"/>
          <w:sz w:val="24"/>
          <w:szCs w:val="24"/>
        </w:rPr>
      </w:pPr>
      <w:r>
        <w:rPr>
          <w:rFonts w:hint="eastAsia" w:ascii="宋体" w:hAnsi="宋体"/>
          <w:b/>
          <w:color w:val="FF0000"/>
          <w:sz w:val="24"/>
          <w:szCs w:val="24"/>
        </w:rPr>
        <w:t>十、拍品交付</w:t>
      </w:r>
    </w:p>
    <w:p w14:paraId="24E4D2FA">
      <w:pPr>
        <w:spacing w:line="360" w:lineRule="auto"/>
        <w:ind w:firstLine="480" w:firstLineChars="200"/>
        <w:rPr>
          <w:rFonts w:hint="eastAsia" w:ascii="宋体" w:hAnsi="宋体"/>
          <w:b/>
          <w:bCs/>
          <w:sz w:val="24"/>
          <w:szCs w:val="24"/>
          <w:u w:val="single"/>
        </w:rPr>
      </w:pPr>
      <w:r>
        <w:rPr>
          <w:rFonts w:hint="eastAsia" w:ascii="宋体" w:hAnsi="宋体"/>
          <w:b/>
          <w:bCs/>
          <w:sz w:val="24"/>
          <w:szCs w:val="24"/>
          <w:u w:val="single"/>
        </w:rPr>
        <w:t>1、买受人在缴纳完全部拍卖款项，持有效身份证明及签署好的拍卖成交文件前往管理人处办理交割手续，由买受人自行前往相关部门办理股权转让手续，能否办理股权转让手续及办理股权转让手续的时间请竞买人在竞买前，自行到相关部门咨询确认，管理人和拍卖辅助机构不做股权转让的任何承诺。拍品转让登记可能涉及的全部费用均由买受人自行负责，与管理人和拍卖辅助机构无关。</w:t>
      </w:r>
    </w:p>
    <w:p w14:paraId="46FC2079">
      <w:pPr>
        <w:spacing w:line="360" w:lineRule="auto"/>
        <w:ind w:firstLine="480" w:firstLineChars="200"/>
        <w:rPr>
          <w:rFonts w:hint="eastAsia" w:ascii="宋体" w:hAnsi="宋体"/>
          <w:b/>
          <w:bCs/>
          <w:sz w:val="24"/>
          <w:szCs w:val="24"/>
          <w:u w:val="single"/>
        </w:rPr>
      </w:pPr>
      <w:r>
        <w:rPr>
          <w:rFonts w:hint="eastAsia" w:ascii="宋体" w:hAnsi="宋体"/>
          <w:b/>
          <w:bCs/>
          <w:sz w:val="24"/>
          <w:szCs w:val="24"/>
          <w:u w:val="single"/>
        </w:rPr>
        <w:t>2、如标的物存在冻结、质押等权利限制、政策原因或存在隐性瑕疵导致股权变更手续办理延长或者受阻等情况的，管理人和拍卖辅助机构不保证买受人可避免上述情况，亦不就上述情况的发生承担任何法律责任。</w:t>
      </w:r>
    </w:p>
    <w:p w14:paraId="0B28FA61">
      <w:pPr>
        <w:spacing w:line="360" w:lineRule="auto"/>
        <w:ind w:firstLine="480" w:firstLineChars="200"/>
        <w:rPr>
          <w:rFonts w:hint="eastAsia" w:ascii="宋体" w:hAnsi="宋体"/>
          <w:sz w:val="24"/>
          <w:szCs w:val="24"/>
        </w:rPr>
      </w:pPr>
      <w:r>
        <w:rPr>
          <w:rFonts w:hint="eastAsia" w:ascii="宋体" w:hAnsi="宋体"/>
          <w:b/>
          <w:sz w:val="24"/>
          <w:szCs w:val="24"/>
        </w:rPr>
        <w:t>十一、</w:t>
      </w:r>
      <w:r>
        <w:rPr>
          <w:rFonts w:hint="eastAsia" w:ascii="宋体" w:hAnsi="宋体"/>
          <w:sz w:val="24"/>
          <w:szCs w:val="24"/>
        </w:rPr>
        <w:t>依照相关法律规定，竞买人成功竞得网拍标的物后，淘宝网拍平台将生成相应《网络竞价成功确认书》，该材料仅为竞价成功确认书，载明实际买受人姓名、网拍竞买号信息，非《拍卖成交确认书》。</w:t>
      </w:r>
    </w:p>
    <w:p w14:paraId="0CBD4616">
      <w:pPr>
        <w:spacing w:line="360" w:lineRule="auto"/>
        <w:ind w:firstLine="480" w:firstLineChars="200"/>
        <w:rPr>
          <w:rFonts w:hint="eastAsia" w:ascii="宋体" w:hAnsi="宋体"/>
          <w:sz w:val="24"/>
          <w:szCs w:val="24"/>
        </w:rPr>
      </w:pPr>
      <w:r>
        <w:rPr>
          <w:rFonts w:hint="eastAsia" w:ascii="宋体" w:hAnsi="宋体"/>
          <w:b/>
          <w:sz w:val="24"/>
          <w:szCs w:val="24"/>
        </w:rPr>
        <w:t>十二、</w:t>
      </w:r>
      <w:r>
        <w:rPr>
          <w:rFonts w:hint="eastAsia" w:ascii="宋体" w:hAnsi="宋体"/>
          <w:sz w:val="24"/>
          <w:szCs w:val="24"/>
        </w:rPr>
        <w:t>竞买人在拍卖竞价前请务必再仔细阅读《竞买须知》、《拍卖标的物调查情况表》。本《竞买公告》其他未尽事宜，请向管理人咨询；拍卖标的物详情请咨询管理人。</w:t>
      </w:r>
    </w:p>
    <w:p w14:paraId="00825EF3">
      <w:pPr>
        <w:spacing w:line="360" w:lineRule="auto"/>
        <w:ind w:firstLine="480" w:firstLineChars="200"/>
        <w:rPr>
          <w:rFonts w:hint="eastAsia" w:ascii="宋体" w:hAnsi="宋体"/>
          <w:bCs/>
          <w:sz w:val="24"/>
          <w:szCs w:val="24"/>
        </w:rPr>
      </w:pPr>
      <w:r>
        <w:rPr>
          <w:rFonts w:hint="eastAsia" w:ascii="宋体" w:hAnsi="宋体"/>
          <w:b/>
          <w:sz w:val="24"/>
          <w:szCs w:val="24"/>
        </w:rPr>
        <w:t>十三、</w:t>
      </w:r>
      <w:r>
        <w:rPr>
          <w:rFonts w:hint="eastAsia" w:ascii="宋体" w:hAnsi="宋体"/>
          <w:bCs/>
          <w:sz w:val="24"/>
          <w:szCs w:val="24"/>
        </w:rPr>
        <w:t>破产案件监督单位：北京市第一中级人民法院;</w:t>
      </w:r>
    </w:p>
    <w:p w14:paraId="038CE8C3">
      <w:pPr>
        <w:spacing w:line="360" w:lineRule="auto"/>
        <w:ind w:firstLine="480" w:firstLineChars="200"/>
        <w:rPr>
          <w:rFonts w:hint="eastAsia" w:ascii="宋体" w:hAnsi="宋体"/>
          <w:sz w:val="24"/>
          <w:szCs w:val="24"/>
        </w:rPr>
      </w:pPr>
      <w:r>
        <w:rPr>
          <w:rFonts w:hint="eastAsia" w:ascii="宋体" w:hAnsi="宋体"/>
          <w:sz w:val="24"/>
          <w:szCs w:val="24"/>
        </w:rPr>
        <w:t>咨询电话：管理人：金律师13811200956；</w:t>
      </w:r>
    </w:p>
    <w:p w14:paraId="402EC777">
      <w:pPr>
        <w:spacing w:line="360" w:lineRule="auto"/>
        <w:ind w:firstLine="480" w:firstLineChars="200"/>
        <w:rPr>
          <w:rFonts w:hint="eastAsia" w:ascii="宋体" w:hAnsi="宋体"/>
          <w:sz w:val="24"/>
          <w:szCs w:val="24"/>
        </w:rPr>
      </w:pPr>
      <w:bookmarkStart w:id="0" w:name="OLE_LINK1"/>
      <w:r>
        <w:rPr>
          <w:rFonts w:hint="eastAsia" w:ascii="宋体" w:hAnsi="宋体"/>
          <w:sz w:val="24"/>
          <w:szCs w:val="24"/>
        </w:rPr>
        <w:t>辅助拍卖机构：刘先生:16601111018，崔女士:18330353912；</w:t>
      </w:r>
      <w:bookmarkEnd w:id="0"/>
      <w:r>
        <w:rPr>
          <w:rFonts w:ascii="宋体" w:hAnsi="宋体"/>
          <w:sz w:val="24"/>
          <w:szCs w:val="24"/>
        </w:rPr>
        <w:t xml:space="preserve"> </w:t>
      </w:r>
    </w:p>
    <w:p w14:paraId="27A44C7F">
      <w:pPr>
        <w:spacing w:line="360" w:lineRule="auto"/>
        <w:ind w:firstLine="480" w:firstLineChars="200"/>
        <w:rPr>
          <w:rFonts w:hint="eastAsia" w:ascii="宋体" w:hAnsi="宋体"/>
          <w:sz w:val="24"/>
          <w:szCs w:val="24"/>
        </w:rPr>
      </w:pPr>
      <w:r>
        <w:rPr>
          <w:rFonts w:hint="eastAsia" w:ascii="宋体" w:hAnsi="宋体"/>
          <w:sz w:val="24"/>
          <w:szCs w:val="24"/>
        </w:rPr>
        <w:t>淘宝技术咨询：400-822-2870；</w:t>
      </w:r>
    </w:p>
    <w:p w14:paraId="2956869D">
      <w:pPr>
        <w:spacing w:line="360" w:lineRule="auto"/>
        <w:ind w:firstLine="480" w:firstLineChars="200"/>
        <w:rPr>
          <w:rFonts w:hint="eastAsia" w:ascii="宋体" w:hAnsi="宋体"/>
          <w:sz w:val="24"/>
          <w:szCs w:val="24"/>
        </w:rPr>
      </w:pPr>
      <w:r>
        <w:rPr>
          <w:rFonts w:hint="eastAsia" w:ascii="宋体" w:hAnsi="宋体"/>
          <w:sz w:val="24"/>
          <w:szCs w:val="24"/>
        </w:rPr>
        <w:t>法院监督电话：010-68639038。</w:t>
      </w:r>
    </w:p>
    <w:p w14:paraId="58B8019F">
      <w:pPr>
        <w:spacing w:line="360" w:lineRule="auto"/>
        <w:ind w:firstLine="480" w:firstLineChars="200"/>
        <w:rPr>
          <w:rFonts w:hint="eastAsia" w:ascii="宋体" w:hAnsi="宋体"/>
          <w:b/>
          <w:color w:val="FF0000"/>
          <w:sz w:val="24"/>
          <w:szCs w:val="24"/>
        </w:rPr>
      </w:pPr>
      <w:r>
        <w:rPr>
          <w:rFonts w:hint="eastAsia" w:ascii="宋体" w:hAnsi="宋体"/>
          <w:b/>
          <w:color w:val="FF0000"/>
          <w:sz w:val="24"/>
          <w:szCs w:val="24"/>
        </w:rPr>
        <w:t>本次拍卖活动最终解释权归北京华年喜年国际投资有限公司管理人所有。</w:t>
      </w:r>
    </w:p>
    <w:p w14:paraId="7C62359A">
      <w:pPr>
        <w:spacing w:line="360" w:lineRule="auto"/>
        <w:ind w:firstLine="480" w:firstLineChars="200"/>
        <w:rPr>
          <w:rFonts w:hint="eastAsia" w:ascii="宋体" w:hAnsi="宋体"/>
          <w:sz w:val="24"/>
          <w:szCs w:val="24"/>
        </w:rPr>
      </w:pPr>
      <w:r>
        <w:rPr>
          <w:rFonts w:ascii="宋体" w:hAnsi="宋体"/>
          <w:sz w:val="24"/>
          <w:szCs w:val="24"/>
        </w:rPr>
        <w:t xml:space="preserve">                                                                          </w:t>
      </w:r>
    </w:p>
    <w:p w14:paraId="4EB662F1">
      <w:pPr>
        <w:spacing w:line="360" w:lineRule="auto"/>
        <w:ind w:firstLine="480" w:firstLineChars="200"/>
        <w:jc w:val="right"/>
        <w:rPr>
          <w:rFonts w:hint="eastAsia" w:ascii="宋体" w:hAnsi="宋体"/>
          <w:sz w:val="24"/>
          <w:szCs w:val="24"/>
        </w:rPr>
      </w:pPr>
      <w:r>
        <w:rPr>
          <w:rFonts w:hint="eastAsia" w:ascii="宋体" w:hAnsi="宋体"/>
          <w:sz w:val="24"/>
          <w:szCs w:val="24"/>
        </w:rPr>
        <w:t>北京华年喜年国际投资有限公司管理人</w:t>
      </w:r>
    </w:p>
    <w:p w14:paraId="11A179F7">
      <w:pPr>
        <w:spacing w:line="360" w:lineRule="auto"/>
        <w:ind w:firstLine="480" w:firstLineChars="200"/>
        <w:jc w:val="right"/>
        <w:rPr>
          <w:rFonts w:hint="eastAsia" w:ascii="宋体" w:hAnsi="宋体"/>
          <w:sz w:val="24"/>
          <w:szCs w:val="24"/>
        </w:rPr>
      </w:pPr>
    </w:p>
    <w:p w14:paraId="0621692D">
      <w:pPr>
        <w:spacing w:line="360" w:lineRule="auto"/>
        <w:ind w:firstLine="480" w:firstLineChars="200"/>
        <w:jc w:val="right"/>
        <w:rPr>
          <w:rFonts w:hint="eastAsia" w:ascii="宋体" w:hAnsi="宋体"/>
          <w:sz w:val="24"/>
          <w:szCs w:val="24"/>
        </w:rPr>
      </w:pPr>
      <w:r>
        <w:rPr>
          <w:rFonts w:hint="eastAsia" w:ascii="宋体" w:hAnsi="宋体"/>
          <w:sz w:val="24"/>
          <w:szCs w:val="24"/>
        </w:rPr>
        <w:t>二〇二五年五月二十六日</w:t>
      </w:r>
    </w:p>
    <w:p w14:paraId="6C11A0E9">
      <w:pPr>
        <w:spacing w:line="360" w:lineRule="auto"/>
        <w:rPr>
          <w:rFonts w:hint="eastAsia" w:ascii="宋体" w:hAnsi="宋体"/>
          <w:b/>
          <w:sz w:val="44"/>
          <w:szCs w:val="44"/>
        </w:rPr>
      </w:pPr>
    </w:p>
    <w:p w14:paraId="5DC756D9">
      <w:pPr>
        <w:widowControl/>
        <w:jc w:val="left"/>
        <w:rPr>
          <w:rFonts w:hint="eastAsia" w:ascii="宋体" w:hAnsi="宋体"/>
          <w:b/>
          <w:sz w:val="44"/>
          <w:szCs w:val="44"/>
        </w:rPr>
      </w:pPr>
      <w:r>
        <w:rPr>
          <w:rFonts w:hint="eastAsia" w:ascii="宋体" w:hAnsi="宋体"/>
          <w:b/>
          <w:sz w:val="44"/>
          <w:szCs w:val="44"/>
        </w:rPr>
        <w:br w:type="page"/>
      </w:r>
    </w:p>
    <w:p w14:paraId="41774CC5">
      <w:pPr>
        <w:spacing w:line="360" w:lineRule="auto"/>
        <w:jc w:val="center"/>
        <w:rPr>
          <w:rFonts w:hint="eastAsia" w:ascii="宋体" w:hAnsi="宋体"/>
          <w:b/>
          <w:sz w:val="44"/>
          <w:szCs w:val="44"/>
        </w:rPr>
      </w:pPr>
      <w:r>
        <w:rPr>
          <w:rFonts w:hint="eastAsia" w:ascii="宋体" w:hAnsi="宋体"/>
          <w:b/>
          <w:sz w:val="44"/>
          <w:szCs w:val="44"/>
        </w:rPr>
        <w:t>竞 买 须 知</w:t>
      </w:r>
    </w:p>
    <w:p w14:paraId="7B966D50">
      <w:pPr>
        <w:spacing w:line="360" w:lineRule="auto"/>
        <w:ind w:firstLine="480" w:firstLineChars="200"/>
        <w:rPr>
          <w:rFonts w:hint="eastAsia" w:ascii="宋体" w:hAnsi="宋体"/>
          <w:sz w:val="24"/>
          <w:szCs w:val="24"/>
        </w:rPr>
      </w:pPr>
      <w:r>
        <w:rPr>
          <w:rFonts w:ascii="宋体" w:hAnsi="宋体"/>
          <w:sz w:val="24"/>
          <w:szCs w:val="24"/>
        </w:rPr>
        <w:t xml:space="preserve"> </w:t>
      </w:r>
    </w:p>
    <w:p w14:paraId="34B97EE6">
      <w:pPr>
        <w:spacing w:line="360" w:lineRule="auto"/>
        <w:ind w:firstLine="480" w:firstLineChars="200"/>
        <w:rPr>
          <w:rFonts w:hint="eastAsia" w:ascii="宋体" w:hAnsi="宋体"/>
          <w:sz w:val="24"/>
          <w:szCs w:val="24"/>
        </w:rPr>
      </w:pPr>
      <w:r>
        <w:rPr>
          <w:rFonts w:hint="eastAsia" w:ascii="宋体" w:hAnsi="宋体"/>
          <w:sz w:val="24"/>
          <w:szCs w:val="24"/>
        </w:rPr>
        <w:t>北京华年喜年国际投资有限公司管理人将于2025年6月11日10时至2025年6月12日10时止（延时除外）在阿里资产·破产网络拍卖平台进行公开拍卖活动，（网址：</w:t>
      </w:r>
      <w:r>
        <w:rPr>
          <w:rFonts w:ascii="宋体" w:hAnsi="宋体"/>
          <w:sz w:val="24"/>
          <w:szCs w:val="24"/>
        </w:rPr>
        <w:t xml:space="preserve"> https://susong.taobao.com/</w:t>
      </w:r>
      <w:r>
        <w:rPr>
          <w:rFonts w:hint="eastAsia" w:ascii="宋体" w:hAnsi="宋体"/>
          <w:sz w:val="24"/>
          <w:szCs w:val="24"/>
        </w:rPr>
        <w:t>）现就网上拍卖有关事宜敬告各位竞买人：</w:t>
      </w:r>
    </w:p>
    <w:p w14:paraId="21C79E61">
      <w:pPr>
        <w:spacing w:line="360" w:lineRule="auto"/>
        <w:ind w:firstLine="480" w:firstLineChars="200"/>
        <w:rPr>
          <w:rFonts w:hint="eastAsia" w:ascii="宋体" w:hAnsi="宋体"/>
          <w:sz w:val="24"/>
          <w:szCs w:val="24"/>
        </w:rPr>
      </w:pPr>
      <w:r>
        <w:rPr>
          <w:rFonts w:hint="eastAsia" w:ascii="宋体" w:hAnsi="宋体"/>
          <w:b/>
          <w:sz w:val="24"/>
          <w:szCs w:val="24"/>
        </w:rPr>
        <w:t>一、</w:t>
      </w:r>
      <w:r>
        <w:rPr>
          <w:rFonts w:hint="eastAsia" w:ascii="宋体" w:hAnsi="宋体"/>
          <w:sz w:val="24"/>
          <w:szCs w:val="24"/>
        </w:rPr>
        <w:t>本《竞买须知》根据《中华人民共和国民事诉讼法》、《中华人民共和国企业破产法》、《最高人民法院关于人民法院网络司法拍卖若干问题的规定》【法释（2016）18号】等相关法律规定所制订，竞买人应认真仔细阅读，了解本须知的全部内容。</w:t>
      </w:r>
    </w:p>
    <w:p w14:paraId="7C3DF58C">
      <w:pPr>
        <w:spacing w:line="360" w:lineRule="auto"/>
        <w:ind w:firstLine="480" w:firstLineChars="200"/>
        <w:rPr>
          <w:rFonts w:hint="eastAsia" w:ascii="宋体" w:hAnsi="宋体"/>
          <w:sz w:val="24"/>
          <w:szCs w:val="24"/>
        </w:rPr>
      </w:pPr>
      <w:r>
        <w:rPr>
          <w:rFonts w:hint="eastAsia" w:ascii="宋体" w:hAnsi="宋体"/>
          <w:b/>
          <w:sz w:val="24"/>
          <w:szCs w:val="24"/>
        </w:rPr>
        <w:t>二、</w:t>
      </w:r>
      <w:r>
        <w:rPr>
          <w:rFonts w:hint="eastAsia" w:ascii="宋体" w:hAnsi="宋体"/>
          <w:sz w:val="24"/>
          <w:szCs w:val="24"/>
        </w:rPr>
        <w:t>本次拍卖活动遵循“公开、公平、公正、诚实守信”的原则，拍卖活动具备法律效力。参加本次拍卖活动的当事人和竞买人必须遵守本须知的各项条款，并对自己的行为承担法律责任。</w:t>
      </w:r>
    </w:p>
    <w:p w14:paraId="7CBA3336">
      <w:pPr>
        <w:spacing w:line="360" w:lineRule="auto"/>
        <w:ind w:firstLine="480" w:firstLineChars="200"/>
        <w:rPr>
          <w:rFonts w:hint="eastAsia" w:ascii="宋体" w:hAnsi="宋体"/>
          <w:b/>
          <w:sz w:val="24"/>
          <w:szCs w:val="24"/>
        </w:rPr>
      </w:pPr>
      <w:r>
        <w:rPr>
          <w:rFonts w:hint="eastAsia" w:ascii="宋体" w:hAnsi="宋体"/>
          <w:b/>
          <w:sz w:val="24"/>
          <w:szCs w:val="24"/>
        </w:rPr>
        <w:t>三、竞买人条件</w:t>
      </w:r>
    </w:p>
    <w:p w14:paraId="04736B50">
      <w:pPr>
        <w:spacing w:line="360" w:lineRule="auto"/>
        <w:ind w:firstLine="480" w:firstLineChars="200"/>
        <w:rPr>
          <w:rFonts w:hint="eastAsia" w:ascii="宋体" w:hAnsi="宋体"/>
          <w:sz w:val="24"/>
          <w:szCs w:val="24"/>
        </w:rPr>
      </w:pPr>
      <w:r>
        <w:rPr>
          <w:rFonts w:hint="eastAsia" w:ascii="宋体" w:hAnsi="宋体"/>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4DC07052">
      <w:pPr>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color w:val="000000"/>
          <w:sz w:val="24"/>
          <w:szCs w:val="24"/>
        </w:rPr>
        <w:t>竞买人（</w:t>
      </w:r>
      <w:r>
        <w:rPr>
          <w:rFonts w:hint="eastAsia" w:ascii="宋体" w:hAnsi="宋体"/>
          <w:sz w:val="24"/>
          <w:szCs w:val="24"/>
        </w:rPr>
        <w:t>公民、法人和其他组织</w:t>
      </w:r>
      <w:r>
        <w:rPr>
          <w:rFonts w:hint="eastAsia" w:ascii="宋体" w:hAnsi="宋体"/>
          <w:color w:val="000000"/>
          <w:sz w:val="24"/>
          <w:szCs w:val="24"/>
        </w:rPr>
        <w:t>）可委托他人（</w:t>
      </w:r>
      <w:r>
        <w:rPr>
          <w:rFonts w:hint="eastAsia" w:ascii="宋体" w:hAnsi="宋体"/>
          <w:sz w:val="24"/>
          <w:szCs w:val="24"/>
        </w:rPr>
        <w:t>公民、法人和其他组织</w:t>
      </w:r>
      <w:r>
        <w:rPr>
          <w:rFonts w:hint="eastAsia" w:ascii="宋体" w:hAnsi="宋体"/>
          <w:color w:val="000000"/>
          <w:sz w:val="24"/>
          <w:szCs w:val="24"/>
        </w:rPr>
        <w:t>）参与拍卖。</w:t>
      </w:r>
      <w:r>
        <w:rPr>
          <w:rFonts w:hint="eastAsia" w:ascii="宋体" w:hAnsi="宋体"/>
          <w:sz w:val="24"/>
          <w:szCs w:val="24"/>
        </w:rPr>
        <w:t>但须在拍卖开始日的</w:t>
      </w:r>
      <w:r>
        <w:rPr>
          <w:rFonts w:hint="eastAsia" w:ascii="宋体" w:hAnsi="宋体"/>
          <w:color w:val="000000"/>
          <w:sz w:val="24"/>
          <w:szCs w:val="24"/>
        </w:rPr>
        <w:t>两日</w:t>
      </w:r>
      <w:r>
        <w:rPr>
          <w:rFonts w:hint="eastAsia" w:ascii="宋体" w:hAnsi="宋体"/>
          <w:sz w:val="24"/>
          <w:szCs w:val="24"/>
        </w:rPr>
        <w:t>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779A5D9A">
      <w:pPr>
        <w:spacing w:line="360" w:lineRule="auto"/>
        <w:ind w:firstLine="480" w:firstLineChars="200"/>
        <w:rPr>
          <w:rFonts w:hint="eastAsia" w:ascii="宋体" w:hAnsi="宋体"/>
          <w:sz w:val="24"/>
          <w:szCs w:val="24"/>
        </w:rPr>
      </w:pPr>
      <w:r>
        <w:rPr>
          <w:rFonts w:hint="eastAsia" w:ascii="宋体" w:hAnsi="宋体"/>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08051E83">
      <w:pPr>
        <w:spacing w:line="360" w:lineRule="auto"/>
        <w:ind w:firstLine="480" w:firstLineChars="200"/>
        <w:rPr>
          <w:rFonts w:hint="eastAsia" w:ascii="宋体" w:hAnsi="宋体"/>
          <w:sz w:val="24"/>
          <w:szCs w:val="24"/>
        </w:rPr>
      </w:pPr>
      <w:r>
        <w:rPr>
          <w:rFonts w:hint="eastAsia" w:ascii="宋体" w:hAnsi="宋体"/>
          <w:sz w:val="24"/>
          <w:szCs w:val="24"/>
        </w:rPr>
        <w:t>4、因不符合条件参加竞买的，由竞买人/买受人自行承担相应的法律责任。</w:t>
      </w:r>
    </w:p>
    <w:p w14:paraId="7FE5F2DF">
      <w:pPr>
        <w:spacing w:line="360" w:lineRule="auto"/>
        <w:ind w:firstLine="480" w:firstLineChars="200"/>
        <w:rPr>
          <w:rFonts w:hint="eastAsia" w:ascii="宋体" w:hAnsi="宋体"/>
          <w:b/>
          <w:sz w:val="24"/>
          <w:szCs w:val="24"/>
        </w:rPr>
      </w:pPr>
      <w:r>
        <w:rPr>
          <w:rFonts w:hint="eastAsia" w:ascii="宋体" w:hAnsi="宋体"/>
          <w:b/>
          <w:sz w:val="24"/>
          <w:szCs w:val="24"/>
        </w:rPr>
        <w:t>四、优先购买权人</w:t>
      </w:r>
    </w:p>
    <w:p w14:paraId="59E17EE1">
      <w:pPr>
        <w:spacing w:line="360" w:lineRule="auto"/>
        <w:ind w:firstLine="480" w:firstLineChars="200"/>
        <w:rPr>
          <w:rFonts w:hint="eastAsia" w:ascii="宋体" w:hAnsi="宋体"/>
          <w:sz w:val="24"/>
          <w:szCs w:val="24"/>
        </w:rPr>
      </w:pPr>
      <w:r>
        <w:rPr>
          <w:rFonts w:hint="eastAsia" w:ascii="宋体" w:hAnsi="宋体"/>
          <w:sz w:val="24"/>
          <w:szCs w:val="24"/>
        </w:rPr>
        <w:t>1、本标的物优先购买权人：北京远东新地置业有限公司</w:t>
      </w:r>
    </w:p>
    <w:p w14:paraId="7F8547F8">
      <w:pPr>
        <w:spacing w:line="360" w:lineRule="auto"/>
        <w:ind w:firstLine="480" w:firstLineChars="200"/>
        <w:rPr>
          <w:rFonts w:hint="eastAsia" w:ascii="宋体" w:hAnsi="宋体"/>
          <w:sz w:val="24"/>
          <w:szCs w:val="24"/>
        </w:rPr>
      </w:pPr>
      <w:r>
        <w:rPr>
          <w:rFonts w:hint="eastAsia" w:ascii="宋体" w:hAnsi="宋体"/>
          <w:sz w:val="24"/>
          <w:szCs w:val="24"/>
        </w:rPr>
        <w:t>优先购买权人应于本公告发布之日起3日内向管理人联系，提供相关证明材料，办理相关手续。逾期未提供材料或办理手续者，视为自动放弃优先购买权。</w:t>
      </w:r>
    </w:p>
    <w:p w14:paraId="4EDC3851">
      <w:pPr>
        <w:spacing w:line="360" w:lineRule="auto"/>
        <w:ind w:firstLine="480" w:firstLineChars="200"/>
        <w:rPr>
          <w:rFonts w:hint="eastAsia" w:ascii="宋体" w:hAnsi="宋体"/>
          <w:sz w:val="24"/>
          <w:szCs w:val="24"/>
        </w:rPr>
      </w:pPr>
      <w:r>
        <w:rPr>
          <w:rFonts w:hint="eastAsia" w:ascii="宋体" w:hAnsi="宋体"/>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41D85604">
      <w:pPr>
        <w:spacing w:line="360" w:lineRule="auto"/>
        <w:ind w:firstLine="480" w:firstLineChars="200"/>
        <w:rPr>
          <w:rFonts w:hint="eastAsia" w:ascii="宋体" w:hAnsi="宋体"/>
          <w:sz w:val="24"/>
          <w:szCs w:val="24"/>
        </w:rPr>
      </w:pPr>
      <w:r>
        <w:rPr>
          <w:rFonts w:hint="eastAsia" w:ascii="宋体" w:hAnsi="宋体"/>
          <w:sz w:val="24"/>
          <w:szCs w:val="24"/>
        </w:rPr>
        <w:t>3、优先购买权人参与竞买的，与其他竞买人以相同的价格出价，没有更高出价的，标的物由优先购买权人竞得。</w:t>
      </w:r>
    </w:p>
    <w:p w14:paraId="7E21561C">
      <w:pPr>
        <w:spacing w:line="360" w:lineRule="auto"/>
        <w:ind w:firstLine="480" w:firstLineChars="200"/>
        <w:rPr>
          <w:rFonts w:hint="eastAsia" w:ascii="宋体" w:hAnsi="宋体"/>
          <w:sz w:val="24"/>
          <w:szCs w:val="24"/>
        </w:rPr>
      </w:pPr>
      <w:r>
        <w:rPr>
          <w:rFonts w:hint="eastAsia" w:ascii="宋体" w:hAnsi="宋体"/>
          <w:sz w:val="24"/>
          <w:szCs w:val="24"/>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4B5DC994">
      <w:pPr>
        <w:spacing w:line="360" w:lineRule="auto"/>
        <w:ind w:firstLine="480" w:firstLineChars="200"/>
        <w:rPr>
          <w:rFonts w:hint="eastAsia" w:ascii="宋体" w:hAnsi="宋体"/>
          <w:sz w:val="24"/>
          <w:szCs w:val="24"/>
        </w:rPr>
      </w:pPr>
      <w:r>
        <w:rPr>
          <w:rFonts w:hint="eastAsia" w:ascii="宋体" w:hAnsi="宋体"/>
          <w:b/>
          <w:sz w:val="24"/>
          <w:szCs w:val="24"/>
        </w:rPr>
        <w:t>五、</w:t>
      </w:r>
      <w:r>
        <w:rPr>
          <w:rFonts w:hint="eastAsia" w:ascii="宋体" w:hAnsi="宋体"/>
          <w:sz w:val="24"/>
          <w:szCs w:val="24"/>
        </w:rPr>
        <w:t>与本标的物有利害关系的当事人可参加竞拍，不参加竞拍的请关注本次拍卖活动的整个过程。</w:t>
      </w:r>
    </w:p>
    <w:p w14:paraId="0A49287B">
      <w:pPr>
        <w:spacing w:line="360" w:lineRule="auto"/>
        <w:ind w:firstLine="480" w:firstLineChars="200"/>
        <w:rPr>
          <w:rFonts w:hint="eastAsia" w:ascii="宋体" w:hAnsi="宋体"/>
          <w:sz w:val="24"/>
          <w:szCs w:val="24"/>
        </w:rPr>
      </w:pPr>
      <w:r>
        <w:rPr>
          <w:rFonts w:hint="eastAsia" w:ascii="宋体" w:hAnsi="宋体"/>
          <w:b/>
          <w:sz w:val="24"/>
          <w:szCs w:val="24"/>
        </w:rPr>
        <w:t>六、</w:t>
      </w:r>
      <w:r>
        <w:rPr>
          <w:rFonts w:hint="eastAsia" w:ascii="宋体" w:hAnsi="宋体"/>
          <w:sz w:val="24"/>
          <w:szCs w:val="24"/>
        </w:rPr>
        <w:t>本次拍卖活动设置延时出价功能，在拍卖活动结束前，每最后5分钟如果有竞买人出价，就自动延迟5分钟。</w:t>
      </w:r>
    </w:p>
    <w:p w14:paraId="79B6EBAB">
      <w:pPr>
        <w:spacing w:line="360" w:lineRule="auto"/>
        <w:ind w:firstLine="480" w:firstLineChars="200"/>
        <w:rPr>
          <w:rFonts w:hint="eastAsia" w:ascii="宋体" w:hAnsi="宋体"/>
          <w:sz w:val="24"/>
          <w:szCs w:val="24"/>
        </w:rPr>
      </w:pPr>
      <w:r>
        <w:rPr>
          <w:rFonts w:hint="eastAsia" w:ascii="宋体" w:hAnsi="宋体"/>
          <w:b/>
          <w:sz w:val="24"/>
          <w:szCs w:val="24"/>
        </w:rPr>
        <w:t>七、</w:t>
      </w:r>
      <w:r>
        <w:rPr>
          <w:rFonts w:hint="eastAsia" w:ascii="宋体" w:hAnsi="宋体"/>
          <w:sz w:val="24"/>
          <w:szCs w:val="24"/>
        </w:rPr>
        <w:t>竞拍前竞买人应通过支付宝账户缴纳足额的拍卖保证金。竞买人在对拍卖标的物第一次确认出价竞拍前，按破产强清平台系统提示报名缴纳保证金，系统会自动锁定该笔款项。拍卖成交的，买受人锁定的保证金将在买受人支付软件服务费后24小时以内自动转入本管理人指定账户，其他竞买人的保证金在拍卖结束以后24小时以内自动解锁。保证金锁定期间不计利息。</w:t>
      </w:r>
    </w:p>
    <w:p w14:paraId="08745EED">
      <w:pPr>
        <w:spacing w:line="360" w:lineRule="auto"/>
        <w:ind w:firstLine="480" w:firstLineChars="200"/>
        <w:rPr>
          <w:rFonts w:hint="eastAsia" w:ascii="宋体" w:hAnsi="宋体"/>
          <w:sz w:val="24"/>
          <w:szCs w:val="24"/>
        </w:rPr>
      </w:pPr>
      <w:r>
        <w:rPr>
          <w:rFonts w:hint="eastAsia" w:ascii="宋体" w:hAnsi="宋体"/>
          <w:sz w:val="24"/>
          <w:szCs w:val="24"/>
        </w:rPr>
        <w:t>保证金支付帮助：</w:t>
      </w:r>
      <w:r>
        <w:fldChar w:fldCharType="begin"/>
      </w:r>
      <w:r>
        <w:instrText xml:space="preserve"> HYPERLINK "https://www.taobao.com/market/paimai/sf-helpcenter.php?path=sf-hc-right-content5" \l "q1" </w:instrText>
      </w:r>
      <w:r>
        <w:fldChar w:fldCharType="separate"/>
      </w:r>
      <w:r>
        <w:rPr>
          <w:rStyle w:val="10"/>
          <w:rFonts w:hint="eastAsia" w:ascii="宋体" w:hAnsi="宋体"/>
          <w:sz w:val="24"/>
          <w:szCs w:val="24"/>
        </w:rPr>
        <w:t>https://www.taobao.com/market/paimai/sf-helpcenter.php?path=sf-hc-right-content5#q1</w:t>
      </w:r>
      <w:r>
        <w:rPr>
          <w:rStyle w:val="10"/>
          <w:rFonts w:hint="eastAsia" w:ascii="宋体" w:hAnsi="宋体"/>
          <w:sz w:val="24"/>
          <w:szCs w:val="24"/>
        </w:rPr>
        <w:fldChar w:fldCharType="end"/>
      </w:r>
      <w:r>
        <w:rPr>
          <w:rFonts w:hint="eastAsia" w:ascii="宋体" w:hAnsi="宋体"/>
          <w:sz w:val="24"/>
          <w:szCs w:val="24"/>
        </w:rPr>
        <w:t>。</w:t>
      </w:r>
    </w:p>
    <w:p w14:paraId="401DF0CF">
      <w:pPr>
        <w:spacing w:line="360" w:lineRule="auto"/>
        <w:ind w:firstLine="480" w:firstLineChars="200"/>
        <w:rPr>
          <w:rFonts w:hint="eastAsia" w:ascii="宋体" w:hAnsi="宋体"/>
          <w:sz w:val="24"/>
          <w:szCs w:val="24"/>
        </w:rPr>
      </w:pPr>
      <w:r>
        <w:rPr>
          <w:rFonts w:hint="eastAsia" w:ascii="宋体" w:hAnsi="宋体"/>
          <w:b/>
          <w:sz w:val="24"/>
          <w:szCs w:val="24"/>
        </w:rPr>
        <w:t>八、</w:t>
      </w:r>
      <w:bookmarkStart w:id="1" w:name="_Hlk90236605"/>
      <w:r>
        <w:rPr>
          <w:rFonts w:ascii="宋体" w:hAnsi="宋体"/>
          <w:sz w:val="24"/>
        </w:rPr>
        <w:t>本次拍卖是经法定公告期和展示期后才举行的，就拍卖标的物已知及可能存在的瑕疵已在本次拍</w:t>
      </w:r>
      <w:r>
        <w:rPr>
          <w:rFonts w:hint="eastAsia" w:ascii="宋体" w:hAnsi="宋体"/>
          <w:sz w:val="24"/>
        </w:rPr>
        <w:t>卖</w:t>
      </w:r>
      <w:r>
        <w:rPr>
          <w:rFonts w:ascii="宋体" w:hAnsi="宋体"/>
          <w:sz w:val="24"/>
        </w:rPr>
        <w:t>资料中作了详尽的说明。</w:t>
      </w:r>
      <w:r>
        <w:rPr>
          <w:rFonts w:hint="eastAsia" w:ascii="宋体" w:hAnsi="宋体"/>
          <w:sz w:val="24"/>
        </w:rPr>
        <w:t>管理人</w:t>
      </w:r>
      <w:r>
        <w:rPr>
          <w:rFonts w:ascii="宋体" w:hAnsi="宋体"/>
          <w:sz w:val="24"/>
        </w:rPr>
        <w:t>对拍卖标的物所作的说明和提供的图片等，仅供竞买人参考，不构成对标的物的任何担保。所以请竞买人在拍卖前必须仔细审查拍卖标的物，前往相关部门调查是否存在瑕疵，认真研究查看所竞买标的物的实际情况，</w:t>
      </w:r>
      <w:r>
        <w:rPr>
          <w:rFonts w:ascii="宋体" w:hAnsi="宋体"/>
          <w:b/>
          <w:sz w:val="24"/>
        </w:rPr>
        <w:t>竞买人一旦作出竞买决定，即表明已完全了解，并接受标的物的现状和一切已知及未知的瑕疵。</w:t>
      </w:r>
    </w:p>
    <w:p w14:paraId="0366F157">
      <w:pPr>
        <w:spacing w:line="360" w:lineRule="auto"/>
        <w:ind w:firstLine="480" w:firstLineChars="200"/>
        <w:rPr>
          <w:rFonts w:hint="eastAsia" w:ascii="宋体" w:hAnsi="宋体"/>
          <w:b/>
          <w:sz w:val="24"/>
          <w:szCs w:val="24"/>
        </w:rPr>
      </w:pPr>
      <w:r>
        <w:rPr>
          <w:rFonts w:hint="eastAsia" w:ascii="宋体" w:hAnsi="宋体"/>
          <w:b/>
          <w:sz w:val="24"/>
          <w:szCs w:val="24"/>
        </w:rPr>
        <w:t>九、签署成交文件</w:t>
      </w:r>
    </w:p>
    <w:p w14:paraId="4A417E61">
      <w:pPr>
        <w:spacing w:line="360" w:lineRule="auto"/>
        <w:ind w:firstLine="480" w:firstLineChars="200"/>
        <w:rPr>
          <w:rFonts w:hint="eastAsia" w:ascii="宋体" w:hAnsi="宋体"/>
          <w:sz w:val="24"/>
          <w:szCs w:val="24"/>
        </w:rPr>
      </w:pPr>
      <w:r>
        <w:rPr>
          <w:rFonts w:hint="eastAsia" w:ascii="宋体" w:hAnsi="宋体"/>
          <w:sz w:val="24"/>
          <w:szCs w:val="24"/>
        </w:rPr>
        <w:t>买受人须在拍卖成交之日起三日内（遇节假日顺延）凭缴纳拍卖保证金平台生成的竞买号及相关身份材料到管理人处签署拍卖成交确认文件。</w:t>
      </w:r>
    </w:p>
    <w:bookmarkEnd w:id="1"/>
    <w:p w14:paraId="1188053A">
      <w:pPr>
        <w:spacing w:line="360" w:lineRule="auto"/>
        <w:ind w:firstLine="480" w:firstLineChars="200"/>
        <w:rPr>
          <w:rFonts w:hint="eastAsia" w:ascii="宋体" w:hAnsi="宋体"/>
          <w:sz w:val="24"/>
          <w:szCs w:val="24"/>
        </w:rPr>
      </w:pPr>
      <w:r>
        <w:rPr>
          <w:rFonts w:hint="eastAsia" w:ascii="宋体" w:hAnsi="宋体"/>
          <w:b/>
          <w:sz w:val="24"/>
          <w:szCs w:val="24"/>
        </w:rPr>
        <w:t>十、</w:t>
      </w:r>
      <w:r>
        <w:rPr>
          <w:rFonts w:hint="eastAsia" w:ascii="宋体" w:hAnsi="宋体"/>
          <w:sz w:val="24"/>
          <w:szCs w:val="24"/>
        </w:rPr>
        <w:t>买受人应在拍卖成交（即竞价成功日）后</w:t>
      </w:r>
      <w:r>
        <w:rPr>
          <w:rFonts w:hint="eastAsia" w:ascii="宋体" w:hAnsi="宋体"/>
          <w:b/>
          <w:bCs/>
          <w:color w:val="FF0000"/>
          <w:sz w:val="24"/>
          <w:szCs w:val="24"/>
        </w:rPr>
        <w:t>三日</w:t>
      </w:r>
      <w:r>
        <w:rPr>
          <w:rFonts w:hint="eastAsia" w:ascii="宋体" w:hAnsi="宋体"/>
          <w:sz w:val="24"/>
          <w:szCs w:val="24"/>
        </w:rPr>
        <w:t>内将拍卖成交价余款（扣除保证金后的余款）缴纳至管理人指定账户:</w:t>
      </w:r>
    </w:p>
    <w:p w14:paraId="05BCE567">
      <w:pPr>
        <w:spacing w:line="360" w:lineRule="auto"/>
        <w:ind w:firstLine="480" w:firstLineChars="200"/>
        <w:rPr>
          <w:rFonts w:hint="eastAsia" w:ascii="宋体" w:hAnsi="宋体"/>
          <w:b/>
          <w:color w:val="FF0000"/>
          <w:sz w:val="24"/>
          <w:szCs w:val="24"/>
        </w:rPr>
      </w:pPr>
      <w:r>
        <w:rPr>
          <w:rFonts w:hint="eastAsia" w:ascii="宋体" w:hAnsi="宋体"/>
          <w:b/>
          <w:color w:val="FF0000"/>
          <w:sz w:val="24"/>
          <w:szCs w:val="24"/>
        </w:rPr>
        <w:t>户  名：北京华年喜年国际投资有限公司管理人；</w:t>
      </w:r>
    </w:p>
    <w:p w14:paraId="61990573">
      <w:pPr>
        <w:spacing w:line="360" w:lineRule="auto"/>
        <w:ind w:firstLine="480" w:firstLineChars="200"/>
        <w:rPr>
          <w:rFonts w:hint="eastAsia" w:ascii="宋体" w:hAnsi="宋体"/>
          <w:b/>
          <w:color w:val="FF0000"/>
          <w:sz w:val="24"/>
          <w:szCs w:val="24"/>
        </w:rPr>
      </w:pPr>
      <w:r>
        <w:rPr>
          <w:rFonts w:hint="eastAsia" w:ascii="宋体" w:hAnsi="宋体"/>
          <w:b/>
          <w:color w:val="FF0000"/>
          <w:sz w:val="24"/>
          <w:szCs w:val="24"/>
        </w:rPr>
        <w:t>开户行：中信银行北京三元桥支行；</w:t>
      </w:r>
    </w:p>
    <w:p w14:paraId="4B18EE6F">
      <w:pPr>
        <w:spacing w:line="360" w:lineRule="auto"/>
        <w:ind w:firstLine="480" w:firstLineChars="200"/>
        <w:rPr>
          <w:rFonts w:hint="eastAsia" w:ascii="宋体" w:hAnsi="宋体"/>
          <w:b/>
          <w:color w:val="FF0000"/>
          <w:sz w:val="24"/>
          <w:szCs w:val="24"/>
        </w:rPr>
      </w:pPr>
      <w:r>
        <w:rPr>
          <w:rFonts w:hint="eastAsia" w:ascii="宋体" w:hAnsi="宋体"/>
          <w:b/>
          <w:color w:val="FF0000"/>
          <w:sz w:val="24"/>
          <w:szCs w:val="24"/>
        </w:rPr>
        <w:t>账  户：</w:t>
      </w:r>
      <w:r>
        <w:rPr>
          <w:rFonts w:ascii="宋体" w:hAnsi="宋体"/>
          <w:b/>
          <w:color w:val="FF0000"/>
          <w:sz w:val="24"/>
          <w:szCs w:val="24"/>
        </w:rPr>
        <w:t>8110701014202553002</w:t>
      </w:r>
      <w:r>
        <w:rPr>
          <w:rFonts w:hint="eastAsia" w:ascii="宋体" w:hAnsi="宋体"/>
          <w:b/>
          <w:color w:val="FF0000"/>
          <w:sz w:val="24"/>
          <w:szCs w:val="24"/>
        </w:rPr>
        <w:t>；</w:t>
      </w:r>
    </w:p>
    <w:p w14:paraId="1DE2F742">
      <w:pPr>
        <w:spacing w:line="360" w:lineRule="auto"/>
        <w:ind w:firstLine="480" w:firstLineChars="200"/>
        <w:rPr>
          <w:rFonts w:hint="eastAsia" w:ascii="宋体" w:hAnsi="宋体"/>
          <w:sz w:val="24"/>
          <w:szCs w:val="24"/>
        </w:rPr>
      </w:pPr>
      <w:r>
        <w:rPr>
          <w:rFonts w:hint="eastAsia" w:ascii="宋体" w:hAnsi="宋体"/>
          <w:sz w:val="24"/>
          <w:szCs w:val="24"/>
        </w:rPr>
        <w:t>【特别注意：依照相关法律规定，竞买人成功竞得网拍标的物后，淘宝网拍平台将生成相应《网络竞价成功确认书》,该材料仅为竞价成功确认书，载明实际买受人姓名、网拍竞买号信息，非《拍卖成交确认书》。】</w:t>
      </w:r>
    </w:p>
    <w:p w14:paraId="2BD92397">
      <w:pPr>
        <w:spacing w:line="360" w:lineRule="auto"/>
        <w:ind w:firstLine="480" w:firstLineChars="200"/>
        <w:rPr>
          <w:rFonts w:hint="eastAsia" w:ascii="宋体" w:hAnsi="宋体"/>
          <w:sz w:val="24"/>
          <w:szCs w:val="24"/>
        </w:rPr>
      </w:pPr>
      <w:r>
        <w:rPr>
          <w:rFonts w:hint="eastAsia" w:ascii="宋体" w:hAnsi="宋体"/>
          <w:b/>
          <w:sz w:val="24"/>
          <w:szCs w:val="24"/>
        </w:rPr>
        <w:t>十一、</w:t>
      </w:r>
      <w:r>
        <w:rPr>
          <w:rFonts w:hint="eastAsia" w:ascii="宋体" w:hAnsi="宋体"/>
          <w:sz w:val="24"/>
          <w:szCs w:val="24"/>
        </w:rPr>
        <w:t>拍卖成交后买受人悔拍（包括但不限于买受人未在拍卖成交后三日内将拍卖成交全部余款缴入指定账户，以及买受人明示或暗示其悔拍等情形）的，管理人可重新委托拍卖，买受人交纳的保证金不予退还，计入债务人财产。保证金数额不足以弥补拍卖费用损失以及重新拍卖价款低于原拍卖价款的差价的，管理人可向悔拍人追索。重新拍卖时，原买受人不得参加竞买。</w:t>
      </w:r>
    </w:p>
    <w:p w14:paraId="1AF441BB">
      <w:pPr>
        <w:spacing w:line="360" w:lineRule="auto"/>
        <w:ind w:firstLine="480" w:firstLineChars="200"/>
        <w:rPr>
          <w:rFonts w:hint="eastAsia" w:ascii="宋体" w:hAnsi="宋体"/>
          <w:b/>
          <w:sz w:val="24"/>
          <w:szCs w:val="24"/>
        </w:rPr>
      </w:pPr>
      <w:r>
        <w:rPr>
          <w:rFonts w:hint="eastAsia" w:ascii="宋体" w:hAnsi="宋体"/>
          <w:b/>
          <w:color w:val="FF0000"/>
          <w:sz w:val="24"/>
          <w:szCs w:val="24"/>
        </w:rPr>
        <w:t>十二、拍品交付</w:t>
      </w:r>
    </w:p>
    <w:p w14:paraId="408A2232">
      <w:pPr>
        <w:spacing w:line="360" w:lineRule="auto"/>
        <w:ind w:firstLine="480" w:firstLineChars="200"/>
        <w:rPr>
          <w:rFonts w:hint="eastAsia" w:ascii="宋体" w:hAnsi="宋体"/>
          <w:b/>
          <w:bCs/>
          <w:sz w:val="24"/>
          <w:szCs w:val="24"/>
          <w:u w:val="single"/>
        </w:rPr>
      </w:pPr>
      <w:r>
        <w:rPr>
          <w:rFonts w:hint="eastAsia" w:ascii="宋体" w:hAnsi="宋体"/>
          <w:b/>
          <w:bCs/>
          <w:sz w:val="24"/>
          <w:szCs w:val="24"/>
          <w:u w:val="single"/>
        </w:rPr>
        <w:t>1、买受人在缴纳完全部拍卖款项，持有效身份证明及签署好的拍卖成交文件前往管理人处办理交割手续，由买受人自行前往相关部门办理股权转让手续，能否办理股权转让手续及办理股权转让手续的时间请竞买人在竞买前，自行到相关部门咨询确认，管理人和拍卖辅助机构不做股权转让的任何承诺。股权转让登记可能涉及的全部费用均由买受人自行负责，与管理人和拍卖辅助机构无关。</w:t>
      </w:r>
    </w:p>
    <w:p w14:paraId="5ED8CECF">
      <w:pPr>
        <w:spacing w:line="360" w:lineRule="auto"/>
        <w:ind w:firstLine="480" w:firstLineChars="200"/>
        <w:rPr>
          <w:rFonts w:hint="eastAsia" w:ascii="宋体" w:hAnsi="宋体"/>
          <w:b/>
          <w:bCs/>
          <w:sz w:val="24"/>
          <w:szCs w:val="24"/>
          <w:u w:val="single"/>
        </w:rPr>
      </w:pPr>
      <w:r>
        <w:rPr>
          <w:rFonts w:hint="eastAsia" w:ascii="宋体" w:hAnsi="宋体"/>
          <w:b/>
          <w:bCs/>
          <w:sz w:val="24"/>
          <w:szCs w:val="24"/>
          <w:u w:val="single"/>
        </w:rPr>
        <w:t>2、如标的物存在冻结、质押等权利限制、政策原因或存在隐性瑕疵导致股权变更手续办理延长或者受阻等情况的，管理人和拍卖辅助机构不保证买受人可避免上述情况，亦不就上述情况的发生承担任何法律责任。</w:t>
      </w:r>
    </w:p>
    <w:p w14:paraId="28F4E412">
      <w:pPr>
        <w:spacing w:line="360" w:lineRule="auto"/>
        <w:ind w:firstLine="480" w:firstLineChars="200"/>
        <w:rPr>
          <w:rFonts w:hint="eastAsia" w:ascii="宋体" w:hAnsi="宋体"/>
          <w:b/>
          <w:color w:val="FF0000"/>
          <w:sz w:val="24"/>
          <w:szCs w:val="24"/>
        </w:rPr>
      </w:pPr>
      <w:r>
        <w:rPr>
          <w:rFonts w:hint="eastAsia" w:ascii="宋体" w:hAnsi="宋体"/>
          <w:b/>
          <w:sz w:val="24"/>
          <w:szCs w:val="24"/>
        </w:rPr>
        <w:t>十三、</w:t>
      </w:r>
      <w:r>
        <w:rPr>
          <w:rFonts w:hint="eastAsia" w:ascii="宋体" w:hAnsi="宋体"/>
          <w:b/>
          <w:color w:val="FF0000"/>
          <w:sz w:val="24"/>
          <w:szCs w:val="24"/>
        </w:rPr>
        <w:t>本次拍卖活动计价货币为人民币。本次拍卖成交价不含税费及其他费用。标的物转让登记手续由买受人办理，管理人将给予必要的协助。标的物转让登记买卖双方所涉及的相关税、费等由买受人承担。如未明确缴费义务人的费用由买受人承担。买受人在竞买前应向所涉税务部门确认成交后应缴纳的税费标准。</w:t>
      </w:r>
      <w:r>
        <w:rPr>
          <w:rFonts w:ascii="宋体" w:hAnsi="宋体"/>
          <w:b/>
          <w:color w:val="FF0000"/>
          <w:sz w:val="24"/>
          <w:szCs w:val="24"/>
        </w:rPr>
        <w:t>鉴于</w:t>
      </w:r>
      <w:r>
        <w:rPr>
          <w:rFonts w:hint="eastAsia" w:ascii="宋体" w:hAnsi="宋体"/>
          <w:b/>
          <w:color w:val="FF0000"/>
          <w:sz w:val="24"/>
          <w:szCs w:val="24"/>
        </w:rPr>
        <w:t>本次拍卖活动为破产资产处置，成交后</w:t>
      </w:r>
      <w:r>
        <w:rPr>
          <w:rFonts w:ascii="宋体" w:hAnsi="宋体"/>
          <w:b/>
          <w:color w:val="FF0000"/>
          <w:sz w:val="24"/>
          <w:szCs w:val="24"/>
        </w:rPr>
        <w:t>可能因破产企业税务状态异常</w:t>
      </w:r>
      <w:r>
        <w:rPr>
          <w:rFonts w:hint="eastAsia" w:ascii="宋体" w:hAnsi="宋体"/>
          <w:b/>
          <w:color w:val="FF0000"/>
          <w:sz w:val="24"/>
          <w:szCs w:val="24"/>
        </w:rPr>
        <w:t>或者管理人</w:t>
      </w:r>
      <w:r>
        <w:rPr>
          <w:rFonts w:ascii="宋体" w:hAnsi="宋体"/>
          <w:b/>
          <w:bCs/>
          <w:color w:val="FF0000"/>
          <w:sz w:val="24"/>
          <w:szCs w:val="24"/>
        </w:rPr>
        <w:t>未接管</w:t>
      </w:r>
      <w:r>
        <w:rPr>
          <w:rFonts w:hint="eastAsia" w:ascii="宋体" w:hAnsi="宋体"/>
          <w:b/>
          <w:bCs/>
          <w:color w:val="FF0000"/>
          <w:sz w:val="24"/>
          <w:szCs w:val="24"/>
        </w:rPr>
        <w:t>到</w:t>
      </w:r>
      <w:r>
        <w:rPr>
          <w:rFonts w:ascii="宋体" w:hAnsi="宋体"/>
          <w:b/>
          <w:bCs/>
          <w:color w:val="FF0000"/>
          <w:sz w:val="24"/>
          <w:szCs w:val="24"/>
        </w:rPr>
        <w:t>必要资料</w:t>
      </w:r>
      <w:r>
        <w:rPr>
          <w:rFonts w:hint="eastAsia" w:ascii="宋体" w:hAnsi="宋体"/>
          <w:b/>
          <w:bCs/>
          <w:color w:val="FF0000"/>
          <w:sz w:val="24"/>
          <w:szCs w:val="24"/>
        </w:rPr>
        <w:t>等原因</w:t>
      </w:r>
      <w:r>
        <w:rPr>
          <w:rFonts w:hint="eastAsia" w:ascii="宋体" w:hAnsi="宋体"/>
          <w:b/>
          <w:color w:val="FF0000"/>
          <w:sz w:val="24"/>
          <w:szCs w:val="24"/>
        </w:rPr>
        <w:t>，导致</w:t>
      </w:r>
      <w:r>
        <w:rPr>
          <w:rFonts w:ascii="宋体" w:hAnsi="宋体"/>
          <w:b/>
          <w:color w:val="FF0000"/>
          <w:sz w:val="24"/>
          <w:szCs w:val="24"/>
        </w:rPr>
        <w:t>买受人无法取得发票</w:t>
      </w:r>
      <w:r>
        <w:rPr>
          <w:rFonts w:hint="eastAsia" w:ascii="宋体" w:hAnsi="宋体"/>
          <w:b/>
          <w:color w:val="FF0000"/>
          <w:sz w:val="24"/>
          <w:szCs w:val="24"/>
        </w:rPr>
        <w:t>的，相应的问题由买受人自行解决，风险由买受人自行承担。</w:t>
      </w:r>
    </w:p>
    <w:p w14:paraId="5E1EFACF">
      <w:pPr>
        <w:spacing w:line="360" w:lineRule="auto"/>
        <w:ind w:firstLine="480" w:firstLineChars="200"/>
        <w:rPr>
          <w:rFonts w:hint="eastAsia" w:ascii="宋体" w:hAnsi="宋体"/>
          <w:b/>
          <w:color w:val="FF0000"/>
          <w:sz w:val="24"/>
          <w:szCs w:val="24"/>
        </w:rPr>
      </w:pPr>
      <w:r>
        <w:rPr>
          <w:rFonts w:hint="eastAsia" w:ascii="宋体" w:hAnsi="宋体"/>
          <w:b/>
          <w:color w:val="FF0000"/>
          <w:sz w:val="24"/>
          <w:szCs w:val="24"/>
        </w:rPr>
        <w:t>特别提示：</w:t>
      </w:r>
    </w:p>
    <w:p w14:paraId="0DB58CFB">
      <w:pPr>
        <w:spacing w:line="360" w:lineRule="auto"/>
        <w:ind w:firstLine="480" w:firstLineChars="200"/>
        <w:rPr>
          <w:rFonts w:hint="eastAsia" w:ascii="宋体" w:hAnsi="宋体"/>
          <w:sz w:val="24"/>
          <w:szCs w:val="24"/>
        </w:rPr>
      </w:pPr>
      <w:r>
        <w:rPr>
          <w:rFonts w:hint="eastAsia" w:ascii="宋体" w:hAnsi="宋体"/>
          <w:sz w:val="24"/>
          <w:szCs w:val="24"/>
        </w:rPr>
        <w:t>1、综合服务费由拍卖辅助机构收取（按照成交价格的2%计算，封顶不超过200万元）买受人需在成交之后三日内将综合服务费汇款至北京嘉运亨通拍卖有限公司指定账户【户名：北京嘉运亨通拍卖有限公司；开户行：招商银行股份有限公司北京崇文门支行；账号：110945693810201；以到账时间为准】。</w:t>
      </w:r>
    </w:p>
    <w:p w14:paraId="251A92FD">
      <w:pPr>
        <w:spacing w:line="360" w:lineRule="auto"/>
        <w:ind w:firstLine="480" w:firstLineChars="200"/>
        <w:rPr>
          <w:rFonts w:hint="eastAsia" w:ascii="宋体" w:hAnsi="宋体"/>
          <w:sz w:val="24"/>
          <w:szCs w:val="24"/>
        </w:rPr>
      </w:pPr>
      <w:r>
        <w:rPr>
          <w:rFonts w:hint="eastAsia" w:ascii="宋体" w:hAnsi="宋体"/>
          <w:sz w:val="24"/>
          <w:szCs w:val="24"/>
        </w:rPr>
        <w:t>2、软件服务费由阿里拍卖平台收取，付费方式及软件服务费金额等请详见《阿里拍卖平台破产资产处置频道收费规则》。买受人须于成交后三日内通过线上完成相应费用的支付后，保证金将转为部分成交价款转至管理人的支付宝账户。</w:t>
      </w:r>
    </w:p>
    <w:p w14:paraId="55A2E4E2">
      <w:pPr>
        <w:spacing w:line="360" w:lineRule="auto"/>
        <w:ind w:firstLine="480" w:firstLineChars="200"/>
        <w:rPr>
          <w:rFonts w:hint="eastAsia" w:ascii="宋体" w:hAnsi="宋体"/>
          <w:sz w:val="24"/>
          <w:szCs w:val="24"/>
        </w:rPr>
      </w:pPr>
      <w:r>
        <w:rPr>
          <w:rFonts w:hint="eastAsia" w:ascii="宋体" w:hAnsi="宋体"/>
          <w:sz w:val="24"/>
          <w:szCs w:val="24"/>
        </w:rPr>
        <w:t>3、上述综合服务费和软件服务费，买受人逾期未全额缴纳的，阿里拍卖平台和拍卖辅助机构可对其进行依法追缴。买受人缴纳相关费用后如需索取发票的，买受人可与拍卖辅助机构联系开具或在阿里支付系统中查看已完成支付的软件服务费记录并点击申请开票。</w:t>
      </w:r>
    </w:p>
    <w:p w14:paraId="4572079D">
      <w:pPr>
        <w:spacing w:line="360" w:lineRule="auto"/>
        <w:ind w:firstLine="480" w:firstLineChars="200"/>
        <w:rPr>
          <w:rFonts w:hint="eastAsia" w:ascii="宋体" w:hAnsi="宋体"/>
          <w:sz w:val="24"/>
          <w:szCs w:val="24"/>
        </w:rPr>
      </w:pPr>
      <w:r>
        <w:rPr>
          <w:rFonts w:hint="eastAsia" w:ascii="宋体" w:hAnsi="宋体"/>
          <w:b/>
          <w:sz w:val="24"/>
          <w:szCs w:val="24"/>
        </w:rPr>
        <w:t>十四、</w:t>
      </w:r>
      <w:r>
        <w:rPr>
          <w:rFonts w:hint="eastAsia" w:ascii="宋体" w:hAnsi="宋体"/>
          <w:sz w:val="24"/>
          <w:szCs w:val="24"/>
        </w:rPr>
        <w:t>参加竞买的人应当遵守拍卖须知的规定，不得阻挠其他竞买人竞拍，不得操纵、垄断竞拍价格，严禁竞买人恶意串标，上述行为一经发现，将取消其竞买资格，并追究相关的法律责任。</w:t>
      </w:r>
    </w:p>
    <w:p w14:paraId="47B902F9">
      <w:pPr>
        <w:spacing w:line="360" w:lineRule="auto"/>
        <w:ind w:firstLine="480" w:firstLineChars="200"/>
        <w:rPr>
          <w:rFonts w:hint="eastAsia" w:ascii="宋体" w:hAnsi="宋体"/>
          <w:sz w:val="24"/>
          <w:szCs w:val="24"/>
        </w:rPr>
      </w:pPr>
      <w:r>
        <w:rPr>
          <w:rFonts w:hint="eastAsia" w:ascii="宋体" w:hAnsi="宋体"/>
          <w:b/>
          <w:sz w:val="24"/>
          <w:szCs w:val="24"/>
        </w:rPr>
        <w:t>十五、</w:t>
      </w:r>
      <w:r>
        <w:rPr>
          <w:rFonts w:hint="eastAsia" w:ascii="宋体" w:hAnsi="宋体"/>
          <w:sz w:val="24"/>
          <w:szCs w:val="24"/>
        </w:rPr>
        <w:t>拍卖人根据法律规定有权在拍卖结束前中止拍卖或撤回拍卖。因网络或其他不可抗力导致拍卖无法正常进行的，拍卖人待以上因素消除后视情况决定重新拍卖，并不承担因此造成的损失。</w:t>
      </w:r>
    </w:p>
    <w:p w14:paraId="03F264A4">
      <w:pPr>
        <w:spacing w:line="360" w:lineRule="auto"/>
        <w:ind w:firstLine="480" w:firstLineChars="200"/>
        <w:rPr>
          <w:rFonts w:hint="eastAsia" w:ascii="宋体" w:hAnsi="宋体"/>
          <w:sz w:val="24"/>
          <w:szCs w:val="24"/>
        </w:rPr>
      </w:pPr>
      <w:r>
        <w:rPr>
          <w:rFonts w:hint="eastAsia" w:ascii="宋体" w:hAnsi="宋体"/>
          <w:b/>
          <w:sz w:val="24"/>
          <w:szCs w:val="24"/>
        </w:rPr>
        <w:t>十六、</w:t>
      </w:r>
      <w:r>
        <w:rPr>
          <w:rFonts w:hint="eastAsia" w:ascii="宋体" w:hAnsi="宋体"/>
          <w:sz w:val="24"/>
          <w:szCs w:val="24"/>
        </w:rPr>
        <w:t>为便于买受人及时收到拍卖相关的文书，竞买人在拍卖竞价前如实向阿里资产·破产网络拍卖平台提供确切的送达地址，上述地址确认为邮寄地址，如需更改，买受人应在拍卖活动结束时与管理人联系确认更改。如果提供的送达地址不确切，或不及时告知变更后的地址，使有关法律文书无法送达或未能及时送达的，竞买人自行承担由此可能产生的法律后果。</w:t>
      </w:r>
    </w:p>
    <w:p w14:paraId="72AF8AB5">
      <w:pPr>
        <w:spacing w:line="360" w:lineRule="auto"/>
        <w:ind w:firstLine="480" w:firstLineChars="200"/>
        <w:rPr>
          <w:rFonts w:hint="eastAsia" w:ascii="宋体" w:hAnsi="宋体"/>
          <w:bCs/>
          <w:sz w:val="24"/>
          <w:szCs w:val="24"/>
        </w:rPr>
      </w:pPr>
      <w:r>
        <w:rPr>
          <w:rFonts w:hint="eastAsia" w:ascii="宋体" w:hAnsi="宋体"/>
          <w:b/>
          <w:sz w:val="24"/>
          <w:szCs w:val="24"/>
        </w:rPr>
        <w:t>十七、</w:t>
      </w:r>
      <w:r>
        <w:rPr>
          <w:rFonts w:hint="eastAsia" w:ascii="宋体" w:hAnsi="宋体"/>
          <w:bCs/>
          <w:sz w:val="24"/>
          <w:szCs w:val="24"/>
        </w:rPr>
        <w:t>破产案件监督单位：北京市第一中级人民法院;</w:t>
      </w:r>
    </w:p>
    <w:p w14:paraId="286DB733">
      <w:pPr>
        <w:spacing w:line="360" w:lineRule="auto"/>
        <w:ind w:firstLine="480" w:firstLineChars="200"/>
        <w:rPr>
          <w:rFonts w:hint="eastAsia" w:ascii="宋体" w:hAnsi="宋体"/>
          <w:sz w:val="24"/>
          <w:szCs w:val="24"/>
        </w:rPr>
      </w:pPr>
      <w:r>
        <w:rPr>
          <w:rFonts w:hint="eastAsia" w:ascii="宋体" w:hAnsi="宋体"/>
          <w:sz w:val="24"/>
          <w:szCs w:val="24"/>
        </w:rPr>
        <w:t>咨询电话：管理人：金律师13811200956；</w:t>
      </w:r>
    </w:p>
    <w:p w14:paraId="0A0BF2FC">
      <w:pPr>
        <w:spacing w:line="360" w:lineRule="auto"/>
        <w:ind w:firstLine="480" w:firstLineChars="200"/>
        <w:rPr>
          <w:rFonts w:hint="eastAsia" w:ascii="宋体" w:hAnsi="宋体"/>
          <w:sz w:val="24"/>
          <w:szCs w:val="24"/>
        </w:rPr>
      </w:pPr>
      <w:r>
        <w:rPr>
          <w:rFonts w:hint="eastAsia" w:ascii="宋体" w:hAnsi="宋体"/>
          <w:sz w:val="24"/>
          <w:szCs w:val="24"/>
        </w:rPr>
        <w:t>辅助拍卖机构：刘先生:16601111018，崔女士:18330353912；</w:t>
      </w:r>
      <w:r>
        <w:rPr>
          <w:rFonts w:ascii="宋体" w:hAnsi="宋体"/>
          <w:sz w:val="24"/>
          <w:szCs w:val="24"/>
        </w:rPr>
        <w:t xml:space="preserve"> </w:t>
      </w:r>
    </w:p>
    <w:p w14:paraId="60D955DF">
      <w:pPr>
        <w:spacing w:line="360" w:lineRule="auto"/>
        <w:ind w:firstLine="480" w:firstLineChars="200"/>
        <w:rPr>
          <w:rFonts w:hint="eastAsia" w:ascii="宋体" w:hAnsi="宋体"/>
          <w:sz w:val="24"/>
          <w:szCs w:val="24"/>
        </w:rPr>
      </w:pPr>
      <w:r>
        <w:rPr>
          <w:rFonts w:hint="eastAsia" w:ascii="宋体" w:hAnsi="宋体"/>
          <w:sz w:val="24"/>
          <w:szCs w:val="24"/>
        </w:rPr>
        <w:t>淘宝技术咨询：400-822-2870；</w:t>
      </w:r>
    </w:p>
    <w:p w14:paraId="2EA5B76B">
      <w:pPr>
        <w:spacing w:line="360" w:lineRule="auto"/>
        <w:ind w:firstLine="480" w:firstLineChars="200"/>
        <w:rPr>
          <w:rFonts w:hint="eastAsia" w:ascii="宋体" w:hAnsi="宋体"/>
          <w:sz w:val="24"/>
          <w:szCs w:val="24"/>
        </w:rPr>
      </w:pPr>
      <w:r>
        <w:rPr>
          <w:rFonts w:hint="eastAsia" w:ascii="宋体" w:hAnsi="宋体"/>
          <w:sz w:val="24"/>
          <w:szCs w:val="24"/>
        </w:rPr>
        <w:t>法院监督电话：010-68639038。</w:t>
      </w:r>
    </w:p>
    <w:p w14:paraId="673AA55F">
      <w:pPr>
        <w:spacing w:line="360" w:lineRule="auto"/>
        <w:ind w:firstLine="480" w:firstLineChars="200"/>
        <w:rPr>
          <w:rFonts w:hint="eastAsia" w:ascii="宋体" w:hAnsi="宋体"/>
          <w:b/>
          <w:color w:val="FF0000"/>
          <w:sz w:val="24"/>
          <w:szCs w:val="24"/>
        </w:rPr>
      </w:pPr>
      <w:r>
        <w:rPr>
          <w:rFonts w:hint="eastAsia" w:ascii="宋体" w:hAnsi="宋体"/>
          <w:b/>
          <w:color w:val="FF0000"/>
          <w:sz w:val="24"/>
          <w:szCs w:val="24"/>
        </w:rPr>
        <w:t>本次拍卖活动最终解释权归北京华年喜年国际投资有限公司管理人所有。</w:t>
      </w:r>
    </w:p>
    <w:p w14:paraId="06413DAF">
      <w:pPr>
        <w:spacing w:line="360" w:lineRule="auto"/>
        <w:ind w:firstLine="480" w:firstLineChars="200"/>
        <w:rPr>
          <w:rFonts w:hint="eastAsia" w:ascii="宋体" w:hAnsi="宋体"/>
          <w:sz w:val="24"/>
          <w:szCs w:val="24"/>
        </w:rPr>
      </w:pPr>
      <w:r>
        <w:rPr>
          <w:rFonts w:ascii="宋体" w:hAnsi="宋体"/>
          <w:sz w:val="24"/>
          <w:szCs w:val="24"/>
        </w:rPr>
        <w:t xml:space="preserve">                                                                          </w:t>
      </w:r>
    </w:p>
    <w:p w14:paraId="05287BAE">
      <w:pPr>
        <w:spacing w:line="360" w:lineRule="auto"/>
        <w:ind w:firstLine="480" w:firstLineChars="200"/>
        <w:jc w:val="right"/>
        <w:rPr>
          <w:rFonts w:hint="eastAsia" w:ascii="宋体" w:hAnsi="宋体"/>
          <w:sz w:val="24"/>
          <w:szCs w:val="24"/>
        </w:rPr>
      </w:pPr>
      <w:r>
        <w:rPr>
          <w:rFonts w:hint="eastAsia" w:ascii="宋体" w:hAnsi="宋体"/>
          <w:sz w:val="24"/>
          <w:szCs w:val="24"/>
        </w:rPr>
        <w:t>北京华年喜年国际投资有限公司管理人</w:t>
      </w:r>
    </w:p>
    <w:p w14:paraId="59792BFA">
      <w:pPr>
        <w:spacing w:line="360" w:lineRule="auto"/>
        <w:ind w:firstLine="480" w:firstLineChars="200"/>
        <w:jc w:val="right"/>
        <w:rPr>
          <w:rFonts w:hint="eastAsia" w:ascii="宋体" w:hAnsi="宋体"/>
          <w:sz w:val="24"/>
          <w:szCs w:val="24"/>
        </w:rPr>
      </w:pPr>
    </w:p>
    <w:p w14:paraId="6825B1F2">
      <w:pPr>
        <w:spacing w:line="360" w:lineRule="auto"/>
        <w:ind w:firstLine="480" w:firstLineChars="200"/>
        <w:jc w:val="right"/>
        <w:rPr>
          <w:rFonts w:hint="eastAsia" w:ascii="宋体" w:hAnsi="宋体"/>
          <w:sz w:val="24"/>
          <w:szCs w:val="24"/>
        </w:rPr>
      </w:pPr>
      <w:r>
        <w:rPr>
          <w:rFonts w:hint="eastAsia" w:ascii="宋体" w:hAnsi="宋体"/>
          <w:sz w:val="24"/>
          <w:szCs w:val="24"/>
        </w:rPr>
        <w:t>二〇二五年五月二十六日</w:t>
      </w:r>
    </w:p>
    <w:p w14:paraId="537255D0">
      <w:pPr>
        <w:spacing w:line="360" w:lineRule="auto"/>
        <w:ind w:firstLine="480" w:firstLineChars="200"/>
        <w:rPr>
          <w:rFonts w:hint="eastAsia" w:ascii="宋体" w:hAnsi="宋体"/>
          <w:sz w:val="24"/>
          <w:szCs w:val="24"/>
        </w:rPr>
      </w:pPr>
    </w:p>
    <w:p w14:paraId="417068D4">
      <w:pPr>
        <w:spacing w:line="360" w:lineRule="auto"/>
        <w:ind w:firstLine="480" w:firstLineChars="200"/>
        <w:rPr>
          <w:rFonts w:hint="eastAsia" w:ascii="宋体" w:hAnsi="宋体"/>
          <w:sz w:val="24"/>
          <w:szCs w:val="24"/>
        </w:rPr>
      </w:pPr>
    </w:p>
    <w:tbl>
      <w:tblPr>
        <w:tblStyle w:val="7"/>
        <w:tblW w:w="0" w:type="auto"/>
        <w:tblInd w:w="0" w:type="dxa"/>
        <w:tblLayout w:type="fixed"/>
        <w:tblCellMar>
          <w:top w:w="0" w:type="dxa"/>
          <w:left w:w="10" w:type="dxa"/>
          <w:bottom w:w="0" w:type="dxa"/>
          <w:right w:w="10" w:type="dxa"/>
        </w:tblCellMar>
      </w:tblPr>
      <w:tblGrid>
        <w:gridCol w:w="2418"/>
        <w:gridCol w:w="567"/>
        <w:gridCol w:w="2808"/>
        <w:gridCol w:w="1014"/>
        <w:gridCol w:w="1799"/>
      </w:tblGrid>
      <w:tr w14:paraId="6951DCCE">
        <w:tc>
          <w:tcPr>
            <w:tcW w:w="8606" w:type="dxa"/>
            <w:gridSpan w:val="5"/>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0513EC0C">
            <w:pPr>
              <w:spacing w:line="360" w:lineRule="auto"/>
              <w:jc w:val="center"/>
              <w:rPr>
                <w:rFonts w:hint="eastAsia" w:ascii="宋体" w:hAnsi="宋体"/>
              </w:rPr>
            </w:pPr>
            <w:r>
              <w:rPr>
                <w:rFonts w:ascii="宋体" w:hAnsi="宋体"/>
                <w:b/>
                <w:color w:val="000000"/>
                <w:sz w:val="24"/>
              </w:rPr>
              <w:t>标的物调查表</w:t>
            </w:r>
          </w:p>
        </w:tc>
      </w:tr>
      <w:tr w14:paraId="773232B5">
        <w:tc>
          <w:tcPr>
            <w:tcW w:w="8606" w:type="dxa"/>
            <w:gridSpan w:val="5"/>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5D237D33">
            <w:pPr>
              <w:spacing w:line="360" w:lineRule="auto"/>
              <w:ind w:firstLine="480"/>
              <w:jc w:val="center"/>
              <w:rPr>
                <w:rFonts w:hint="eastAsia" w:ascii="宋体" w:hAnsi="宋体"/>
              </w:rPr>
            </w:pPr>
            <w:r>
              <w:rPr>
                <w:rFonts w:hint="eastAsia" w:ascii="宋体" w:hAnsi="宋体"/>
                <w:sz w:val="24"/>
              </w:rPr>
              <w:t>北京华年喜年国际投资有限公司持有的广州华年喜年房地产开发有限公司49%股权</w:t>
            </w:r>
          </w:p>
        </w:tc>
      </w:tr>
      <w:tr w14:paraId="7CC627AD">
        <w:tc>
          <w:tcPr>
            <w:tcW w:w="2418"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5DBD89DD">
            <w:pPr>
              <w:spacing w:line="360" w:lineRule="auto"/>
              <w:jc w:val="left"/>
              <w:rPr>
                <w:rFonts w:hint="eastAsia" w:ascii="宋体" w:hAnsi="宋体"/>
              </w:rPr>
            </w:pPr>
            <w:r>
              <w:rPr>
                <w:rFonts w:ascii="宋体" w:hAnsi="宋体"/>
                <w:color w:val="000000"/>
                <w:sz w:val="24"/>
              </w:rPr>
              <w:t>企业名称</w:t>
            </w:r>
          </w:p>
        </w:tc>
        <w:tc>
          <w:tcPr>
            <w:tcW w:w="3375" w:type="dxa"/>
            <w:gridSpan w:val="2"/>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5F4B5595">
            <w:pPr>
              <w:spacing w:line="360" w:lineRule="auto"/>
              <w:jc w:val="left"/>
              <w:rPr>
                <w:rFonts w:hint="eastAsia" w:ascii="宋体" w:hAnsi="宋体"/>
              </w:rPr>
            </w:pPr>
            <w:r>
              <w:rPr>
                <w:rFonts w:hint="eastAsia" w:ascii="宋体" w:hAnsi="宋体"/>
                <w:sz w:val="24"/>
              </w:rPr>
              <w:t>广州华年喜年房地产开发有限公司</w:t>
            </w:r>
          </w:p>
        </w:tc>
        <w:tc>
          <w:tcPr>
            <w:tcW w:w="1014"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259CE75C">
            <w:pPr>
              <w:spacing w:line="360" w:lineRule="auto"/>
              <w:jc w:val="left"/>
              <w:rPr>
                <w:rFonts w:hint="eastAsia" w:ascii="宋体" w:hAnsi="宋体"/>
              </w:rPr>
            </w:pPr>
            <w:r>
              <w:rPr>
                <w:rFonts w:ascii="宋体" w:hAnsi="宋体"/>
                <w:color w:val="000000"/>
                <w:sz w:val="24"/>
              </w:rPr>
              <w:t>人员规模</w:t>
            </w:r>
          </w:p>
        </w:tc>
        <w:tc>
          <w:tcPr>
            <w:tcW w:w="1799"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2C3951CB">
            <w:pPr>
              <w:spacing w:line="360" w:lineRule="auto"/>
              <w:jc w:val="left"/>
              <w:rPr>
                <w:rFonts w:hint="eastAsia" w:ascii="宋体" w:hAnsi="宋体"/>
                <w:color w:val="333333"/>
                <w:sz w:val="24"/>
              </w:rPr>
            </w:pPr>
            <w:r>
              <w:rPr>
                <w:rFonts w:hint="eastAsia" w:ascii="宋体" w:hAnsi="宋体"/>
                <w:color w:val="000000"/>
                <w:sz w:val="24"/>
              </w:rPr>
              <w:t>小于50人</w:t>
            </w:r>
          </w:p>
        </w:tc>
      </w:tr>
      <w:tr w14:paraId="5E05F28D">
        <w:tc>
          <w:tcPr>
            <w:tcW w:w="2418"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40365AFB">
            <w:pPr>
              <w:spacing w:line="360" w:lineRule="auto"/>
              <w:jc w:val="left"/>
              <w:rPr>
                <w:rFonts w:hint="eastAsia" w:ascii="宋体" w:hAnsi="宋体"/>
              </w:rPr>
            </w:pPr>
            <w:r>
              <w:rPr>
                <w:rFonts w:ascii="宋体" w:hAnsi="宋体"/>
                <w:color w:val="000000"/>
                <w:sz w:val="24"/>
              </w:rPr>
              <w:t>法定代表人</w:t>
            </w:r>
          </w:p>
        </w:tc>
        <w:tc>
          <w:tcPr>
            <w:tcW w:w="3375" w:type="dxa"/>
            <w:gridSpan w:val="2"/>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11C819A6">
            <w:pPr>
              <w:jc w:val="left"/>
              <w:rPr>
                <w:rFonts w:hint="eastAsia" w:ascii="宋体" w:hAnsi="宋体"/>
                <w:color w:val="333333"/>
                <w:sz w:val="24"/>
              </w:rPr>
            </w:pPr>
            <w:r>
              <w:rPr>
                <w:rFonts w:hint="eastAsia" w:ascii="宋体" w:hAnsi="宋体"/>
                <w:color w:val="333333"/>
                <w:sz w:val="24"/>
              </w:rPr>
              <w:t>杨晓</w:t>
            </w:r>
          </w:p>
        </w:tc>
        <w:tc>
          <w:tcPr>
            <w:tcW w:w="1014"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1707B064">
            <w:pPr>
              <w:spacing w:line="360" w:lineRule="auto"/>
              <w:jc w:val="left"/>
              <w:rPr>
                <w:rFonts w:hint="eastAsia" w:ascii="宋体" w:hAnsi="宋体"/>
              </w:rPr>
            </w:pPr>
            <w:r>
              <w:rPr>
                <w:rFonts w:ascii="宋体" w:hAnsi="宋体"/>
                <w:color w:val="000000"/>
                <w:sz w:val="24"/>
              </w:rPr>
              <w:t>成立日期</w:t>
            </w:r>
          </w:p>
        </w:tc>
        <w:tc>
          <w:tcPr>
            <w:tcW w:w="1799"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2BFA8BD0">
            <w:pPr>
              <w:spacing w:line="360" w:lineRule="auto"/>
              <w:jc w:val="left"/>
              <w:rPr>
                <w:rFonts w:hint="eastAsia" w:ascii="宋体" w:hAnsi="宋体"/>
              </w:rPr>
            </w:pPr>
            <w:r>
              <w:rPr>
                <w:rFonts w:ascii="Helvetica" w:hAnsi="Helvetica" w:cs="Helvetica"/>
                <w:color w:val="333333"/>
                <w:szCs w:val="21"/>
                <w:shd w:val="clear" w:color="auto" w:fill="FFFFFF"/>
              </w:rPr>
              <w:t>2011-04-07</w:t>
            </w:r>
          </w:p>
        </w:tc>
      </w:tr>
      <w:tr w14:paraId="3B82AE2E">
        <w:tc>
          <w:tcPr>
            <w:tcW w:w="2418"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3533EFD6">
            <w:pPr>
              <w:spacing w:line="360" w:lineRule="auto"/>
              <w:jc w:val="left"/>
              <w:rPr>
                <w:rFonts w:hint="eastAsia" w:ascii="宋体" w:hAnsi="宋体"/>
              </w:rPr>
            </w:pPr>
            <w:r>
              <w:rPr>
                <w:rFonts w:ascii="宋体" w:hAnsi="宋体"/>
                <w:color w:val="000000"/>
                <w:sz w:val="24"/>
              </w:rPr>
              <w:t>注册资本</w:t>
            </w:r>
          </w:p>
        </w:tc>
        <w:tc>
          <w:tcPr>
            <w:tcW w:w="6188" w:type="dxa"/>
            <w:gridSpan w:val="4"/>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5BB04620">
            <w:pPr>
              <w:spacing w:line="360" w:lineRule="auto"/>
              <w:jc w:val="left"/>
              <w:rPr>
                <w:rFonts w:hint="eastAsia" w:ascii="宋体" w:hAnsi="宋体"/>
              </w:rPr>
            </w:pPr>
            <w:r>
              <w:rPr>
                <w:rFonts w:hint="eastAsia" w:ascii="宋体" w:hAnsi="宋体"/>
              </w:rPr>
              <w:t>1000万人民币</w:t>
            </w:r>
          </w:p>
        </w:tc>
      </w:tr>
      <w:tr w14:paraId="3F2AE0E9">
        <w:tc>
          <w:tcPr>
            <w:tcW w:w="2418"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6FF4FF7F">
            <w:pPr>
              <w:spacing w:line="360" w:lineRule="auto"/>
              <w:jc w:val="left"/>
              <w:rPr>
                <w:rFonts w:hint="eastAsia" w:ascii="宋体" w:hAnsi="宋体"/>
              </w:rPr>
            </w:pPr>
            <w:r>
              <w:rPr>
                <w:rFonts w:ascii="宋体" w:hAnsi="宋体"/>
                <w:color w:val="000000"/>
                <w:sz w:val="24"/>
              </w:rPr>
              <w:t>统一社会信用代码</w:t>
            </w:r>
          </w:p>
        </w:tc>
        <w:tc>
          <w:tcPr>
            <w:tcW w:w="6188" w:type="dxa"/>
            <w:gridSpan w:val="4"/>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06AEB251">
            <w:pPr>
              <w:spacing w:line="360" w:lineRule="auto"/>
              <w:jc w:val="left"/>
              <w:rPr>
                <w:rFonts w:hint="eastAsia" w:ascii="宋体" w:hAnsi="宋体"/>
              </w:rPr>
            </w:pPr>
            <w:r>
              <w:rPr>
                <w:rFonts w:ascii="宋体" w:hAnsi="宋体"/>
              </w:rPr>
              <w:t>91440101572170777K</w:t>
            </w:r>
          </w:p>
        </w:tc>
      </w:tr>
      <w:tr w14:paraId="40BD366F">
        <w:trPr>
          <w:trHeight w:val="3542" w:hRule="atLeast"/>
        </w:trPr>
        <w:tc>
          <w:tcPr>
            <w:tcW w:w="8606" w:type="dxa"/>
            <w:gridSpan w:val="5"/>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5870E3F6">
            <w:pPr>
              <w:spacing w:line="360" w:lineRule="auto"/>
              <w:jc w:val="center"/>
              <w:rPr>
                <w:rFonts w:hint="eastAsia" w:ascii="宋体" w:hAnsi="宋体"/>
                <w:color w:val="000000"/>
                <w:sz w:val="24"/>
              </w:rPr>
            </w:pPr>
            <w:r>
              <w:rPr>
                <w:rFonts w:hint="eastAsia" w:ascii="宋体" w:hAnsi="宋体"/>
                <w:color w:val="000000"/>
                <w:sz w:val="24"/>
              </w:rPr>
              <w:t>股东及出资信息</w:t>
            </w:r>
          </w:p>
          <w:tbl>
            <w:tblPr>
              <w:tblStyle w:val="7"/>
              <w:tblW w:w="8124" w:type="dxa"/>
              <w:jc w:val="center"/>
              <w:tblLayout w:type="fixed"/>
              <w:tblCellMar>
                <w:top w:w="0" w:type="dxa"/>
                <w:left w:w="108" w:type="dxa"/>
                <w:bottom w:w="0" w:type="dxa"/>
                <w:right w:w="108" w:type="dxa"/>
              </w:tblCellMar>
            </w:tblPr>
            <w:tblGrid>
              <w:gridCol w:w="1032"/>
              <w:gridCol w:w="4213"/>
              <w:gridCol w:w="1191"/>
              <w:gridCol w:w="1688"/>
            </w:tblGrid>
            <w:tr w14:paraId="01874FDF">
              <w:trPr>
                <w:trHeight w:val="965" w:hRule="atLeast"/>
                <w:jc w:val="center"/>
              </w:trPr>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5973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序号</w:t>
                  </w:r>
                </w:p>
              </w:tc>
              <w:tc>
                <w:tcPr>
                  <w:tcW w:w="4213" w:type="dxa"/>
                  <w:tcBorders>
                    <w:top w:val="single" w:color="auto" w:sz="4" w:space="0"/>
                    <w:left w:val="nil"/>
                    <w:bottom w:val="single" w:color="auto" w:sz="4" w:space="0"/>
                    <w:right w:val="single" w:color="auto" w:sz="4" w:space="0"/>
                  </w:tcBorders>
                  <w:shd w:val="clear" w:color="auto" w:fill="auto"/>
                  <w:noWrap/>
                  <w:vAlign w:val="center"/>
                </w:tcPr>
                <w:p w14:paraId="3AE1556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股东名称</w:t>
                  </w:r>
                </w:p>
              </w:tc>
              <w:tc>
                <w:tcPr>
                  <w:tcW w:w="1191" w:type="dxa"/>
                  <w:tcBorders>
                    <w:top w:val="single" w:color="auto" w:sz="4" w:space="0"/>
                    <w:left w:val="nil"/>
                    <w:bottom w:val="single" w:color="auto" w:sz="4" w:space="0"/>
                    <w:right w:val="single" w:color="auto" w:sz="4" w:space="0"/>
                  </w:tcBorders>
                  <w:shd w:val="clear" w:color="auto" w:fill="auto"/>
                  <w:noWrap/>
                  <w:vAlign w:val="center"/>
                </w:tcPr>
                <w:p w14:paraId="56F5E66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持股比例</w:t>
                  </w:r>
                </w:p>
              </w:tc>
              <w:tc>
                <w:tcPr>
                  <w:tcW w:w="1688" w:type="dxa"/>
                  <w:tcBorders>
                    <w:top w:val="single" w:color="auto" w:sz="4" w:space="0"/>
                    <w:left w:val="nil"/>
                    <w:bottom w:val="single" w:color="auto" w:sz="4" w:space="0"/>
                    <w:right w:val="single" w:color="auto" w:sz="4" w:space="0"/>
                  </w:tcBorders>
                  <w:shd w:val="clear" w:color="auto" w:fill="auto"/>
                  <w:noWrap/>
                  <w:vAlign w:val="center"/>
                </w:tcPr>
                <w:p w14:paraId="010E36E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认缴出资日期</w:t>
                  </w:r>
                </w:p>
              </w:tc>
            </w:tr>
            <w:tr w14:paraId="17040B75">
              <w:trPr>
                <w:trHeight w:val="987" w:hRule="atLeast"/>
                <w:jc w:val="center"/>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025FFCAD">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4213" w:type="dxa"/>
                  <w:tcBorders>
                    <w:top w:val="nil"/>
                    <w:left w:val="nil"/>
                    <w:bottom w:val="single" w:color="auto" w:sz="4" w:space="0"/>
                    <w:right w:val="single" w:color="auto" w:sz="4" w:space="0"/>
                  </w:tcBorders>
                  <w:shd w:val="clear" w:color="auto" w:fill="auto"/>
                  <w:noWrap/>
                  <w:vAlign w:val="center"/>
                </w:tcPr>
                <w:p w14:paraId="4C3AA40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北京远东新地置业有限公司</w:t>
                  </w:r>
                </w:p>
              </w:tc>
              <w:tc>
                <w:tcPr>
                  <w:tcW w:w="1191" w:type="dxa"/>
                  <w:tcBorders>
                    <w:top w:val="nil"/>
                    <w:left w:val="nil"/>
                    <w:bottom w:val="single" w:color="auto" w:sz="4" w:space="0"/>
                    <w:right w:val="single" w:color="auto" w:sz="4" w:space="0"/>
                  </w:tcBorders>
                  <w:shd w:val="clear" w:color="auto" w:fill="auto"/>
                  <w:noWrap/>
                  <w:vAlign w:val="center"/>
                </w:tcPr>
                <w:p w14:paraId="38A06254">
                  <w:pPr>
                    <w:widowControl/>
                    <w:jc w:val="center"/>
                    <w:textAlignment w:val="center"/>
                    <w:rPr>
                      <w:rFonts w:hint="eastAsia" w:ascii="宋体" w:hAnsi="宋体" w:cs="宋体"/>
                      <w:color w:val="000000"/>
                      <w:sz w:val="24"/>
                      <w:szCs w:val="24"/>
                    </w:rPr>
                  </w:pPr>
                  <w:r>
                    <w:rPr>
                      <w:rFonts w:ascii="Helvetica" w:hAnsi="Helvetica"/>
                      <w:color w:val="333333"/>
                      <w:szCs w:val="21"/>
                      <w:shd w:val="clear" w:color="auto" w:fill="FFFFFF"/>
                    </w:rPr>
                    <w:t>51%</w:t>
                  </w:r>
                </w:p>
              </w:tc>
              <w:tc>
                <w:tcPr>
                  <w:tcW w:w="1688" w:type="dxa"/>
                  <w:tcBorders>
                    <w:top w:val="nil"/>
                    <w:left w:val="nil"/>
                    <w:bottom w:val="single" w:color="auto" w:sz="4" w:space="0"/>
                    <w:right w:val="single" w:color="auto" w:sz="4" w:space="0"/>
                  </w:tcBorders>
                  <w:shd w:val="clear" w:color="auto" w:fill="auto"/>
                  <w:noWrap/>
                  <w:vAlign w:val="center"/>
                </w:tcPr>
                <w:p w14:paraId="7B5137ED">
                  <w:pPr>
                    <w:jc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2011-04-01</w:t>
                  </w:r>
                </w:p>
              </w:tc>
            </w:tr>
            <w:tr w14:paraId="5325C0D2">
              <w:trPr>
                <w:trHeight w:val="987" w:hRule="atLeast"/>
                <w:jc w:val="center"/>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5C1D655C">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4213" w:type="dxa"/>
                  <w:tcBorders>
                    <w:top w:val="nil"/>
                    <w:left w:val="nil"/>
                    <w:bottom w:val="single" w:color="auto" w:sz="4" w:space="0"/>
                    <w:right w:val="single" w:color="auto" w:sz="4" w:space="0"/>
                  </w:tcBorders>
                  <w:shd w:val="clear" w:color="auto" w:fill="auto"/>
                  <w:noWrap/>
                  <w:vAlign w:val="center"/>
                </w:tcPr>
                <w:p w14:paraId="0E5BA530">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北京华年喜年国际投资有限公司</w:t>
                  </w:r>
                </w:p>
              </w:tc>
              <w:tc>
                <w:tcPr>
                  <w:tcW w:w="1191" w:type="dxa"/>
                  <w:tcBorders>
                    <w:top w:val="nil"/>
                    <w:left w:val="nil"/>
                    <w:bottom w:val="single" w:color="auto" w:sz="4" w:space="0"/>
                    <w:right w:val="single" w:color="auto" w:sz="4" w:space="0"/>
                  </w:tcBorders>
                  <w:shd w:val="clear" w:color="auto" w:fill="auto"/>
                  <w:noWrap/>
                  <w:vAlign w:val="center"/>
                </w:tcPr>
                <w:p w14:paraId="173EED22">
                  <w:pPr>
                    <w:widowControl/>
                    <w:jc w:val="center"/>
                    <w:textAlignment w:val="center"/>
                    <w:rPr>
                      <w:rFonts w:ascii="Helvetica" w:hAnsi="Helvetica"/>
                      <w:color w:val="333333"/>
                      <w:szCs w:val="21"/>
                      <w:shd w:val="clear" w:color="auto" w:fill="FFFFFF"/>
                    </w:rPr>
                  </w:pPr>
                  <w:r>
                    <w:rPr>
                      <w:rFonts w:ascii="Helvetica" w:hAnsi="Helvetica"/>
                      <w:color w:val="333333"/>
                      <w:szCs w:val="21"/>
                      <w:shd w:val="clear" w:color="auto" w:fill="FFFFFF"/>
                    </w:rPr>
                    <w:t>49%</w:t>
                  </w:r>
                </w:p>
              </w:tc>
              <w:tc>
                <w:tcPr>
                  <w:tcW w:w="1688" w:type="dxa"/>
                  <w:tcBorders>
                    <w:top w:val="nil"/>
                    <w:left w:val="nil"/>
                    <w:bottom w:val="single" w:color="auto" w:sz="4" w:space="0"/>
                    <w:right w:val="single" w:color="auto" w:sz="4" w:space="0"/>
                  </w:tcBorders>
                  <w:shd w:val="clear" w:color="auto" w:fill="auto"/>
                  <w:noWrap/>
                  <w:vAlign w:val="center"/>
                </w:tcPr>
                <w:p w14:paraId="4B88B89E">
                  <w:pPr>
                    <w:jc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2011-04-01</w:t>
                  </w:r>
                </w:p>
              </w:tc>
            </w:tr>
          </w:tbl>
          <w:p w14:paraId="734615E7">
            <w:pPr>
              <w:spacing w:line="360" w:lineRule="auto"/>
              <w:rPr>
                <w:rFonts w:hint="eastAsia" w:ascii="宋体" w:hAnsi="宋体"/>
              </w:rPr>
            </w:pPr>
          </w:p>
        </w:tc>
      </w:tr>
      <w:tr w14:paraId="24E01C15">
        <w:tc>
          <w:tcPr>
            <w:tcW w:w="2985" w:type="dxa"/>
            <w:gridSpan w:val="2"/>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6F3A4D89">
            <w:pPr>
              <w:spacing w:line="360" w:lineRule="auto"/>
              <w:jc w:val="left"/>
              <w:rPr>
                <w:rFonts w:hint="eastAsia" w:ascii="宋体" w:hAnsi="宋体"/>
              </w:rPr>
            </w:pPr>
            <w:r>
              <w:rPr>
                <w:rFonts w:ascii="宋体" w:hAnsi="宋体"/>
                <w:color w:val="000000"/>
                <w:sz w:val="24"/>
              </w:rPr>
              <w:t>所属行业</w:t>
            </w:r>
          </w:p>
        </w:tc>
        <w:tc>
          <w:tcPr>
            <w:tcW w:w="5621" w:type="dxa"/>
            <w:gridSpan w:val="3"/>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3EB49778">
            <w:pPr>
              <w:spacing w:line="360" w:lineRule="auto"/>
              <w:jc w:val="left"/>
              <w:rPr>
                <w:rFonts w:hint="eastAsia" w:ascii="宋体" w:hAnsi="宋体"/>
              </w:rPr>
            </w:pPr>
            <w:r>
              <w:rPr>
                <w:rFonts w:hint="eastAsia" w:ascii="宋体" w:hAnsi="宋体"/>
              </w:rPr>
              <w:t>房地产业</w:t>
            </w:r>
          </w:p>
        </w:tc>
      </w:tr>
      <w:tr w14:paraId="5CAD3745">
        <w:tc>
          <w:tcPr>
            <w:tcW w:w="2985" w:type="dxa"/>
            <w:gridSpan w:val="2"/>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4CAACBD9">
            <w:pPr>
              <w:spacing w:line="360" w:lineRule="auto"/>
              <w:jc w:val="left"/>
              <w:rPr>
                <w:rFonts w:hint="eastAsia" w:ascii="宋体" w:hAnsi="宋体"/>
              </w:rPr>
            </w:pPr>
            <w:r>
              <w:rPr>
                <w:rFonts w:ascii="宋体" w:hAnsi="宋体"/>
                <w:color w:val="000000"/>
                <w:sz w:val="24"/>
              </w:rPr>
              <w:t>注册地址</w:t>
            </w:r>
          </w:p>
        </w:tc>
        <w:tc>
          <w:tcPr>
            <w:tcW w:w="5621" w:type="dxa"/>
            <w:gridSpan w:val="3"/>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0CF56DF4">
            <w:pPr>
              <w:spacing w:line="360" w:lineRule="auto"/>
              <w:jc w:val="left"/>
              <w:rPr>
                <w:rFonts w:hint="eastAsia" w:ascii="宋体" w:hAnsi="宋体"/>
              </w:rPr>
            </w:pPr>
            <w:r>
              <w:rPr>
                <w:rFonts w:hint="eastAsia" w:ascii="宋体" w:hAnsi="宋体"/>
              </w:rPr>
              <w:t>广州市花都区云缦街15号101房自编101</w:t>
            </w:r>
          </w:p>
        </w:tc>
      </w:tr>
      <w:tr w14:paraId="1FDD7FAE">
        <w:tc>
          <w:tcPr>
            <w:tcW w:w="2985" w:type="dxa"/>
            <w:gridSpan w:val="2"/>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18180F96">
            <w:pPr>
              <w:spacing w:line="360" w:lineRule="auto"/>
              <w:jc w:val="left"/>
              <w:rPr>
                <w:rFonts w:hint="eastAsia" w:ascii="宋体" w:hAnsi="宋体"/>
              </w:rPr>
            </w:pPr>
            <w:r>
              <w:rPr>
                <w:rFonts w:ascii="宋体" w:hAnsi="宋体"/>
                <w:color w:val="000000"/>
                <w:sz w:val="24"/>
              </w:rPr>
              <w:t>经营范围</w:t>
            </w:r>
          </w:p>
        </w:tc>
        <w:tc>
          <w:tcPr>
            <w:tcW w:w="5621" w:type="dxa"/>
            <w:gridSpan w:val="3"/>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0692D54A">
            <w:pPr>
              <w:spacing w:line="360" w:lineRule="auto"/>
              <w:jc w:val="left"/>
              <w:rPr>
                <w:rFonts w:hint="eastAsia" w:ascii="宋体" w:hAnsi="宋体"/>
              </w:rPr>
            </w:pPr>
            <w:r>
              <w:rPr>
                <w:rFonts w:ascii="宋体" w:hAnsi="宋体"/>
              </w:rPr>
              <w:t>房地产开发经营;电子产品零售;体育用品及器材零售;建材、装饰材料批发;园林绿化工程服务;自有房地产经营活动;化工产品批发（危险化学品除外）;技术进出口;五金零售;房屋租赁;货物进出口（专营专控商品除外）;风景园林工程设计服务;室内装饰、装修;房地产中介服务;房地产咨询服务;</w:t>
            </w:r>
          </w:p>
        </w:tc>
      </w:tr>
      <w:tr w14:paraId="2EA14A7A">
        <w:tc>
          <w:tcPr>
            <w:tcW w:w="8606" w:type="dxa"/>
            <w:gridSpan w:val="5"/>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1A91BFC3">
            <w:pPr>
              <w:spacing w:line="360" w:lineRule="auto"/>
              <w:jc w:val="center"/>
              <w:rPr>
                <w:rFonts w:hint="eastAsia" w:ascii="宋体" w:hAnsi="宋体"/>
              </w:rPr>
            </w:pPr>
            <w:r>
              <w:rPr>
                <w:rFonts w:ascii="宋体" w:hAnsi="宋体"/>
                <w:b/>
                <w:color w:val="FF0000"/>
                <w:sz w:val="24"/>
              </w:rPr>
              <w:t>（该信息仅供参考，具体以标的物现状为准。）</w:t>
            </w:r>
          </w:p>
        </w:tc>
      </w:tr>
      <w:tr w14:paraId="718DE6EF">
        <w:tc>
          <w:tcPr>
            <w:tcW w:w="8606" w:type="dxa"/>
            <w:gridSpan w:val="5"/>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776C4A9F">
            <w:pPr>
              <w:spacing w:line="360" w:lineRule="auto"/>
              <w:jc w:val="center"/>
              <w:rPr>
                <w:rFonts w:hint="eastAsia" w:ascii="宋体" w:hAnsi="宋体"/>
                <w:b/>
                <w:bCs/>
                <w:color w:val="FF0000"/>
                <w:sz w:val="24"/>
                <w:szCs w:val="24"/>
              </w:rPr>
            </w:pPr>
            <w:r>
              <w:rPr>
                <w:rFonts w:hint="eastAsia" w:ascii="宋体" w:hAnsi="宋体"/>
                <w:b/>
                <w:bCs/>
                <w:color w:val="FF0000"/>
                <w:sz w:val="24"/>
                <w:szCs w:val="24"/>
              </w:rPr>
              <w:t>标的物特别情况说明：</w:t>
            </w:r>
          </w:p>
          <w:p w14:paraId="3CD9D8A4">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1</w:t>
            </w:r>
            <w:r>
              <w:rPr>
                <w:rFonts w:ascii="宋体" w:hAnsi="宋体"/>
                <w:color w:val="FF0000"/>
                <w:sz w:val="24"/>
                <w:shd w:val="clear" w:color="auto" w:fill="FFFFFF"/>
              </w:rPr>
              <w:t>、本次拍卖标的物中</w:t>
            </w:r>
            <w:r>
              <w:rPr>
                <w:rFonts w:hint="eastAsia" w:ascii="宋体" w:hAnsi="宋体"/>
                <w:color w:val="FF0000"/>
                <w:sz w:val="24"/>
                <w:shd w:val="clear" w:color="auto" w:fill="FFFFFF"/>
              </w:rPr>
              <w:t>附有机构出具的</w:t>
            </w:r>
            <w:r>
              <w:rPr>
                <w:rFonts w:ascii="宋体" w:hAnsi="宋体"/>
                <w:color w:val="FF0000"/>
                <w:sz w:val="24"/>
                <w:shd w:val="clear" w:color="auto" w:fill="FFFFFF"/>
              </w:rPr>
              <w:t>《广州华年喜年房地产开发有限公司企业价值分析报告》，该报告系对广州华年喜年房地产开发有限公司涉及的资产与负债</w:t>
            </w:r>
            <w:r>
              <w:rPr>
                <w:rFonts w:hint="eastAsia" w:ascii="宋体" w:hAnsi="宋体"/>
                <w:color w:val="FF0000"/>
                <w:sz w:val="24"/>
                <w:shd w:val="clear" w:color="auto" w:fill="FFFFFF"/>
              </w:rPr>
              <w:t>进行分析</w:t>
            </w:r>
            <w:r>
              <w:rPr>
                <w:rFonts w:ascii="宋体" w:hAnsi="宋体"/>
                <w:color w:val="FF0000"/>
                <w:sz w:val="24"/>
                <w:shd w:val="clear" w:color="auto" w:fill="FFFFFF"/>
              </w:rPr>
              <w:t>。鉴于本报告内容</w:t>
            </w:r>
            <w:r>
              <w:rPr>
                <w:rFonts w:hint="eastAsia" w:ascii="宋体" w:hAnsi="宋体"/>
                <w:color w:val="FF0000"/>
                <w:sz w:val="24"/>
                <w:shd w:val="clear" w:color="auto" w:fill="FFFFFF"/>
              </w:rPr>
              <w:t>可能</w:t>
            </w:r>
            <w:r>
              <w:rPr>
                <w:rFonts w:ascii="宋体" w:hAnsi="宋体"/>
                <w:color w:val="FF0000"/>
                <w:sz w:val="24"/>
                <w:shd w:val="clear" w:color="auto" w:fill="FFFFFF"/>
              </w:rPr>
              <w:t>涉及企业</w:t>
            </w:r>
            <w:r>
              <w:rPr>
                <w:rFonts w:hint="eastAsia" w:ascii="宋体" w:hAnsi="宋体"/>
                <w:color w:val="FF0000"/>
                <w:sz w:val="24"/>
                <w:shd w:val="clear" w:color="auto" w:fill="FFFFFF"/>
              </w:rPr>
              <w:t>隐私信息</w:t>
            </w:r>
            <w:r>
              <w:rPr>
                <w:rFonts w:ascii="宋体" w:hAnsi="宋体"/>
                <w:color w:val="FF0000"/>
                <w:sz w:val="24"/>
                <w:shd w:val="clear" w:color="auto" w:fill="FFFFFF"/>
              </w:rPr>
              <w:t>，</w:t>
            </w:r>
            <w:r>
              <w:rPr>
                <w:rFonts w:hint="eastAsia" w:ascii="宋体" w:hAnsi="宋体"/>
                <w:color w:val="FF0000"/>
                <w:sz w:val="24"/>
                <w:shd w:val="clear" w:color="auto" w:fill="FFFFFF"/>
              </w:rPr>
              <w:t>为避免无意向购买人及无关人员对</w:t>
            </w:r>
            <w:r>
              <w:rPr>
                <w:rFonts w:ascii="宋体" w:hAnsi="宋体"/>
                <w:color w:val="FF0000"/>
                <w:sz w:val="24"/>
                <w:shd w:val="clear" w:color="auto" w:fill="FFFFFF"/>
              </w:rPr>
              <w:t>企业价值分析报告</w:t>
            </w:r>
            <w:r>
              <w:rPr>
                <w:rFonts w:hint="eastAsia" w:ascii="宋体" w:hAnsi="宋体"/>
                <w:color w:val="FF0000"/>
                <w:sz w:val="24"/>
                <w:shd w:val="clear" w:color="auto" w:fill="FFFFFF"/>
              </w:rPr>
              <w:t>进行泄露，</w:t>
            </w:r>
            <w:r>
              <w:rPr>
                <w:rFonts w:ascii="宋体" w:hAnsi="宋体"/>
                <w:color w:val="FF0000"/>
                <w:sz w:val="24"/>
                <w:shd w:val="clear" w:color="auto" w:fill="FFFFFF"/>
              </w:rPr>
              <w:t>意向竞买人查阅</w:t>
            </w:r>
            <w:r>
              <w:rPr>
                <w:rFonts w:hint="eastAsia" w:ascii="宋体" w:hAnsi="宋体"/>
                <w:color w:val="FF0000"/>
                <w:sz w:val="24"/>
                <w:shd w:val="clear" w:color="auto" w:fill="FFFFFF"/>
              </w:rPr>
              <w:t>该报告</w:t>
            </w:r>
            <w:r>
              <w:rPr>
                <w:rFonts w:ascii="宋体" w:hAnsi="宋体"/>
                <w:color w:val="FF0000"/>
                <w:sz w:val="24"/>
                <w:shd w:val="clear" w:color="auto" w:fill="FFFFFF"/>
              </w:rPr>
              <w:t>需在足额缴纳标的竞买保证金并完成正式报名程序后，</w:t>
            </w:r>
            <w:r>
              <w:rPr>
                <w:rFonts w:hint="eastAsia" w:ascii="宋体" w:hAnsi="宋体"/>
                <w:color w:val="FF0000"/>
                <w:sz w:val="24"/>
                <w:shd w:val="clear" w:color="auto" w:fill="FFFFFF"/>
              </w:rPr>
              <w:t>联系</w:t>
            </w:r>
            <w:r>
              <w:rPr>
                <w:rFonts w:ascii="宋体" w:hAnsi="宋体"/>
                <w:color w:val="FF0000"/>
                <w:sz w:val="24"/>
                <w:shd w:val="clear" w:color="auto" w:fill="FFFFFF"/>
              </w:rPr>
              <w:t>管理人</w:t>
            </w:r>
            <w:r>
              <w:rPr>
                <w:rFonts w:hint="eastAsia" w:ascii="宋体" w:hAnsi="宋体"/>
                <w:color w:val="FF0000"/>
                <w:sz w:val="24"/>
                <w:shd w:val="clear" w:color="auto" w:fill="FFFFFF"/>
              </w:rPr>
              <w:t>提交个人/企业的身份证明资料，并</w:t>
            </w:r>
            <w:r>
              <w:rPr>
                <w:rFonts w:ascii="宋体" w:hAnsi="宋体"/>
                <w:color w:val="FF0000"/>
                <w:sz w:val="24"/>
                <w:shd w:val="clear" w:color="auto" w:fill="FFFFFF"/>
              </w:rPr>
              <w:t>签订《保密承诺书》，承诺严格履行保密义务。完成上述程序后，</w:t>
            </w:r>
            <w:r>
              <w:rPr>
                <w:rFonts w:hint="eastAsia" w:ascii="宋体" w:hAnsi="宋体"/>
                <w:color w:val="FF0000"/>
                <w:sz w:val="24"/>
                <w:shd w:val="clear" w:color="auto" w:fill="FFFFFF"/>
              </w:rPr>
              <w:t>意向竞买人方能</w:t>
            </w:r>
            <w:r>
              <w:rPr>
                <w:rFonts w:ascii="宋体" w:hAnsi="宋体"/>
                <w:color w:val="FF0000"/>
                <w:sz w:val="24"/>
                <w:shd w:val="clear" w:color="auto" w:fill="FFFFFF"/>
              </w:rPr>
              <w:t>查阅</w:t>
            </w:r>
            <w:r>
              <w:rPr>
                <w:rFonts w:hint="eastAsia" w:ascii="宋体" w:hAnsi="宋体"/>
                <w:color w:val="FF0000"/>
                <w:sz w:val="24"/>
                <w:shd w:val="clear" w:color="auto" w:fill="FFFFFF"/>
              </w:rPr>
              <w:t>该</w:t>
            </w:r>
            <w:r>
              <w:rPr>
                <w:rFonts w:ascii="宋体" w:hAnsi="宋体"/>
                <w:color w:val="FF0000"/>
                <w:sz w:val="24"/>
                <w:shd w:val="clear" w:color="auto" w:fill="FFFFFF"/>
              </w:rPr>
              <w:t>报告。</w:t>
            </w:r>
          </w:p>
          <w:p w14:paraId="5EB85536">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2、</w:t>
            </w:r>
            <w:r>
              <w:rPr>
                <w:rFonts w:ascii="宋体" w:hAnsi="宋体"/>
                <w:color w:val="FF0000"/>
                <w:sz w:val="24"/>
                <w:shd w:val="clear" w:color="auto" w:fill="FFFFFF"/>
              </w:rPr>
              <w:t>本次拍卖为</w:t>
            </w:r>
            <w:r>
              <w:rPr>
                <w:rFonts w:hint="eastAsia" w:ascii="宋体" w:hAnsi="宋体"/>
                <w:color w:val="FF0000"/>
                <w:sz w:val="24"/>
                <w:shd w:val="clear" w:color="auto" w:fill="FFFFFF"/>
              </w:rPr>
              <w:t>广州华年喜年房地产开发有限公司49%的股权</w:t>
            </w:r>
            <w:r>
              <w:rPr>
                <w:rFonts w:ascii="宋体" w:hAnsi="宋体"/>
                <w:color w:val="FF0000"/>
                <w:sz w:val="24"/>
                <w:shd w:val="clear" w:color="auto" w:fill="FFFFFF"/>
              </w:rPr>
              <w:t>。请竞买人自行了解</w:t>
            </w:r>
            <w:r>
              <w:rPr>
                <w:rFonts w:hint="eastAsia" w:ascii="宋体" w:hAnsi="宋体"/>
                <w:color w:val="FF0000"/>
                <w:sz w:val="24"/>
                <w:shd w:val="clear" w:color="auto" w:fill="FFFFFF"/>
              </w:rPr>
              <w:t>广州华年喜年房地产开发有限公司</w:t>
            </w:r>
            <w:r>
              <w:rPr>
                <w:rFonts w:ascii="宋体" w:hAnsi="宋体"/>
                <w:color w:val="FF0000"/>
                <w:sz w:val="24"/>
                <w:shd w:val="clear" w:color="auto" w:fill="FFFFFF"/>
              </w:rPr>
              <w:t>的经营状况，自行查证拍卖标的物现状，慎重决定竞买行为，竞买人一旦作出竞买决定，即表明已完全了解并接受标的物的现状和一切已知及未知的</w:t>
            </w:r>
            <w:r>
              <w:rPr>
                <w:rFonts w:hint="eastAsia" w:ascii="宋体" w:hAnsi="宋体"/>
                <w:color w:val="FF0000"/>
                <w:sz w:val="24"/>
                <w:shd w:val="clear" w:color="auto" w:fill="FFFFFF"/>
              </w:rPr>
              <w:t>风险、</w:t>
            </w:r>
            <w:r>
              <w:rPr>
                <w:rFonts w:ascii="宋体" w:hAnsi="宋体"/>
                <w:color w:val="FF0000"/>
                <w:sz w:val="24"/>
                <w:shd w:val="clear" w:color="auto" w:fill="FFFFFF"/>
              </w:rPr>
              <w:t>瑕疵，并愿意承担一切法律风险（该等风险包括但不限于</w:t>
            </w:r>
            <w:r>
              <w:rPr>
                <w:rFonts w:hint="eastAsia" w:ascii="宋体" w:hAnsi="宋体"/>
                <w:color w:val="FF0000"/>
                <w:sz w:val="24"/>
                <w:shd w:val="clear" w:color="auto" w:fill="FFFFFF"/>
              </w:rPr>
              <w:t>广州华年喜年房地产开发有限公司可能存在的</w:t>
            </w:r>
            <w:r>
              <w:rPr>
                <w:rFonts w:ascii="宋体" w:hAnsi="宋体"/>
                <w:color w:val="FF0000"/>
                <w:sz w:val="24"/>
                <w:shd w:val="clear" w:color="auto" w:fill="FFFFFF"/>
              </w:rPr>
              <w:t>累积欠的各种税费、</w:t>
            </w:r>
            <w:r>
              <w:rPr>
                <w:rFonts w:hint="eastAsia" w:ascii="宋体" w:hAnsi="宋体"/>
                <w:color w:val="FF0000"/>
                <w:sz w:val="24"/>
                <w:shd w:val="clear" w:color="auto" w:fill="FFFFFF"/>
              </w:rPr>
              <w:t>资不抵债</w:t>
            </w:r>
            <w:r>
              <w:rPr>
                <w:rFonts w:ascii="宋体" w:hAnsi="宋体"/>
                <w:color w:val="FF0000"/>
                <w:sz w:val="24"/>
                <w:shd w:val="clear" w:color="auto" w:fill="FFFFFF"/>
              </w:rPr>
              <w:t>、</w:t>
            </w:r>
            <w:r>
              <w:rPr>
                <w:rFonts w:hint="eastAsia" w:ascii="宋体" w:hAnsi="宋体"/>
                <w:color w:val="FF0000"/>
                <w:sz w:val="24"/>
                <w:shd w:val="clear" w:color="auto" w:fill="FFFFFF"/>
              </w:rPr>
              <w:t>诉讼纠纷、</w:t>
            </w:r>
            <w:r>
              <w:rPr>
                <w:rFonts w:ascii="宋体" w:hAnsi="宋体"/>
                <w:color w:val="FF0000"/>
                <w:sz w:val="24"/>
                <w:shd w:val="clear" w:color="auto" w:fill="FFFFFF"/>
              </w:rPr>
              <w:t>股东未实际出资</w:t>
            </w:r>
            <w:r>
              <w:rPr>
                <w:rFonts w:hint="eastAsia" w:ascii="宋体" w:hAnsi="宋体"/>
                <w:color w:val="FF0000"/>
                <w:sz w:val="24"/>
                <w:shd w:val="clear" w:color="auto" w:fill="FFFFFF"/>
              </w:rPr>
              <w:t>或出资不足</w:t>
            </w:r>
            <w:r>
              <w:rPr>
                <w:rFonts w:ascii="宋体" w:hAnsi="宋体"/>
                <w:color w:val="FF0000"/>
                <w:sz w:val="24"/>
                <w:shd w:val="clear" w:color="auto" w:fill="FFFFFF"/>
              </w:rPr>
              <w:t>、</w:t>
            </w:r>
            <w:r>
              <w:rPr>
                <w:rFonts w:hint="eastAsia" w:ascii="宋体" w:hAnsi="宋体"/>
                <w:color w:val="FF0000"/>
                <w:sz w:val="24"/>
                <w:shd w:val="clear" w:color="auto" w:fill="FFFFFF"/>
              </w:rPr>
              <w:t>停止经营、空壳、公司法定代表人及高管等任何人员失联</w:t>
            </w:r>
            <w:r>
              <w:rPr>
                <w:rFonts w:ascii="宋体" w:hAnsi="宋体"/>
                <w:color w:val="FF0000"/>
                <w:sz w:val="24"/>
                <w:shd w:val="clear" w:color="auto" w:fill="FFFFFF"/>
              </w:rPr>
              <w:t>、</w:t>
            </w:r>
            <w:r>
              <w:rPr>
                <w:rFonts w:hint="eastAsia" w:ascii="宋体" w:hAnsi="宋体"/>
                <w:color w:val="FF0000"/>
                <w:sz w:val="24"/>
                <w:shd w:val="clear" w:color="auto" w:fill="FFFFFF"/>
              </w:rPr>
              <w:t>行政</w:t>
            </w:r>
            <w:r>
              <w:rPr>
                <w:rFonts w:ascii="宋体" w:hAnsi="宋体"/>
                <w:color w:val="FF0000"/>
                <w:sz w:val="24"/>
                <w:shd w:val="clear" w:color="auto" w:fill="FFFFFF"/>
              </w:rPr>
              <w:t>处罚</w:t>
            </w:r>
            <w:r>
              <w:rPr>
                <w:rFonts w:hint="eastAsia" w:ascii="宋体" w:hAnsi="宋体"/>
                <w:color w:val="FF0000"/>
                <w:sz w:val="24"/>
                <w:shd w:val="clear" w:color="auto" w:fill="FFFFFF"/>
              </w:rPr>
              <w:t>、司法罚款、</w:t>
            </w:r>
            <w:r>
              <w:rPr>
                <w:rFonts w:ascii="宋体" w:hAnsi="宋体"/>
                <w:color w:val="FF0000"/>
                <w:sz w:val="24"/>
                <w:shd w:val="clear" w:color="auto" w:fill="FFFFFF"/>
              </w:rPr>
              <w:t>印章证照遗失、财务账册遗失、文件资料遗失、</w:t>
            </w:r>
            <w:r>
              <w:rPr>
                <w:rFonts w:hint="eastAsia" w:ascii="宋体" w:hAnsi="宋体"/>
                <w:color w:val="FF0000"/>
                <w:sz w:val="24"/>
                <w:shd w:val="clear" w:color="auto" w:fill="FFFFFF"/>
              </w:rPr>
              <w:t>股权无法转让</w:t>
            </w:r>
            <w:r>
              <w:rPr>
                <w:rFonts w:ascii="宋体" w:hAnsi="宋体"/>
                <w:color w:val="FF0000"/>
                <w:sz w:val="24"/>
                <w:shd w:val="clear" w:color="auto" w:fill="FFFFFF"/>
              </w:rPr>
              <w:t>过户</w:t>
            </w:r>
            <w:r>
              <w:rPr>
                <w:rFonts w:hint="eastAsia" w:ascii="宋体" w:hAnsi="宋体"/>
                <w:color w:val="FF0000"/>
                <w:sz w:val="24"/>
                <w:shd w:val="clear" w:color="auto" w:fill="FFFFFF"/>
              </w:rPr>
              <w:t>，等</w:t>
            </w:r>
            <w:r>
              <w:rPr>
                <w:rFonts w:ascii="宋体" w:hAnsi="宋体"/>
                <w:color w:val="FF0000"/>
                <w:sz w:val="24"/>
                <w:shd w:val="clear" w:color="auto" w:fill="FFFFFF"/>
              </w:rPr>
              <w:t>等</w:t>
            </w:r>
            <w:r>
              <w:rPr>
                <w:rFonts w:hint="eastAsia" w:ascii="宋体" w:hAnsi="宋体"/>
                <w:color w:val="FF0000"/>
                <w:sz w:val="24"/>
                <w:shd w:val="clear" w:color="auto" w:fill="FFFFFF"/>
              </w:rPr>
              <w:t>风险，此处无法穷尽</w:t>
            </w:r>
            <w:r>
              <w:rPr>
                <w:rFonts w:ascii="宋体" w:hAnsi="宋体"/>
                <w:color w:val="FF0000"/>
                <w:sz w:val="24"/>
                <w:shd w:val="clear" w:color="auto" w:fill="FFFFFF"/>
              </w:rPr>
              <w:t>）。</w:t>
            </w:r>
            <w:r>
              <w:rPr>
                <w:rFonts w:hint="eastAsia" w:ascii="宋体" w:hAnsi="宋体"/>
                <w:color w:val="FF0000"/>
                <w:sz w:val="24"/>
                <w:shd w:val="clear" w:color="auto" w:fill="FFFFFF"/>
              </w:rPr>
              <w:t>管理人</w:t>
            </w:r>
            <w:r>
              <w:rPr>
                <w:rFonts w:ascii="宋体" w:hAnsi="宋体"/>
                <w:color w:val="FF0000"/>
                <w:sz w:val="24"/>
                <w:shd w:val="clear" w:color="auto" w:fill="FFFFFF"/>
              </w:rPr>
              <w:t>对前述风险</w:t>
            </w:r>
            <w:r>
              <w:rPr>
                <w:rFonts w:hint="eastAsia" w:ascii="宋体" w:hAnsi="宋体"/>
                <w:color w:val="FF0000"/>
                <w:sz w:val="24"/>
                <w:shd w:val="clear" w:color="auto" w:fill="FFFFFF"/>
              </w:rPr>
              <w:t>是否存在并不了解，不承担，也</w:t>
            </w:r>
            <w:r>
              <w:rPr>
                <w:rFonts w:ascii="宋体" w:hAnsi="宋体"/>
                <w:color w:val="FF0000"/>
                <w:sz w:val="24"/>
                <w:shd w:val="clear" w:color="auto" w:fill="FFFFFF"/>
              </w:rPr>
              <w:t>不做任何保证</w:t>
            </w:r>
            <w:r>
              <w:rPr>
                <w:rFonts w:hint="eastAsia" w:ascii="宋体" w:hAnsi="宋体"/>
                <w:color w:val="FF0000"/>
                <w:sz w:val="24"/>
                <w:shd w:val="clear" w:color="auto" w:fill="FFFFFF"/>
              </w:rPr>
              <w:t>，请竞买人自行调查判断，但凡参与竞买即表明自愿承担以上风险</w:t>
            </w:r>
            <w:r>
              <w:rPr>
                <w:rFonts w:ascii="宋体" w:hAnsi="宋体"/>
                <w:color w:val="FF0000"/>
                <w:sz w:val="24"/>
                <w:shd w:val="clear" w:color="auto" w:fill="FFFFFF"/>
              </w:rPr>
              <w:t>。拍卖标的物如涉及违法，由买受人自行与相关部门沟通并依照有关规定进行处理，</w:t>
            </w:r>
            <w:r>
              <w:rPr>
                <w:rFonts w:hint="eastAsia" w:ascii="宋体" w:hAnsi="宋体"/>
                <w:color w:val="FF0000"/>
                <w:sz w:val="24"/>
                <w:shd w:val="clear" w:color="auto" w:fill="FFFFFF"/>
              </w:rPr>
              <w:t>管理人</w:t>
            </w:r>
            <w:r>
              <w:rPr>
                <w:rFonts w:ascii="宋体" w:hAnsi="宋体"/>
                <w:color w:val="FF0000"/>
                <w:sz w:val="24"/>
                <w:shd w:val="clear" w:color="auto" w:fill="FFFFFF"/>
              </w:rPr>
              <w:t>不协助买受人处理前述违法问题，买受人不得向</w:t>
            </w:r>
            <w:r>
              <w:rPr>
                <w:rFonts w:hint="eastAsia" w:ascii="宋体" w:hAnsi="宋体"/>
                <w:color w:val="FF0000"/>
                <w:sz w:val="24"/>
                <w:shd w:val="clear" w:color="auto" w:fill="FFFFFF"/>
              </w:rPr>
              <w:t>管理人</w:t>
            </w:r>
            <w:r>
              <w:rPr>
                <w:rFonts w:ascii="宋体" w:hAnsi="宋体"/>
                <w:color w:val="FF0000"/>
                <w:sz w:val="24"/>
                <w:shd w:val="clear" w:color="auto" w:fill="FFFFFF"/>
              </w:rPr>
              <w:t>索偿。</w:t>
            </w:r>
          </w:p>
          <w:p w14:paraId="2E7693EE">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3</w:t>
            </w:r>
            <w:r>
              <w:rPr>
                <w:rFonts w:ascii="宋体" w:hAnsi="宋体"/>
                <w:color w:val="FF0000"/>
                <w:sz w:val="24"/>
                <w:shd w:val="clear" w:color="auto" w:fill="FFFFFF"/>
              </w:rPr>
              <w:t>、</w:t>
            </w:r>
            <w:r>
              <w:rPr>
                <w:rFonts w:hint="eastAsia" w:ascii="宋体" w:hAnsi="宋体"/>
                <w:color w:val="FF0000"/>
                <w:sz w:val="24"/>
                <w:shd w:val="clear" w:color="auto" w:fill="FFFFFF"/>
              </w:rPr>
              <w:t>涉及标的物的各项转让手续由买受人自行办理并承担相应费用及风险，该等风险包括但不限于因股权解封、法律、法规及行业规定、政策原因、目标公司不配合办理股权转让变更登记等原因导致股权变更手续办理时间延长或者不能办理的。因相关规定或相关限制导致股东身份变更手续办理时间延长或无法变更等等。因政策原因或存在隐性瑕疵、拍卖过程中产生权利限制等原因导致股权变更手续办理延长或者受阻等的，优先权人行使优先权导致竞买失败及无法变更股权，等等任何与标的股权有关的风险，管理人及拍卖辅助机构不承担任何保证。</w:t>
            </w:r>
          </w:p>
          <w:p w14:paraId="057A15E3">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4</w:t>
            </w:r>
            <w:r>
              <w:rPr>
                <w:rFonts w:ascii="宋体" w:hAnsi="宋体"/>
                <w:color w:val="FF0000"/>
                <w:sz w:val="24"/>
                <w:shd w:val="clear" w:color="auto" w:fill="FFFFFF"/>
              </w:rPr>
              <w:t>、拍卖公告所作的情况说明，仅为竞买人参与竞买提供参考，不能作为竞买人判断、权衡价值的最终依据。竞买人在竞拍前请务必自行确认是否具备持股资格，能否办理股权转让登记</w:t>
            </w:r>
            <w:r>
              <w:rPr>
                <w:rFonts w:hint="eastAsia" w:ascii="宋体" w:hAnsi="宋体"/>
                <w:color w:val="FF0000"/>
                <w:sz w:val="24"/>
                <w:shd w:val="clear" w:color="auto" w:fill="FFFFFF"/>
              </w:rPr>
              <w:t>及办理股权转让登记所需时间，</w:t>
            </w:r>
            <w:r>
              <w:rPr>
                <w:rFonts w:ascii="宋体" w:hAnsi="宋体"/>
                <w:color w:val="FF0000"/>
                <w:sz w:val="24"/>
                <w:shd w:val="clear" w:color="auto" w:fill="FFFFFF"/>
              </w:rPr>
              <w:t>请竞买人自行到有关部门咨询核实。一旦参加竞拍，即视为对本标的物投资入股条件的确认，如不符合条件参加竞拍或者拍卖成交后不能过户的，买受人自行承担风险。</w:t>
            </w:r>
          </w:p>
          <w:p w14:paraId="68C0E4DE">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5</w:t>
            </w:r>
            <w:r>
              <w:rPr>
                <w:rFonts w:ascii="宋体" w:hAnsi="宋体"/>
                <w:color w:val="FF0000"/>
                <w:sz w:val="24"/>
                <w:shd w:val="clear" w:color="auto" w:fill="FFFFFF"/>
              </w:rPr>
              <w:t>、拍卖成交之日起，买受人须承担标的物</w:t>
            </w:r>
            <w:r>
              <w:rPr>
                <w:rFonts w:hint="eastAsia" w:ascii="宋体" w:hAnsi="宋体"/>
                <w:color w:val="FF0000"/>
                <w:sz w:val="24"/>
                <w:shd w:val="clear" w:color="auto" w:fill="FFFFFF"/>
              </w:rPr>
              <w:t>已发生的和</w:t>
            </w:r>
            <w:r>
              <w:rPr>
                <w:rFonts w:ascii="宋体" w:hAnsi="宋体"/>
                <w:color w:val="FF0000"/>
                <w:sz w:val="24"/>
                <w:shd w:val="clear" w:color="auto" w:fill="FFFFFF"/>
              </w:rPr>
              <w:t>可能发生的一切风险。</w:t>
            </w:r>
          </w:p>
          <w:p w14:paraId="0EF8D279">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6</w:t>
            </w:r>
            <w:r>
              <w:rPr>
                <w:rFonts w:ascii="宋体" w:hAnsi="宋体"/>
                <w:color w:val="FF0000"/>
                <w:sz w:val="24"/>
                <w:shd w:val="clear" w:color="auto" w:fill="FFFFFF"/>
              </w:rPr>
              <w:t>、</w:t>
            </w:r>
            <w:r>
              <w:rPr>
                <w:rFonts w:hint="eastAsia" w:ascii="宋体" w:hAnsi="宋体"/>
                <w:color w:val="FF0000"/>
                <w:sz w:val="24"/>
                <w:shd w:val="clear" w:color="auto" w:fill="FFFFFF"/>
              </w:rPr>
              <w:t>本次拍卖管理人披露的相关信息不视为广州华年喜年房地产开发有限公司相关信息的全部披露，</w:t>
            </w:r>
            <w:r>
              <w:rPr>
                <w:rFonts w:ascii="宋体" w:hAnsi="宋体"/>
                <w:color w:val="FF0000"/>
                <w:sz w:val="24"/>
                <w:shd w:val="clear" w:color="auto" w:fill="FFFFFF"/>
              </w:rPr>
              <w:t>请竞买人自行咨询股权相关政策及规定，并承担相应的风险。因标的物无法实际看样，详细情况意向竞买人可向相关部门了解或自行进行调查，参加拍卖的竞买人视为对本标的物实物现状的确认，责任自负。请谨慎参拍。</w:t>
            </w:r>
          </w:p>
          <w:p w14:paraId="7DC601DE">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7、其他未尽事宜由买受人自行了解。</w:t>
            </w:r>
          </w:p>
          <w:p w14:paraId="7AE8631A">
            <w:pPr>
              <w:spacing w:before="100" w:after="100" w:line="360" w:lineRule="auto"/>
              <w:ind w:firstLine="480"/>
              <w:jc w:val="left"/>
              <w:rPr>
                <w:rFonts w:hint="eastAsia" w:ascii="宋体" w:hAnsi="宋体"/>
                <w:color w:val="FF0000"/>
                <w:sz w:val="24"/>
                <w:shd w:val="clear" w:color="auto" w:fill="FFFFFF"/>
              </w:rPr>
            </w:pPr>
            <w:r>
              <w:rPr>
                <w:rFonts w:ascii="宋体" w:hAnsi="宋体"/>
                <w:color w:val="FF0000"/>
                <w:sz w:val="24"/>
                <w:shd w:val="clear" w:color="auto" w:fill="FFFFFF"/>
              </w:rPr>
              <w:t>因上述问题发生费用及造成的股权不能变更的风险由买受人自行承担。</w:t>
            </w:r>
          </w:p>
          <w:p w14:paraId="325A8AA7">
            <w:pPr>
              <w:spacing w:before="100" w:after="100" w:line="360" w:lineRule="auto"/>
              <w:ind w:firstLine="480"/>
              <w:jc w:val="left"/>
              <w:rPr>
                <w:rFonts w:hint="eastAsia" w:ascii="宋体" w:hAnsi="宋体"/>
                <w:color w:val="FF0000"/>
                <w:sz w:val="24"/>
                <w:shd w:val="clear" w:color="auto" w:fill="FFFFFF"/>
              </w:rPr>
            </w:pPr>
          </w:p>
          <w:p w14:paraId="0C13723D">
            <w:pPr>
              <w:spacing w:line="360" w:lineRule="auto"/>
              <w:jc w:val="left"/>
              <w:rPr>
                <w:rFonts w:hint="eastAsia" w:ascii="宋体" w:hAnsi="宋体"/>
              </w:rPr>
            </w:pPr>
          </w:p>
        </w:tc>
      </w:tr>
    </w:tbl>
    <w:p w14:paraId="5DEABD5F">
      <w:pPr>
        <w:spacing w:line="360" w:lineRule="auto"/>
        <w:jc w:val="left"/>
        <w:rPr>
          <w:rFonts w:hint="eastAsia" w:ascii="宋体" w:hAnsi="宋体"/>
          <w:sz w:val="24"/>
          <w:szCs w:val="24"/>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808A5"/>
    <w:multiLevelType w:val="singleLevel"/>
    <w:tmpl w:val="332808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5ODFiZDgxZDQ2M2JlNDIyZDk5YWQ1NDdkNTgwY2QifQ=="/>
  </w:docVars>
  <w:rsids>
    <w:rsidRoot w:val="006705CC"/>
    <w:rsid w:val="000134B2"/>
    <w:rsid w:val="0002393B"/>
    <w:rsid w:val="000345F8"/>
    <w:rsid w:val="000502B6"/>
    <w:rsid w:val="000505EB"/>
    <w:rsid w:val="00051E02"/>
    <w:rsid w:val="0005677F"/>
    <w:rsid w:val="00061D2E"/>
    <w:rsid w:val="00087E11"/>
    <w:rsid w:val="0009418A"/>
    <w:rsid w:val="000A0642"/>
    <w:rsid w:val="000A33CA"/>
    <w:rsid w:val="000A527A"/>
    <w:rsid w:val="000D5C57"/>
    <w:rsid w:val="000D5FB3"/>
    <w:rsid w:val="000D639B"/>
    <w:rsid w:val="000E27C6"/>
    <w:rsid w:val="000E55C5"/>
    <w:rsid w:val="00104AEB"/>
    <w:rsid w:val="00117C88"/>
    <w:rsid w:val="001206E4"/>
    <w:rsid w:val="00122E94"/>
    <w:rsid w:val="00132C09"/>
    <w:rsid w:val="001360AA"/>
    <w:rsid w:val="00142839"/>
    <w:rsid w:val="00151626"/>
    <w:rsid w:val="00156667"/>
    <w:rsid w:val="00170893"/>
    <w:rsid w:val="001B3F75"/>
    <w:rsid w:val="001B4AD7"/>
    <w:rsid w:val="001B706C"/>
    <w:rsid w:val="001C687A"/>
    <w:rsid w:val="001C7094"/>
    <w:rsid w:val="001D7A05"/>
    <w:rsid w:val="001E37E7"/>
    <w:rsid w:val="001F211A"/>
    <w:rsid w:val="001F53A3"/>
    <w:rsid w:val="002053EF"/>
    <w:rsid w:val="0021232E"/>
    <w:rsid w:val="00223D00"/>
    <w:rsid w:val="00224C38"/>
    <w:rsid w:val="002556C1"/>
    <w:rsid w:val="00261C07"/>
    <w:rsid w:val="00266827"/>
    <w:rsid w:val="002749EF"/>
    <w:rsid w:val="00280131"/>
    <w:rsid w:val="00281631"/>
    <w:rsid w:val="00286172"/>
    <w:rsid w:val="00286D8E"/>
    <w:rsid w:val="00294685"/>
    <w:rsid w:val="00294F47"/>
    <w:rsid w:val="002A1D9B"/>
    <w:rsid w:val="002B6F1B"/>
    <w:rsid w:val="002C1198"/>
    <w:rsid w:val="002C2F87"/>
    <w:rsid w:val="002D5563"/>
    <w:rsid w:val="002E2F48"/>
    <w:rsid w:val="002E4FD4"/>
    <w:rsid w:val="002F432C"/>
    <w:rsid w:val="00305174"/>
    <w:rsid w:val="003159B6"/>
    <w:rsid w:val="00322598"/>
    <w:rsid w:val="003242AB"/>
    <w:rsid w:val="00325429"/>
    <w:rsid w:val="00326BBB"/>
    <w:rsid w:val="00326FEE"/>
    <w:rsid w:val="00330FEA"/>
    <w:rsid w:val="003571DB"/>
    <w:rsid w:val="003651DB"/>
    <w:rsid w:val="00365E3C"/>
    <w:rsid w:val="00371CA4"/>
    <w:rsid w:val="003749BA"/>
    <w:rsid w:val="00381D25"/>
    <w:rsid w:val="00387D3D"/>
    <w:rsid w:val="003A3997"/>
    <w:rsid w:val="003A6E3E"/>
    <w:rsid w:val="003B0D10"/>
    <w:rsid w:val="003B17D2"/>
    <w:rsid w:val="003B31B0"/>
    <w:rsid w:val="003B3810"/>
    <w:rsid w:val="003C1925"/>
    <w:rsid w:val="003C3D69"/>
    <w:rsid w:val="003C6B6C"/>
    <w:rsid w:val="003E0A6E"/>
    <w:rsid w:val="003E3A56"/>
    <w:rsid w:val="00401A4D"/>
    <w:rsid w:val="004070B4"/>
    <w:rsid w:val="00422112"/>
    <w:rsid w:val="00424632"/>
    <w:rsid w:val="00426B1C"/>
    <w:rsid w:val="00432721"/>
    <w:rsid w:val="004405BB"/>
    <w:rsid w:val="004407AC"/>
    <w:rsid w:val="00442D0C"/>
    <w:rsid w:val="00447E03"/>
    <w:rsid w:val="004562F8"/>
    <w:rsid w:val="00460443"/>
    <w:rsid w:val="00462220"/>
    <w:rsid w:val="00463AAE"/>
    <w:rsid w:val="004668BC"/>
    <w:rsid w:val="00472277"/>
    <w:rsid w:val="00481C62"/>
    <w:rsid w:val="00482372"/>
    <w:rsid w:val="0049611D"/>
    <w:rsid w:val="004A1BD2"/>
    <w:rsid w:val="004B3A26"/>
    <w:rsid w:val="004C24D2"/>
    <w:rsid w:val="004E2BC3"/>
    <w:rsid w:val="004E7A74"/>
    <w:rsid w:val="00500AEE"/>
    <w:rsid w:val="0050228E"/>
    <w:rsid w:val="00503173"/>
    <w:rsid w:val="00515436"/>
    <w:rsid w:val="00521A5B"/>
    <w:rsid w:val="005425B1"/>
    <w:rsid w:val="005545E2"/>
    <w:rsid w:val="0055574E"/>
    <w:rsid w:val="00566AEA"/>
    <w:rsid w:val="0057271C"/>
    <w:rsid w:val="00572BF7"/>
    <w:rsid w:val="00573892"/>
    <w:rsid w:val="00574E32"/>
    <w:rsid w:val="005A10DA"/>
    <w:rsid w:val="005A6E8D"/>
    <w:rsid w:val="005B0D5B"/>
    <w:rsid w:val="005C6CF4"/>
    <w:rsid w:val="005D0597"/>
    <w:rsid w:val="005D0905"/>
    <w:rsid w:val="005D55A2"/>
    <w:rsid w:val="005D6FFF"/>
    <w:rsid w:val="005E1744"/>
    <w:rsid w:val="005E3A03"/>
    <w:rsid w:val="005F6202"/>
    <w:rsid w:val="00602FC9"/>
    <w:rsid w:val="00607854"/>
    <w:rsid w:val="00614A9B"/>
    <w:rsid w:val="00614ADA"/>
    <w:rsid w:val="00630929"/>
    <w:rsid w:val="00634749"/>
    <w:rsid w:val="00640E85"/>
    <w:rsid w:val="00642EF7"/>
    <w:rsid w:val="00647971"/>
    <w:rsid w:val="00660A2C"/>
    <w:rsid w:val="00660E79"/>
    <w:rsid w:val="006705CC"/>
    <w:rsid w:val="00681EB6"/>
    <w:rsid w:val="006A08CE"/>
    <w:rsid w:val="006C4FC7"/>
    <w:rsid w:val="006C6B9F"/>
    <w:rsid w:val="006D518E"/>
    <w:rsid w:val="00712119"/>
    <w:rsid w:val="00722D29"/>
    <w:rsid w:val="00725E01"/>
    <w:rsid w:val="007371C6"/>
    <w:rsid w:val="0074136A"/>
    <w:rsid w:val="00752568"/>
    <w:rsid w:val="0075364A"/>
    <w:rsid w:val="00760756"/>
    <w:rsid w:val="00771872"/>
    <w:rsid w:val="0077240D"/>
    <w:rsid w:val="00783FD0"/>
    <w:rsid w:val="00785D6A"/>
    <w:rsid w:val="00787DD9"/>
    <w:rsid w:val="00797413"/>
    <w:rsid w:val="007A6F25"/>
    <w:rsid w:val="007B0CB7"/>
    <w:rsid w:val="007B2110"/>
    <w:rsid w:val="007B4810"/>
    <w:rsid w:val="007B5604"/>
    <w:rsid w:val="007B7150"/>
    <w:rsid w:val="007E4B44"/>
    <w:rsid w:val="007E5167"/>
    <w:rsid w:val="007F1380"/>
    <w:rsid w:val="007F4012"/>
    <w:rsid w:val="007F6DE8"/>
    <w:rsid w:val="00801D79"/>
    <w:rsid w:val="008075C1"/>
    <w:rsid w:val="008121AB"/>
    <w:rsid w:val="00813D61"/>
    <w:rsid w:val="00820507"/>
    <w:rsid w:val="008243A0"/>
    <w:rsid w:val="00826999"/>
    <w:rsid w:val="008318B1"/>
    <w:rsid w:val="00835694"/>
    <w:rsid w:val="00842B8B"/>
    <w:rsid w:val="00855563"/>
    <w:rsid w:val="00857293"/>
    <w:rsid w:val="00865D20"/>
    <w:rsid w:val="00867981"/>
    <w:rsid w:val="00867F6A"/>
    <w:rsid w:val="00875907"/>
    <w:rsid w:val="00885134"/>
    <w:rsid w:val="008948BB"/>
    <w:rsid w:val="008B3AFD"/>
    <w:rsid w:val="008B73C2"/>
    <w:rsid w:val="008C46AB"/>
    <w:rsid w:val="008C7C40"/>
    <w:rsid w:val="008D07BD"/>
    <w:rsid w:val="008D4415"/>
    <w:rsid w:val="008D6C43"/>
    <w:rsid w:val="008F5105"/>
    <w:rsid w:val="009055FB"/>
    <w:rsid w:val="00905E85"/>
    <w:rsid w:val="00924B2A"/>
    <w:rsid w:val="00925CD2"/>
    <w:rsid w:val="0093506B"/>
    <w:rsid w:val="009662BA"/>
    <w:rsid w:val="00967566"/>
    <w:rsid w:val="009744CA"/>
    <w:rsid w:val="00982A85"/>
    <w:rsid w:val="009A415F"/>
    <w:rsid w:val="009A44B4"/>
    <w:rsid w:val="009A710C"/>
    <w:rsid w:val="009C0090"/>
    <w:rsid w:val="009E1E20"/>
    <w:rsid w:val="009E31F8"/>
    <w:rsid w:val="009F4B58"/>
    <w:rsid w:val="00A07CA1"/>
    <w:rsid w:val="00A116C6"/>
    <w:rsid w:val="00A13D27"/>
    <w:rsid w:val="00A16097"/>
    <w:rsid w:val="00A26F86"/>
    <w:rsid w:val="00A53B7E"/>
    <w:rsid w:val="00A62454"/>
    <w:rsid w:val="00A66EC9"/>
    <w:rsid w:val="00A86A9F"/>
    <w:rsid w:val="00A92445"/>
    <w:rsid w:val="00A95637"/>
    <w:rsid w:val="00AB1824"/>
    <w:rsid w:val="00AD6809"/>
    <w:rsid w:val="00AE2C2D"/>
    <w:rsid w:val="00AE53BD"/>
    <w:rsid w:val="00B13EC3"/>
    <w:rsid w:val="00B16476"/>
    <w:rsid w:val="00B17132"/>
    <w:rsid w:val="00B30199"/>
    <w:rsid w:val="00B410CE"/>
    <w:rsid w:val="00B50838"/>
    <w:rsid w:val="00B51292"/>
    <w:rsid w:val="00B55EB3"/>
    <w:rsid w:val="00B71C67"/>
    <w:rsid w:val="00B82C27"/>
    <w:rsid w:val="00B83D57"/>
    <w:rsid w:val="00B84CC5"/>
    <w:rsid w:val="00B87A8D"/>
    <w:rsid w:val="00B90A49"/>
    <w:rsid w:val="00BA1DF9"/>
    <w:rsid w:val="00BA3FBE"/>
    <w:rsid w:val="00BA588D"/>
    <w:rsid w:val="00BC3120"/>
    <w:rsid w:val="00BC43EC"/>
    <w:rsid w:val="00BD53F6"/>
    <w:rsid w:val="00BE6F9A"/>
    <w:rsid w:val="00BF4C0F"/>
    <w:rsid w:val="00BF5828"/>
    <w:rsid w:val="00BF6406"/>
    <w:rsid w:val="00C01ABA"/>
    <w:rsid w:val="00C02618"/>
    <w:rsid w:val="00C14E9A"/>
    <w:rsid w:val="00C33D08"/>
    <w:rsid w:val="00C42247"/>
    <w:rsid w:val="00C43086"/>
    <w:rsid w:val="00C6555E"/>
    <w:rsid w:val="00C664F4"/>
    <w:rsid w:val="00C93046"/>
    <w:rsid w:val="00CA014A"/>
    <w:rsid w:val="00CA12D9"/>
    <w:rsid w:val="00CB1753"/>
    <w:rsid w:val="00CB42BA"/>
    <w:rsid w:val="00CC1726"/>
    <w:rsid w:val="00CC3467"/>
    <w:rsid w:val="00CE7370"/>
    <w:rsid w:val="00CF00C1"/>
    <w:rsid w:val="00D0736B"/>
    <w:rsid w:val="00D11000"/>
    <w:rsid w:val="00D1549A"/>
    <w:rsid w:val="00D25223"/>
    <w:rsid w:val="00D314EA"/>
    <w:rsid w:val="00D36A24"/>
    <w:rsid w:val="00D50DDA"/>
    <w:rsid w:val="00D5502D"/>
    <w:rsid w:val="00D6015C"/>
    <w:rsid w:val="00D739A5"/>
    <w:rsid w:val="00D75774"/>
    <w:rsid w:val="00DA05EE"/>
    <w:rsid w:val="00DA387A"/>
    <w:rsid w:val="00DB2B6D"/>
    <w:rsid w:val="00DB2F04"/>
    <w:rsid w:val="00DC7749"/>
    <w:rsid w:val="00E0090F"/>
    <w:rsid w:val="00E03910"/>
    <w:rsid w:val="00E12626"/>
    <w:rsid w:val="00E151E1"/>
    <w:rsid w:val="00E41F53"/>
    <w:rsid w:val="00E42BF5"/>
    <w:rsid w:val="00E43526"/>
    <w:rsid w:val="00E517D1"/>
    <w:rsid w:val="00E5365D"/>
    <w:rsid w:val="00E65D57"/>
    <w:rsid w:val="00E6636D"/>
    <w:rsid w:val="00E663A6"/>
    <w:rsid w:val="00E772E9"/>
    <w:rsid w:val="00E80C3E"/>
    <w:rsid w:val="00E907D9"/>
    <w:rsid w:val="00E97254"/>
    <w:rsid w:val="00EE3A43"/>
    <w:rsid w:val="00EE5155"/>
    <w:rsid w:val="00EF77D7"/>
    <w:rsid w:val="00F15297"/>
    <w:rsid w:val="00F42605"/>
    <w:rsid w:val="00F4643F"/>
    <w:rsid w:val="00F47517"/>
    <w:rsid w:val="00F5403D"/>
    <w:rsid w:val="00F71480"/>
    <w:rsid w:val="00F76566"/>
    <w:rsid w:val="00F87DBF"/>
    <w:rsid w:val="00FA529A"/>
    <w:rsid w:val="00FD1BFB"/>
    <w:rsid w:val="00FD257E"/>
    <w:rsid w:val="00FD420B"/>
    <w:rsid w:val="00FD6FD4"/>
    <w:rsid w:val="00FD752C"/>
    <w:rsid w:val="00FE0B68"/>
    <w:rsid w:val="00FE3A4E"/>
    <w:rsid w:val="00FF77F3"/>
    <w:rsid w:val="01286562"/>
    <w:rsid w:val="01311D17"/>
    <w:rsid w:val="01AE5688"/>
    <w:rsid w:val="01E70628"/>
    <w:rsid w:val="03FA6D38"/>
    <w:rsid w:val="0506170D"/>
    <w:rsid w:val="05143FCE"/>
    <w:rsid w:val="057335C1"/>
    <w:rsid w:val="068C5C42"/>
    <w:rsid w:val="06EC66E0"/>
    <w:rsid w:val="07464042"/>
    <w:rsid w:val="07526A91"/>
    <w:rsid w:val="07943000"/>
    <w:rsid w:val="07FC0BA5"/>
    <w:rsid w:val="0854278F"/>
    <w:rsid w:val="092B7994"/>
    <w:rsid w:val="09A514F4"/>
    <w:rsid w:val="09F064E7"/>
    <w:rsid w:val="09F935EE"/>
    <w:rsid w:val="0A0B0D13"/>
    <w:rsid w:val="0A206DCD"/>
    <w:rsid w:val="0B1526A9"/>
    <w:rsid w:val="0C0E77A3"/>
    <w:rsid w:val="0C547201"/>
    <w:rsid w:val="0CB35CD6"/>
    <w:rsid w:val="0D074274"/>
    <w:rsid w:val="0D6214AA"/>
    <w:rsid w:val="0D7E7B62"/>
    <w:rsid w:val="0DA900B3"/>
    <w:rsid w:val="0E034A3B"/>
    <w:rsid w:val="0E10441A"/>
    <w:rsid w:val="0E7F45D4"/>
    <w:rsid w:val="0EC71F0D"/>
    <w:rsid w:val="0EE24651"/>
    <w:rsid w:val="0F4E1E08"/>
    <w:rsid w:val="0F8C0A60"/>
    <w:rsid w:val="1008458B"/>
    <w:rsid w:val="104F3F68"/>
    <w:rsid w:val="10635C65"/>
    <w:rsid w:val="107F4121"/>
    <w:rsid w:val="11001706"/>
    <w:rsid w:val="11A42091"/>
    <w:rsid w:val="12CC5D44"/>
    <w:rsid w:val="12E110C3"/>
    <w:rsid w:val="13053004"/>
    <w:rsid w:val="13C073B2"/>
    <w:rsid w:val="13D1738A"/>
    <w:rsid w:val="13F84916"/>
    <w:rsid w:val="14891A12"/>
    <w:rsid w:val="149C7998"/>
    <w:rsid w:val="14E60C13"/>
    <w:rsid w:val="15AE04E9"/>
    <w:rsid w:val="15B036FB"/>
    <w:rsid w:val="15C01464"/>
    <w:rsid w:val="162E0AC3"/>
    <w:rsid w:val="16500A3A"/>
    <w:rsid w:val="166338AE"/>
    <w:rsid w:val="16DC407B"/>
    <w:rsid w:val="16DE4297"/>
    <w:rsid w:val="170D06D9"/>
    <w:rsid w:val="176F4EEF"/>
    <w:rsid w:val="179130B8"/>
    <w:rsid w:val="185A794E"/>
    <w:rsid w:val="188744BB"/>
    <w:rsid w:val="18A1557C"/>
    <w:rsid w:val="19185113"/>
    <w:rsid w:val="19406B43"/>
    <w:rsid w:val="197E766C"/>
    <w:rsid w:val="198729C4"/>
    <w:rsid w:val="1A613215"/>
    <w:rsid w:val="1BAD248A"/>
    <w:rsid w:val="1C181028"/>
    <w:rsid w:val="1D882867"/>
    <w:rsid w:val="1DC064A5"/>
    <w:rsid w:val="1DE50B42"/>
    <w:rsid w:val="1DF61EC7"/>
    <w:rsid w:val="1E043040"/>
    <w:rsid w:val="1E1B192D"/>
    <w:rsid w:val="1E674B72"/>
    <w:rsid w:val="1E965203"/>
    <w:rsid w:val="1E9A6CF6"/>
    <w:rsid w:val="1EAE09F3"/>
    <w:rsid w:val="1EEE2B9E"/>
    <w:rsid w:val="1FC009DE"/>
    <w:rsid w:val="20C462AC"/>
    <w:rsid w:val="20C938C2"/>
    <w:rsid w:val="20CB0BD7"/>
    <w:rsid w:val="2130749E"/>
    <w:rsid w:val="213A656E"/>
    <w:rsid w:val="21DA1AFF"/>
    <w:rsid w:val="223D2F6D"/>
    <w:rsid w:val="228026A7"/>
    <w:rsid w:val="22EA6095"/>
    <w:rsid w:val="23411E36"/>
    <w:rsid w:val="235054FF"/>
    <w:rsid w:val="23DB11C1"/>
    <w:rsid w:val="23ED7DE4"/>
    <w:rsid w:val="240370EB"/>
    <w:rsid w:val="242C755F"/>
    <w:rsid w:val="24CF521F"/>
    <w:rsid w:val="251D626C"/>
    <w:rsid w:val="25590EF0"/>
    <w:rsid w:val="268D7140"/>
    <w:rsid w:val="26B97F35"/>
    <w:rsid w:val="272C6959"/>
    <w:rsid w:val="273E668C"/>
    <w:rsid w:val="276C144B"/>
    <w:rsid w:val="27A36B07"/>
    <w:rsid w:val="27F422C9"/>
    <w:rsid w:val="28836A4D"/>
    <w:rsid w:val="290F02E0"/>
    <w:rsid w:val="297B3BC8"/>
    <w:rsid w:val="298C1931"/>
    <w:rsid w:val="29CE021D"/>
    <w:rsid w:val="2A697EC4"/>
    <w:rsid w:val="2ABC535A"/>
    <w:rsid w:val="2B2A7653"/>
    <w:rsid w:val="2B6568DD"/>
    <w:rsid w:val="2B717030"/>
    <w:rsid w:val="2B7D3C27"/>
    <w:rsid w:val="2B844FB6"/>
    <w:rsid w:val="2C7E1B56"/>
    <w:rsid w:val="2C8C39F6"/>
    <w:rsid w:val="2C9C632F"/>
    <w:rsid w:val="2CE60A95"/>
    <w:rsid w:val="2D546C0A"/>
    <w:rsid w:val="2D915768"/>
    <w:rsid w:val="2DCC71AE"/>
    <w:rsid w:val="2E1450B0"/>
    <w:rsid w:val="2E2B38E3"/>
    <w:rsid w:val="2E352597"/>
    <w:rsid w:val="2EC67693"/>
    <w:rsid w:val="2EDC2A13"/>
    <w:rsid w:val="2F3F11F4"/>
    <w:rsid w:val="2F7470EF"/>
    <w:rsid w:val="2FD61B58"/>
    <w:rsid w:val="305B205D"/>
    <w:rsid w:val="314A45AB"/>
    <w:rsid w:val="315947EF"/>
    <w:rsid w:val="31B54AD3"/>
    <w:rsid w:val="31E7342E"/>
    <w:rsid w:val="320F1351"/>
    <w:rsid w:val="32144BB9"/>
    <w:rsid w:val="32146967"/>
    <w:rsid w:val="326F3B9E"/>
    <w:rsid w:val="32770A74"/>
    <w:rsid w:val="32C92362"/>
    <w:rsid w:val="332E1CAB"/>
    <w:rsid w:val="335B411D"/>
    <w:rsid w:val="33745910"/>
    <w:rsid w:val="34334EB1"/>
    <w:rsid w:val="346F4329"/>
    <w:rsid w:val="354E2190"/>
    <w:rsid w:val="358D0F0B"/>
    <w:rsid w:val="35A87AF3"/>
    <w:rsid w:val="36203B2D"/>
    <w:rsid w:val="36471C4E"/>
    <w:rsid w:val="36581D34"/>
    <w:rsid w:val="366538CF"/>
    <w:rsid w:val="366A124C"/>
    <w:rsid w:val="37677539"/>
    <w:rsid w:val="37977E1F"/>
    <w:rsid w:val="37FC2378"/>
    <w:rsid w:val="38A547BD"/>
    <w:rsid w:val="38CA7D80"/>
    <w:rsid w:val="39047736"/>
    <w:rsid w:val="3A35391F"/>
    <w:rsid w:val="3A922B1F"/>
    <w:rsid w:val="3ACC4283"/>
    <w:rsid w:val="3AEA4709"/>
    <w:rsid w:val="3B163750"/>
    <w:rsid w:val="3B5F3BF5"/>
    <w:rsid w:val="3B912DD7"/>
    <w:rsid w:val="3D0A4BEF"/>
    <w:rsid w:val="3D3D4FC4"/>
    <w:rsid w:val="3DA60DBB"/>
    <w:rsid w:val="3DB159B2"/>
    <w:rsid w:val="3E0930F8"/>
    <w:rsid w:val="3E5013BC"/>
    <w:rsid w:val="3E545134"/>
    <w:rsid w:val="3E546A69"/>
    <w:rsid w:val="3ECA0ADA"/>
    <w:rsid w:val="3EED2A1A"/>
    <w:rsid w:val="3F1955BD"/>
    <w:rsid w:val="3F424B14"/>
    <w:rsid w:val="3F47037C"/>
    <w:rsid w:val="3F76656C"/>
    <w:rsid w:val="40062655"/>
    <w:rsid w:val="407F3B46"/>
    <w:rsid w:val="409F1AF2"/>
    <w:rsid w:val="40A84E4B"/>
    <w:rsid w:val="40B97058"/>
    <w:rsid w:val="40E24E97"/>
    <w:rsid w:val="412C5A7C"/>
    <w:rsid w:val="4168282C"/>
    <w:rsid w:val="42064A3F"/>
    <w:rsid w:val="42213106"/>
    <w:rsid w:val="42332E3A"/>
    <w:rsid w:val="427D40B5"/>
    <w:rsid w:val="42C27D1A"/>
    <w:rsid w:val="439B2A45"/>
    <w:rsid w:val="43B81849"/>
    <w:rsid w:val="44365E73"/>
    <w:rsid w:val="451F1453"/>
    <w:rsid w:val="45652C74"/>
    <w:rsid w:val="45763769"/>
    <w:rsid w:val="4597548E"/>
    <w:rsid w:val="45A02594"/>
    <w:rsid w:val="462F1B6A"/>
    <w:rsid w:val="464B7318"/>
    <w:rsid w:val="47217705"/>
    <w:rsid w:val="47FE35A2"/>
    <w:rsid w:val="4823125B"/>
    <w:rsid w:val="483671E0"/>
    <w:rsid w:val="48746863"/>
    <w:rsid w:val="48B12D0A"/>
    <w:rsid w:val="48B65D2E"/>
    <w:rsid w:val="49D071C0"/>
    <w:rsid w:val="49DE7B2F"/>
    <w:rsid w:val="49F424A8"/>
    <w:rsid w:val="49F904C5"/>
    <w:rsid w:val="4A1C2405"/>
    <w:rsid w:val="4ABB39CC"/>
    <w:rsid w:val="4AC9298F"/>
    <w:rsid w:val="4B335C59"/>
    <w:rsid w:val="4B493608"/>
    <w:rsid w:val="4B555BCF"/>
    <w:rsid w:val="4BCE14DD"/>
    <w:rsid w:val="4C39729F"/>
    <w:rsid w:val="4C9646F1"/>
    <w:rsid w:val="4D096C71"/>
    <w:rsid w:val="4D2B45C3"/>
    <w:rsid w:val="4DC94652"/>
    <w:rsid w:val="4DE4323A"/>
    <w:rsid w:val="4E061402"/>
    <w:rsid w:val="4E1E674C"/>
    <w:rsid w:val="4E45017D"/>
    <w:rsid w:val="4F26459F"/>
    <w:rsid w:val="4F512B51"/>
    <w:rsid w:val="4F6E3703"/>
    <w:rsid w:val="505C7A00"/>
    <w:rsid w:val="51465525"/>
    <w:rsid w:val="51EA1F63"/>
    <w:rsid w:val="524977E8"/>
    <w:rsid w:val="53227BED"/>
    <w:rsid w:val="53642E53"/>
    <w:rsid w:val="53BD6A07"/>
    <w:rsid w:val="550F5041"/>
    <w:rsid w:val="551560AA"/>
    <w:rsid w:val="55410F72"/>
    <w:rsid w:val="558E1B65"/>
    <w:rsid w:val="55A559A5"/>
    <w:rsid w:val="560B1CAC"/>
    <w:rsid w:val="564822B6"/>
    <w:rsid w:val="56E55F4F"/>
    <w:rsid w:val="57802226"/>
    <w:rsid w:val="57AD28EF"/>
    <w:rsid w:val="57D63BF4"/>
    <w:rsid w:val="583D0117"/>
    <w:rsid w:val="58B8779D"/>
    <w:rsid w:val="590D7AE9"/>
    <w:rsid w:val="59101387"/>
    <w:rsid w:val="598A113A"/>
    <w:rsid w:val="59AF0BA0"/>
    <w:rsid w:val="5A731BCE"/>
    <w:rsid w:val="5AA4622B"/>
    <w:rsid w:val="5AE26D53"/>
    <w:rsid w:val="5B372BFB"/>
    <w:rsid w:val="5BB85C75"/>
    <w:rsid w:val="5BD11AA4"/>
    <w:rsid w:val="5C4C0928"/>
    <w:rsid w:val="5D8C7ADA"/>
    <w:rsid w:val="5DF2411B"/>
    <w:rsid w:val="5FD17AC2"/>
    <w:rsid w:val="5FE95E21"/>
    <w:rsid w:val="601E5FEC"/>
    <w:rsid w:val="602776E2"/>
    <w:rsid w:val="60491497"/>
    <w:rsid w:val="607E751E"/>
    <w:rsid w:val="60A14042"/>
    <w:rsid w:val="60DA0450"/>
    <w:rsid w:val="61954B1F"/>
    <w:rsid w:val="624A590A"/>
    <w:rsid w:val="62960B4F"/>
    <w:rsid w:val="62966DA1"/>
    <w:rsid w:val="63D646CA"/>
    <w:rsid w:val="64137F7D"/>
    <w:rsid w:val="64801AB7"/>
    <w:rsid w:val="64D140C0"/>
    <w:rsid w:val="650C6EA7"/>
    <w:rsid w:val="656F7435"/>
    <w:rsid w:val="65856C59"/>
    <w:rsid w:val="65B37C6A"/>
    <w:rsid w:val="65C6799D"/>
    <w:rsid w:val="65D976D1"/>
    <w:rsid w:val="66680A54"/>
    <w:rsid w:val="66C961AA"/>
    <w:rsid w:val="6716225F"/>
    <w:rsid w:val="6731781D"/>
    <w:rsid w:val="67B664A1"/>
    <w:rsid w:val="67F26828"/>
    <w:rsid w:val="68095B31"/>
    <w:rsid w:val="688651C2"/>
    <w:rsid w:val="698B192D"/>
    <w:rsid w:val="6A2D2F30"/>
    <w:rsid w:val="6A721EA2"/>
    <w:rsid w:val="6AC4614D"/>
    <w:rsid w:val="6AF1726A"/>
    <w:rsid w:val="6B036F9E"/>
    <w:rsid w:val="6B2D6E6C"/>
    <w:rsid w:val="6B3C7DBA"/>
    <w:rsid w:val="6B6A2B79"/>
    <w:rsid w:val="6BC24763"/>
    <w:rsid w:val="6BC93D43"/>
    <w:rsid w:val="6BCF2DD3"/>
    <w:rsid w:val="6BD66460"/>
    <w:rsid w:val="6C1D5E3D"/>
    <w:rsid w:val="6CF920E8"/>
    <w:rsid w:val="6D800432"/>
    <w:rsid w:val="6DBB590E"/>
    <w:rsid w:val="6E35746E"/>
    <w:rsid w:val="6E8C1058"/>
    <w:rsid w:val="6ED00F45"/>
    <w:rsid w:val="6EDC3D8E"/>
    <w:rsid w:val="70B7060E"/>
    <w:rsid w:val="70CB230C"/>
    <w:rsid w:val="71662149"/>
    <w:rsid w:val="71CF1988"/>
    <w:rsid w:val="723143F0"/>
    <w:rsid w:val="72824C4C"/>
    <w:rsid w:val="72994DC2"/>
    <w:rsid w:val="72B648F6"/>
    <w:rsid w:val="733F0D8F"/>
    <w:rsid w:val="73B8604B"/>
    <w:rsid w:val="74145D78"/>
    <w:rsid w:val="74213FF1"/>
    <w:rsid w:val="74343D24"/>
    <w:rsid w:val="74505DF9"/>
    <w:rsid w:val="745443C6"/>
    <w:rsid w:val="75232716"/>
    <w:rsid w:val="75271ADB"/>
    <w:rsid w:val="75F06371"/>
    <w:rsid w:val="760B4F58"/>
    <w:rsid w:val="76497D1C"/>
    <w:rsid w:val="76A01B45"/>
    <w:rsid w:val="76AA4771"/>
    <w:rsid w:val="76CE249E"/>
    <w:rsid w:val="76F8372F"/>
    <w:rsid w:val="77112A42"/>
    <w:rsid w:val="77244524"/>
    <w:rsid w:val="778B00FF"/>
    <w:rsid w:val="779C055E"/>
    <w:rsid w:val="77EF68E0"/>
    <w:rsid w:val="780F6F82"/>
    <w:rsid w:val="784B19A6"/>
    <w:rsid w:val="791D56CF"/>
    <w:rsid w:val="794B223C"/>
    <w:rsid w:val="7A344A7E"/>
    <w:rsid w:val="7AB43E11"/>
    <w:rsid w:val="7B7F61CD"/>
    <w:rsid w:val="7BFF10BB"/>
    <w:rsid w:val="7C09018C"/>
    <w:rsid w:val="7C5C02BC"/>
    <w:rsid w:val="7DED1B13"/>
    <w:rsid w:val="7ECF76A3"/>
    <w:rsid w:val="7EEC1DCB"/>
    <w:rsid w:val="7F45772D"/>
    <w:rsid w:val="7F914720"/>
    <w:rsid w:val="FDBFCFE4"/>
    <w:rsid w:val="FFCCC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qFormat/>
    <w:uiPriority w:val="99"/>
    <w:rPr>
      <w:color w:val="0000FF"/>
      <w:u w:val="single"/>
    </w:rPr>
  </w:style>
  <w:style w:type="character" w:customStyle="1" w:styleId="11">
    <w:name w:val="页眉 字符"/>
    <w:link w:val="5"/>
    <w:qFormat/>
    <w:uiPriority w:val="99"/>
    <w:rPr>
      <w:sz w:val="18"/>
      <w:szCs w:val="18"/>
    </w:rPr>
  </w:style>
  <w:style w:type="character" w:customStyle="1" w:styleId="12">
    <w:name w:val="页脚 字符"/>
    <w:link w:val="4"/>
    <w:qFormat/>
    <w:uiPriority w:val="99"/>
    <w:rPr>
      <w:sz w:val="18"/>
      <w:szCs w:val="18"/>
    </w:rPr>
  </w:style>
  <w:style w:type="character" w:customStyle="1" w:styleId="13">
    <w:name w:val="日期 字符"/>
    <w:basedOn w:val="9"/>
    <w:link w:val="2"/>
    <w:semiHidden/>
    <w:qFormat/>
    <w:uiPriority w:val="99"/>
  </w:style>
  <w:style w:type="paragraph" w:styleId="14">
    <w:name w:val="List Paragraph"/>
    <w:basedOn w:val="1"/>
    <w:qFormat/>
    <w:uiPriority w:val="99"/>
    <w:pPr>
      <w:ind w:firstLine="420" w:firstLineChars="200"/>
    </w:pPr>
  </w:style>
  <w:style w:type="character" w:customStyle="1" w:styleId="15">
    <w:name w:val="批注框文本 字符"/>
    <w:link w:val="3"/>
    <w:semiHidden/>
    <w:qFormat/>
    <w:uiPriority w:val="99"/>
    <w:rPr>
      <w:kern w:val="2"/>
      <w:sz w:val="18"/>
      <w:szCs w:val="18"/>
    </w:rPr>
  </w:style>
  <w:style w:type="character" w:customStyle="1" w:styleId="16">
    <w:name w:val="未处理的提及1"/>
    <w:semiHidden/>
    <w:unhideWhenUsed/>
    <w:uiPriority w:val="99"/>
    <w:rPr>
      <w:color w:val="605E5C"/>
      <w:shd w:val="clear" w:color="auto" w:fill="E1DFDD"/>
    </w:rPr>
  </w:style>
  <w:style w:type="character" w:customStyle="1" w:styleId="17">
    <w:name w:val="Unresolved Mention"/>
    <w:semiHidden/>
    <w:unhideWhenUsed/>
    <w:uiPriority w:val="99"/>
    <w:rPr>
      <w:color w:val="605E5C"/>
      <w:shd w:val="clear" w:color="auto" w:fill="E1DFDD"/>
    </w:rPr>
  </w:style>
  <w:style w:type="paragraph" w:customStyle="1" w:styleId="18">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5445</Words>
  <Characters>5828</Characters>
  <Lines>233</Lines>
  <Paragraphs>170</Paragraphs>
  <TotalTime>8</TotalTime>
  <ScaleCrop>false</ScaleCrop>
  <LinksUpToDate>false</LinksUpToDate>
  <CharactersWithSpaces>11103</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2025-05-22T14:15:00Z</dcterms:created>
  <dc:creator>Administrator</dc:creator>
  <cp:lastModifiedBy>dzm</cp:lastModifiedBy>
  <dcterms:modified xsi:type="dcterms:W3CDTF">2025-05-26T16:03:09Z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173635396CD97A4035203468E00D563F_43</vt:lpwstr>
  </property>
</Properties>
</file>