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华文中宋" w:hAnsi="华文中宋" w:eastAsia="华文中宋"/>
          <w:b/>
          <w:sz w:val="44"/>
          <w:szCs w:val="44"/>
        </w:rPr>
      </w:pPr>
      <w:r>
        <w:rPr>
          <w:rFonts w:hint="eastAsia" w:ascii="华文中宋" w:hAnsi="华文中宋" w:eastAsia="华文中宋"/>
          <w:b/>
          <w:sz w:val="44"/>
          <w:szCs w:val="44"/>
        </w:rPr>
        <w:t>浙 江 省 杭 州 市 中 级 人 民 法 院</w:t>
      </w:r>
    </w:p>
    <w:p>
      <w:pPr>
        <w:spacing w:line="560" w:lineRule="exact"/>
        <w:jc w:val="center"/>
        <w:rPr>
          <w:rFonts w:ascii="华文中宋" w:hAnsi="华文中宋" w:eastAsia="华文中宋"/>
          <w:b/>
          <w:sz w:val="32"/>
          <w:szCs w:val="32"/>
        </w:rPr>
      </w:pPr>
    </w:p>
    <w:p>
      <w:pPr>
        <w:spacing w:line="560" w:lineRule="exact"/>
        <w:jc w:val="center"/>
        <w:rPr>
          <w:rFonts w:asciiTheme="majorEastAsia" w:hAnsiTheme="majorEastAsia" w:eastAsiaTheme="majorEastAsia"/>
          <w:b/>
          <w:sz w:val="44"/>
          <w:szCs w:val="44"/>
        </w:rPr>
      </w:pPr>
      <w:r>
        <w:rPr>
          <w:rFonts w:hint="eastAsia" w:ascii="华文中宋" w:hAnsi="华文中宋" w:eastAsia="华文中宋"/>
          <w:b/>
          <w:sz w:val="44"/>
          <w:szCs w:val="44"/>
        </w:rPr>
        <w:t>公 告</w:t>
      </w:r>
    </w:p>
    <w:p>
      <w:pPr>
        <w:rPr>
          <w:rFonts w:ascii="华文仿宋" w:hAnsi="华文仿宋" w:eastAsia="华文仿宋"/>
          <w:sz w:val="28"/>
          <w:szCs w:val="28"/>
          <w:lang w:val="en-GB"/>
        </w:rPr>
      </w:pPr>
    </w:p>
    <w:p>
      <w:pPr>
        <w:jc w:val="right"/>
        <w:rPr>
          <w:rFonts w:ascii="华文仿宋" w:hAnsi="华文仿宋" w:eastAsia="华文仿宋"/>
          <w:sz w:val="28"/>
          <w:szCs w:val="28"/>
          <w:lang w:val="en-GB"/>
        </w:rPr>
      </w:pPr>
      <w:r>
        <w:rPr>
          <w:rFonts w:hint="eastAsia" w:ascii="华文仿宋" w:hAnsi="华文仿宋" w:eastAsia="华文仿宋"/>
          <w:sz w:val="28"/>
          <w:szCs w:val="28"/>
          <w:lang w:val="en-GB"/>
        </w:rPr>
        <w:t>（2025）浙01破</w:t>
      </w:r>
      <w:r>
        <w:rPr>
          <w:rFonts w:hint="eastAsia" w:ascii="华文仿宋" w:hAnsi="华文仿宋" w:eastAsia="华文仿宋"/>
          <w:sz w:val="28"/>
          <w:szCs w:val="28"/>
          <w:lang w:val="en-US" w:eastAsia="zh-CN"/>
        </w:rPr>
        <w:t>55</w:t>
      </w:r>
      <w:r>
        <w:rPr>
          <w:rFonts w:hint="eastAsia" w:ascii="华文仿宋" w:hAnsi="华文仿宋" w:eastAsia="华文仿宋"/>
          <w:sz w:val="28"/>
          <w:szCs w:val="28"/>
          <w:lang w:val="en-GB"/>
        </w:rPr>
        <w:t>号</w:t>
      </w:r>
    </w:p>
    <w:p>
      <w:pPr>
        <w:spacing w:line="600" w:lineRule="exact"/>
        <w:ind w:right="-197" w:rightChars="-94" w:firstLine="560" w:firstLineChars="200"/>
        <w:rPr>
          <w:rFonts w:ascii="华文仿宋" w:hAnsi="华文仿宋" w:eastAsia="华文仿宋"/>
          <w:sz w:val="28"/>
          <w:szCs w:val="28"/>
          <w:lang w:val="en-GB"/>
        </w:rPr>
      </w:pPr>
      <w:r>
        <w:rPr>
          <w:rFonts w:hint="eastAsia" w:ascii="华文仿宋" w:hAnsi="华文仿宋" w:eastAsia="华文仿宋"/>
          <w:sz w:val="28"/>
          <w:szCs w:val="28"/>
          <w:lang w:val="en-GB" w:eastAsia="zh-CN"/>
        </w:rPr>
        <w:t>2025年4月25日，本院裁定受理债务人杭州山葵家餐饮管理有限公司破产清算一案，并于202</w:t>
      </w:r>
      <w:r>
        <w:rPr>
          <w:rFonts w:hint="eastAsia" w:ascii="华文仿宋" w:hAnsi="华文仿宋" w:eastAsia="华文仿宋"/>
          <w:sz w:val="28"/>
          <w:szCs w:val="28"/>
          <w:lang w:val="en-US" w:eastAsia="zh-CN"/>
        </w:rPr>
        <w:t>5</w:t>
      </w:r>
      <w:r>
        <w:rPr>
          <w:rFonts w:hint="eastAsia" w:ascii="华文仿宋" w:hAnsi="华文仿宋" w:eastAsia="华文仿宋"/>
          <w:sz w:val="28"/>
          <w:szCs w:val="28"/>
          <w:lang w:val="en-GB" w:eastAsia="zh-CN"/>
        </w:rPr>
        <w:t>年</w:t>
      </w:r>
      <w:r>
        <w:rPr>
          <w:rFonts w:hint="eastAsia" w:ascii="华文仿宋" w:hAnsi="华文仿宋" w:eastAsia="华文仿宋"/>
          <w:sz w:val="28"/>
          <w:szCs w:val="28"/>
          <w:lang w:val="en-US" w:eastAsia="zh-CN"/>
        </w:rPr>
        <w:t>5</w:t>
      </w:r>
      <w:r>
        <w:rPr>
          <w:rFonts w:hint="eastAsia" w:ascii="华文仿宋" w:hAnsi="华文仿宋" w:eastAsia="华文仿宋"/>
          <w:sz w:val="28"/>
          <w:szCs w:val="28"/>
          <w:lang w:val="en-GB" w:eastAsia="zh-CN"/>
        </w:rPr>
        <w:t>月</w:t>
      </w:r>
      <w:r>
        <w:rPr>
          <w:rFonts w:hint="eastAsia" w:ascii="华文仿宋" w:hAnsi="华文仿宋" w:eastAsia="华文仿宋"/>
          <w:sz w:val="28"/>
          <w:szCs w:val="28"/>
          <w:lang w:val="en-US" w:eastAsia="zh-CN"/>
        </w:rPr>
        <w:t>19</w:t>
      </w:r>
      <w:r>
        <w:rPr>
          <w:rFonts w:hint="eastAsia" w:ascii="华文仿宋" w:hAnsi="华文仿宋" w:eastAsia="华文仿宋"/>
          <w:sz w:val="28"/>
          <w:szCs w:val="28"/>
          <w:lang w:val="en-GB" w:eastAsia="zh-CN"/>
        </w:rPr>
        <w:t>日指定上海申浩（杭州）律师事务所</w:t>
      </w:r>
      <w:r>
        <w:rPr>
          <w:rFonts w:hint="eastAsia" w:ascii="华文仿宋" w:hAnsi="华文仿宋" w:eastAsia="华文仿宋"/>
          <w:sz w:val="28"/>
          <w:szCs w:val="28"/>
          <w:lang w:val="zh-CN" w:eastAsia="zh-CN"/>
        </w:rPr>
        <w:t>担任</w:t>
      </w:r>
      <w:r>
        <w:rPr>
          <w:rFonts w:hint="eastAsia" w:ascii="华文仿宋" w:hAnsi="华文仿宋" w:eastAsia="华文仿宋"/>
          <w:sz w:val="28"/>
          <w:szCs w:val="28"/>
          <w:lang w:val="en-GB" w:eastAsia="zh-CN"/>
        </w:rPr>
        <w:t>杭州山葵家餐饮管理有限公司管理人。杭州山葵家餐饮管理有限公司的债权人应在202</w:t>
      </w:r>
      <w:r>
        <w:rPr>
          <w:rFonts w:hint="eastAsia" w:ascii="华文仿宋" w:hAnsi="华文仿宋" w:eastAsia="华文仿宋"/>
          <w:sz w:val="28"/>
          <w:szCs w:val="28"/>
          <w:lang w:val="en-US" w:eastAsia="zh-CN"/>
        </w:rPr>
        <w:t>5</w:t>
      </w:r>
      <w:r>
        <w:rPr>
          <w:rFonts w:hint="eastAsia" w:ascii="华文仿宋" w:hAnsi="华文仿宋" w:eastAsia="华文仿宋"/>
          <w:sz w:val="28"/>
          <w:szCs w:val="28"/>
          <w:lang w:val="en-GB" w:eastAsia="zh-CN"/>
        </w:rPr>
        <w:t>年</w:t>
      </w:r>
      <w:r>
        <w:rPr>
          <w:rFonts w:hint="eastAsia" w:ascii="华文仿宋" w:hAnsi="华文仿宋" w:eastAsia="华文仿宋"/>
          <w:sz w:val="28"/>
          <w:szCs w:val="28"/>
          <w:lang w:val="en-US" w:eastAsia="zh-CN"/>
        </w:rPr>
        <w:t>7</w:t>
      </w:r>
      <w:r>
        <w:rPr>
          <w:rFonts w:hint="eastAsia" w:ascii="华文仿宋" w:hAnsi="华文仿宋" w:eastAsia="华文仿宋"/>
          <w:sz w:val="28"/>
          <w:szCs w:val="28"/>
          <w:lang w:val="en-GB" w:eastAsia="zh-CN"/>
        </w:rPr>
        <w:t>月</w:t>
      </w:r>
      <w:r>
        <w:rPr>
          <w:rFonts w:hint="eastAsia" w:ascii="华文仿宋" w:hAnsi="华文仿宋" w:eastAsia="华文仿宋"/>
          <w:sz w:val="28"/>
          <w:szCs w:val="28"/>
          <w:lang w:val="en-US" w:eastAsia="zh-CN"/>
        </w:rPr>
        <w:t>17</w:t>
      </w:r>
      <w:r>
        <w:rPr>
          <w:rFonts w:hint="eastAsia" w:ascii="华文仿宋" w:hAnsi="华文仿宋" w:eastAsia="华文仿宋"/>
          <w:sz w:val="28"/>
          <w:szCs w:val="28"/>
          <w:lang w:val="en-GB" w:eastAsia="zh-CN"/>
        </w:rPr>
        <w:t>日前向管理人（管理人联系方式：15924125588，吴</w:t>
      </w:r>
      <w:bookmarkStart w:id="0" w:name="_GoBack"/>
      <w:bookmarkEnd w:id="0"/>
      <w:r>
        <w:rPr>
          <w:rFonts w:hint="eastAsia" w:ascii="华文仿宋" w:hAnsi="华文仿宋" w:eastAsia="华文仿宋"/>
          <w:sz w:val="28"/>
          <w:szCs w:val="28"/>
          <w:lang w:val="en-GB" w:eastAsia="zh-CN"/>
        </w:rPr>
        <w:t>律师；地址：杭州市上城区民心路280号平安金融中心A座28层）邮寄或现场申报债权，</w:t>
      </w:r>
      <w:r>
        <w:rPr>
          <w:rFonts w:hint="eastAsia" w:ascii="华文仿宋" w:hAnsi="华文仿宋" w:eastAsia="华文仿宋"/>
          <w:sz w:val="28"/>
          <w:szCs w:val="28"/>
          <w:lang w:val="en-GB"/>
        </w:rPr>
        <w:t>书面说明债权数额、有无财产担保及是否属于连带债权，并提供相关证据材料。</w:t>
      </w:r>
      <w:r>
        <w:rPr>
          <w:rFonts w:ascii="华文仿宋" w:hAnsi="华文仿宋" w:eastAsia="华文仿宋"/>
          <w:sz w:val="28"/>
          <w:szCs w:val="28"/>
          <w:lang w:val="en-GB"/>
        </w:rPr>
        <w:t>未在上述期限内申报债权的，可</w:t>
      </w:r>
      <w:r>
        <w:rPr>
          <w:rFonts w:hint="eastAsia" w:ascii="华文仿宋" w:hAnsi="华文仿宋" w:eastAsia="华文仿宋"/>
          <w:sz w:val="28"/>
          <w:szCs w:val="28"/>
          <w:lang w:val="en-GB"/>
        </w:rPr>
        <w:t>在破产财产最后分配前补充申报，但对此前已进行的分配无权要求补充分配，同时应承担为审查和确认补充申报债权所产生的费用。未申报债权的，不得依照《中华人民共和国企业破产法》规定的程序行使权利。</w:t>
      </w:r>
    </w:p>
    <w:p>
      <w:pPr>
        <w:spacing w:line="600" w:lineRule="exact"/>
        <w:ind w:right="-197" w:rightChars="-94" w:firstLine="560" w:firstLineChars="200"/>
        <w:rPr>
          <w:rFonts w:hint="eastAsia" w:ascii="华文仿宋" w:hAnsi="华文仿宋" w:eastAsia="华文仿宋"/>
          <w:sz w:val="28"/>
          <w:szCs w:val="28"/>
          <w:lang w:val="en-GB"/>
        </w:rPr>
      </w:pPr>
      <w:r>
        <w:rPr>
          <w:rFonts w:hint="eastAsia" w:ascii="华文仿宋" w:hAnsi="华文仿宋" w:eastAsia="华文仿宋"/>
          <w:sz w:val="28"/>
          <w:szCs w:val="28"/>
          <w:lang w:val="en-GB" w:eastAsia="zh-CN"/>
        </w:rPr>
        <w:t>杭州山葵家餐饮管理有限公司</w:t>
      </w:r>
      <w:r>
        <w:rPr>
          <w:rFonts w:hint="eastAsia" w:ascii="华文仿宋" w:hAnsi="华文仿宋" w:eastAsia="华文仿宋"/>
          <w:sz w:val="28"/>
          <w:szCs w:val="28"/>
          <w:lang w:val="en-GB"/>
        </w:rPr>
        <w:t>的债务人或者财产持有人应当尽快向</w:t>
      </w:r>
      <w:r>
        <w:rPr>
          <w:rFonts w:hint="eastAsia" w:ascii="华文仿宋" w:hAnsi="华文仿宋" w:eastAsia="华文仿宋"/>
          <w:sz w:val="28"/>
          <w:szCs w:val="28"/>
          <w:lang w:val="zh-CN" w:eastAsia="zh-CN"/>
        </w:rPr>
        <w:t>杭州钜焱科技有限公司</w:t>
      </w:r>
      <w:r>
        <w:rPr>
          <w:rFonts w:hint="eastAsia" w:ascii="华文仿宋" w:hAnsi="华文仿宋" w:eastAsia="华文仿宋"/>
          <w:sz w:val="28"/>
          <w:szCs w:val="28"/>
          <w:lang w:val="en-GB"/>
        </w:rPr>
        <w:t>管理人清偿债务或交付财产。</w:t>
      </w:r>
    </w:p>
    <w:p>
      <w:pPr>
        <w:spacing w:line="600" w:lineRule="exact"/>
        <w:ind w:right="-197" w:rightChars="-94" w:firstLine="560" w:firstLineChars="200"/>
        <w:rPr>
          <w:rFonts w:hint="eastAsia" w:ascii="华文仿宋" w:hAnsi="华文仿宋" w:eastAsia="华文仿宋"/>
          <w:sz w:val="28"/>
          <w:szCs w:val="28"/>
          <w:lang w:val="zh-CN" w:eastAsia="zh-CN"/>
        </w:rPr>
      </w:pPr>
      <w:r>
        <w:rPr>
          <w:rFonts w:hint="eastAsia" w:ascii="华文仿宋" w:hAnsi="华文仿宋" w:eastAsia="华文仿宋"/>
          <w:sz w:val="28"/>
          <w:szCs w:val="28"/>
          <w:lang w:val="en-GB" w:eastAsia="zh-CN"/>
        </w:rPr>
        <w:t>杭州山葵家餐饮管理有限公司</w:t>
      </w:r>
      <w:r>
        <w:rPr>
          <w:rFonts w:hint="eastAsia" w:ascii="华文仿宋" w:hAnsi="华文仿宋" w:eastAsia="华文仿宋"/>
          <w:sz w:val="28"/>
          <w:szCs w:val="28"/>
          <w:lang w:val="zh-CN" w:eastAsia="zh-CN"/>
        </w:rPr>
        <w:t>应当自公告之日起十五日内，向本院提交财产状况说明、债务清册、债权清册、有关财务会计报告以及职工工资的支付和社会保险费用的缴纳情况。</w:t>
      </w:r>
    </w:p>
    <w:p>
      <w:pPr>
        <w:spacing w:line="600" w:lineRule="exact"/>
        <w:ind w:right="-197" w:rightChars="-94" w:firstLine="560" w:firstLineChars="200"/>
        <w:rPr>
          <w:rFonts w:hint="eastAsia" w:ascii="华文仿宋" w:hAnsi="华文仿宋" w:eastAsia="华文仿宋"/>
          <w:sz w:val="28"/>
          <w:szCs w:val="28"/>
          <w:lang w:val="zh-CN" w:eastAsia="zh-CN"/>
        </w:rPr>
      </w:pPr>
      <w:r>
        <w:rPr>
          <w:rFonts w:hint="eastAsia" w:ascii="华文仿宋" w:hAnsi="华文仿宋" w:eastAsia="华文仿宋"/>
          <w:sz w:val="28"/>
          <w:szCs w:val="28"/>
          <w:lang w:val="en-GB" w:eastAsia="zh-CN"/>
        </w:rPr>
        <w:t>杭州山葵家餐饮管理有限公司的法定代表人、股东、财务管理人员和其他经营管理人员，在破产程序终结前，应承担下列义务：（一）妥善保管其占有和管理的财产、印章和账簿、文书等资料；（二）根据人民法院、管理人的要求进行工作，并如实回答询问；（三）根据人民法院、管理人要求列席债权人会议并如实回答债权人的询问；（四）未经人民法院许可，不得离开住所地；（五）不得新任其他企业的董事、监事、高级管理人员。管理人接管时，法定代表人应向管理人办理移交手续，并答复有关财产及业务的询问。</w:t>
      </w:r>
    </w:p>
    <w:p>
      <w:pPr>
        <w:spacing w:line="600" w:lineRule="exact"/>
        <w:ind w:right="-197" w:rightChars="-94" w:firstLine="560" w:firstLineChars="200"/>
        <w:rPr>
          <w:rFonts w:ascii="华文仿宋" w:hAnsi="华文仿宋" w:eastAsia="华文仿宋"/>
          <w:sz w:val="28"/>
          <w:szCs w:val="28"/>
          <w:lang w:val="en-GB"/>
        </w:rPr>
      </w:pPr>
      <w:r>
        <w:rPr>
          <w:rFonts w:hint="eastAsia" w:ascii="华文仿宋" w:hAnsi="华文仿宋" w:eastAsia="华文仿宋"/>
          <w:sz w:val="28"/>
          <w:szCs w:val="28"/>
          <w:lang w:val="en-GB" w:eastAsia="zh-CN"/>
        </w:rPr>
        <w:t>杭州山葵家餐饮管理有限公司</w:t>
      </w:r>
      <w:r>
        <w:rPr>
          <w:rFonts w:hint="eastAsia" w:ascii="华文仿宋" w:hAnsi="华文仿宋" w:eastAsia="华文仿宋"/>
          <w:sz w:val="28"/>
          <w:szCs w:val="28"/>
          <w:lang w:val="en-GB"/>
        </w:rPr>
        <w:t>的股东在破产受理日之前若尚未实缴注册资本的，应当自公告之日起十五日内向管理人缴纳所认缴的出资。</w:t>
      </w:r>
    </w:p>
    <w:p>
      <w:pPr>
        <w:spacing w:line="600" w:lineRule="exact"/>
        <w:ind w:right="-197" w:rightChars="-94" w:firstLine="560" w:firstLineChars="200"/>
        <w:rPr>
          <w:rFonts w:ascii="华文仿宋" w:hAnsi="华文仿宋" w:eastAsia="华文仿宋"/>
          <w:sz w:val="28"/>
          <w:szCs w:val="28"/>
          <w:lang w:val="en-GB"/>
        </w:rPr>
      </w:pPr>
      <w:r>
        <w:rPr>
          <w:rFonts w:hint="eastAsia" w:ascii="华文仿宋" w:hAnsi="华文仿宋" w:eastAsia="华文仿宋"/>
          <w:sz w:val="28"/>
          <w:szCs w:val="28"/>
          <w:lang w:val="en-GB"/>
        </w:rPr>
        <w:t>本院定于202</w:t>
      </w:r>
      <w:r>
        <w:rPr>
          <w:rFonts w:hint="eastAsia" w:ascii="华文仿宋" w:hAnsi="华文仿宋" w:eastAsia="华文仿宋"/>
          <w:sz w:val="28"/>
          <w:szCs w:val="28"/>
          <w:lang w:val="en-US" w:eastAsia="zh-CN"/>
        </w:rPr>
        <w:t>5</w:t>
      </w:r>
      <w:r>
        <w:rPr>
          <w:rFonts w:hint="eastAsia" w:ascii="华文仿宋" w:hAnsi="华文仿宋" w:eastAsia="华文仿宋"/>
          <w:sz w:val="28"/>
          <w:szCs w:val="28"/>
          <w:lang w:val="en-GB"/>
        </w:rPr>
        <w:t>年</w:t>
      </w:r>
      <w:r>
        <w:rPr>
          <w:rFonts w:hint="eastAsia" w:ascii="华文仿宋" w:hAnsi="华文仿宋" w:eastAsia="华文仿宋"/>
          <w:sz w:val="28"/>
          <w:szCs w:val="28"/>
          <w:lang w:val="en-US" w:eastAsia="zh-CN"/>
        </w:rPr>
        <w:t>7</w:t>
      </w:r>
      <w:r>
        <w:rPr>
          <w:rFonts w:hint="eastAsia" w:ascii="华文仿宋" w:hAnsi="华文仿宋" w:eastAsia="华文仿宋"/>
          <w:sz w:val="28"/>
          <w:szCs w:val="28"/>
          <w:lang w:val="en-GB"/>
        </w:rPr>
        <w:t>月</w:t>
      </w:r>
      <w:r>
        <w:rPr>
          <w:rFonts w:hint="eastAsia" w:ascii="华文仿宋" w:hAnsi="华文仿宋" w:eastAsia="华文仿宋"/>
          <w:sz w:val="28"/>
          <w:szCs w:val="28"/>
          <w:lang w:val="en-US" w:eastAsia="zh-CN"/>
        </w:rPr>
        <w:t>31</w:t>
      </w:r>
      <w:r>
        <w:rPr>
          <w:rFonts w:hint="eastAsia" w:ascii="华文仿宋" w:hAnsi="华文仿宋" w:eastAsia="华文仿宋"/>
          <w:sz w:val="28"/>
          <w:szCs w:val="28"/>
          <w:lang w:val="en-GB"/>
        </w:rPr>
        <w:t>日</w:t>
      </w:r>
      <w:r>
        <w:rPr>
          <w:rFonts w:hint="eastAsia" w:ascii="华文仿宋" w:hAnsi="华文仿宋" w:eastAsia="华文仿宋"/>
          <w:sz w:val="28"/>
          <w:szCs w:val="28"/>
          <w:lang w:val="en-GB" w:eastAsia="zh-CN"/>
        </w:rPr>
        <w:t>上</w:t>
      </w:r>
      <w:r>
        <w:rPr>
          <w:rFonts w:hint="eastAsia" w:ascii="华文仿宋" w:hAnsi="华文仿宋" w:eastAsia="华文仿宋"/>
          <w:sz w:val="28"/>
          <w:szCs w:val="28"/>
          <w:lang w:val="en-GB"/>
        </w:rPr>
        <w:t>午</w:t>
      </w:r>
      <w:r>
        <w:rPr>
          <w:rFonts w:hint="eastAsia" w:ascii="华文仿宋" w:hAnsi="华文仿宋" w:eastAsia="华文仿宋"/>
          <w:sz w:val="28"/>
          <w:szCs w:val="28"/>
          <w:lang w:val="en-US" w:eastAsia="zh-CN"/>
        </w:rPr>
        <w:t>9</w:t>
      </w:r>
      <w:r>
        <w:rPr>
          <w:rFonts w:hint="eastAsia" w:ascii="华文仿宋" w:hAnsi="华文仿宋" w:eastAsia="华文仿宋"/>
          <w:sz w:val="28"/>
          <w:szCs w:val="28"/>
          <w:lang w:val="en-GB"/>
        </w:rPr>
        <w:t>时30分以网络会议方式</w:t>
      </w:r>
      <w:r>
        <w:rPr>
          <w:rFonts w:hint="eastAsia" w:ascii="华文仿宋" w:hAnsi="华文仿宋" w:eastAsia="华文仿宋"/>
          <w:sz w:val="28"/>
          <w:szCs w:val="28"/>
          <w:lang w:val="en-GB" w:eastAsia="zh-CN"/>
        </w:rPr>
        <w:t>或者在三庭第</w:t>
      </w:r>
      <w:r>
        <w:rPr>
          <w:rFonts w:hint="eastAsia" w:ascii="华文仿宋" w:hAnsi="华文仿宋" w:eastAsia="华文仿宋"/>
          <w:sz w:val="28"/>
          <w:szCs w:val="28"/>
          <w:lang w:val="en-US" w:eastAsia="zh-CN"/>
        </w:rPr>
        <w:t>6法庭</w:t>
      </w:r>
      <w:r>
        <w:rPr>
          <w:rFonts w:ascii="华文仿宋" w:hAnsi="华文仿宋" w:eastAsia="华文仿宋"/>
          <w:sz w:val="28"/>
          <w:szCs w:val="28"/>
          <w:lang w:val="en-GB"/>
        </w:rPr>
        <w:t>召开第一次债权人会议</w:t>
      </w:r>
      <w:r>
        <w:rPr>
          <w:rFonts w:hint="eastAsia" w:ascii="华文仿宋" w:hAnsi="华文仿宋" w:eastAsia="华文仿宋"/>
          <w:sz w:val="28"/>
          <w:szCs w:val="28"/>
          <w:lang w:val="en-GB"/>
        </w:rPr>
        <w:t>，具体参会</w:t>
      </w:r>
      <w:r>
        <w:rPr>
          <w:rFonts w:hint="eastAsia" w:ascii="华文仿宋" w:hAnsi="华文仿宋" w:eastAsia="华文仿宋"/>
          <w:sz w:val="28"/>
          <w:szCs w:val="28"/>
          <w:lang w:val="en-GB" w:eastAsia="zh-CN"/>
        </w:rPr>
        <w:t>形式</w:t>
      </w:r>
      <w:r>
        <w:rPr>
          <w:rFonts w:hint="eastAsia" w:ascii="华文仿宋" w:hAnsi="华文仿宋" w:eastAsia="华文仿宋"/>
          <w:sz w:val="28"/>
          <w:szCs w:val="28"/>
          <w:lang w:val="en-GB"/>
        </w:rPr>
        <w:t>由管理人另行通知。依法申报债权的债权人有权参加债权人会议。债权人系法人或其他组织的，应提交营业执照或登记证书，以及法定代表人或负责人身份证明。债权人系自然人的，应提交自然人身份证明。债权人委托代理人出席会议的，应提交债权人签署的特别授权委托书及委托代理人身份证明或律师执业证。委托代理人系律师的，还应提交律师事务所指派函。</w:t>
      </w:r>
    </w:p>
    <w:p>
      <w:pPr>
        <w:spacing w:line="600" w:lineRule="exact"/>
        <w:ind w:right="-197" w:rightChars="-94" w:firstLine="560" w:firstLineChars="200"/>
        <w:rPr>
          <w:rFonts w:ascii="华文仿宋" w:hAnsi="华文仿宋" w:eastAsia="华文仿宋"/>
          <w:sz w:val="28"/>
          <w:szCs w:val="28"/>
          <w:lang w:val="en-GB"/>
        </w:rPr>
      </w:pPr>
      <w:r>
        <w:rPr>
          <w:rFonts w:hint="eastAsia" w:ascii="华文仿宋" w:hAnsi="华文仿宋" w:eastAsia="华文仿宋"/>
          <w:sz w:val="28"/>
          <w:szCs w:val="28"/>
          <w:lang w:val="en-GB"/>
        </w:rPr>
        <w:t>特此公告</w:t>
      </w:r>
    </w:p>
    <w:p>
      <w:pPr>
        <w:ind w:right="640"/>
        <w:jc w:val="right"/>
        <w:rPr>
          <w:rFonts w:ascii="华文仿宋" w:hAnsi="华文仿宋" w:eastAsia="华文仿宋"/>
          <w:sz w:val="28"/>
          <w:szCs w:val="28"/>
          <w:lang w:val="en-GB"/>
        </w:rPr>
      </w:pPr>
    </w:p>
    <w:p>
      <w:pPr>
        <w:ind w:right="640"/>
        <w:jc w:val="right"/>
        <w:rPr>
          <w:rFonts w:ascii="华文仿宋" w:hAnsi="华文仿宋" w:eastAsia="华文仿宋"/>
          <w:sz w:val="28"/>
          <w:szCs w:val="28"/>
          <w:lang w:val="en-GB"/>
        </w:rPr>
      </w:pPr>
    </w:p>
    <w:p>
      <w:pPr>
        <w:ind w:right="640"/>
        <w:jc w:val="right"/>
      </w:pPr>
      <w:r>
        <w:rPr>
          <w:rFonts w:hint="eastAsia" w:ascii="华文仿宋" w:hAnsi="华文仿宋" w:eastAsia="华文仿宋"/>
          <w:sz w:val="28"/>
          <w:szCs w:val="28"/>
          <w:lang w:val="en-GB"/>
        </w:rPr>
        <w:t>202</w:t>
      </w:r>
      <w:r>
        <w:rPr>
          <w:rFonts w:hint="eastAsia" w:ascii="华文仿宋" w:hAnsi="华文仿宋" w:eastAsia="华文仿宋"/>
          <w:sz w:val="28"/>
          <w:szCs w:val="28"/>
          <w:lang w:val="en-US" w:eastAsia="zh-CN"/>
        </w:rPr>
        <w:t>5</w:t>
      </w:r>
      <w:r>
        <w:rPr>
          <w:rFonts w:hint="eastAsia" w:ascii="华文仿宋" w:hAnsi="华文仿宋" w:eastAsia="华文仿宋"/>
          <w:sz w:val="28"/>
          <w:szCs w:val="28"/>
          <w:lang w:val="en-GB"/>
        </w:rPr>
        <w:t>年</w:t>
      </w:r>
      <w:r>
        <w:rPr>
          <w:rFonts w:hint="eastAsia" w:ascii="华文仿宋" w:hAnsi="华文仿宋" w:eastAsia="华文仿宋"/>
          <w:sz w:val="28"/>
          <w:szCs w:val="28"/>
          <w:lang w:val="en-US" w:eastAsia="zh-CN"/>
        </w:rPr>
        <w:t>5</w:t>
      </w:r>
      <w:r>
        <w:rPr>
          <w:rFonts w:hint="eastAsia" w:ascii="华文仿宋" w:hAnsi="华文仿宋" w:eastAsia="华文仿宋"/>
          <w:sz w:val="28"/>
          <w:szCs w:val="28"/>
          <w:lang w:val="en-GB"/>
        </w:rPr>
        <w:t>月</w:t>
      </w:r>
      <w:r>
        <w:rPr>
          <w:rFonts w:hint="eastAsia" w:ascii="华文仿宋" w:hAnsi="华文仿宋" w:eastAsia="华文仿宋"/>
          <w:sz w:val="28"/>
          <w:szCs w:val="28"/>
          <w:lang w:val="en-US" w:eastAsia="zh-CN"/>
        </w:rPr>
        <w:t>20</w:t>
      </w:r>
      <w:r>
        <w:rPr>
          <w:rFonts w:hint="eastAsia" w:ascii="华文仿宋" w:hAnsi="华文仿宋" w:eastAsia="华文仿宋"/>
          <w:sz w:val="28"/>
          <w:szCs w:val="28"/>
          <w:lang w:val="en-GB"/>
        </w:rPr>
        <w:t xml:space="preserve">日      </w:t>
      </w:r>
      <w:r>
        <w:rPr>
          <w:rFonts w:hint="eastAsia" w:ascii="仿宋" w:hAnsi="仿宋" w:eastAsia="仿宋"/>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仿宋">
    <w:altName w:val="方正仿宋_GBK"/>
    <w:panose1 w:val="02010600040101010101"/>
    <w:charset w:val="86"/>
    <w:family w:val="auto"/>
    <w:pitch w:val="default"/>
    <w:sig w:usb0="00000000" w:usb1="00000000" w:usb2="00000010" w:usb3="00000000" w:csb0="0004009F"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06B1"/>
    <w:rsid w:val="00032BD5"/>
    <w:rsid w:val="000A0EDF"/>
    <w:rsid w:val="000C4E5C"/>
    <w:rsid w:val="000D5E4A"/>
    <w:rsid w:val="00113A18"/>
    <w:rsid w:val="00124057"/>
    <w:rsid w:val="0014533A"/>
    <w:rsid w:val="001A42D5"/>
    <w:rsid w:val="001A5CC3"/>
    <w:rsid w:val="001A5D7F"/>
    <w:rsid w:val="001C4E05"/>
    <w:rsid w:val="001D6B01"/>
    <w:rsid w:val="00202091"/>
    <w:rsid w:val="0022774B"/>
    <w:rsid w:val="002354C0"/>
    <w:rsid w:val="00237AA8"/>
    <w:rsid w:val="00242DD4"/>
    <w:rsid w:val="00243F1F"/>
    <w:rsid w:val="00251FF6"/>
    <w:rsid w:val="002568DC"/>
    <w:rsid w:val="00270D31"/>
    <w:rsid w:val="00282503"/>
    <w:rsid w:val="00286E8B"/>
    <w:rsid w:val="00291E3E"/>
    <w:rsid w:val="002C0600"/>
    <w:rsid w:val="002E40B1"/>
    <w:rsid w:val="00305FB3"/>
    <w:rsid w:val="00312A89"/>
    <w:rsid w:val="00321EAE"/>
    <w:rsid w:val="00384388"/>
    <w:rsid w:val="003B1698"/>
    <w:rsid w:val="003D6D1F"/>
    <w:rsid w:val="004250DC"/>
    <w:rsid w:val="00447AEF"/>
    <w:rsid w:val="00447D64"/>
    <w:rsid w:val="00464BC6"/>
    <w:rsid w:val="004A0CCC"/>
    <w:rsid w:val="004F4979"/>
    <w:rsid w:val="004F5FC0"/>
    <w:rsid w:val="00530CD1"/>
    <w:rsid w:val="005345B7"/>
    <w:rsid w:val="005506B1"/>
    <w:rsid w:val="005A593E"/>
    <w:rsid w:val="005B09B1"/>
    <w:rsid w:val="005B5605"/>
    <w:rsid w:val="00606069"/>
    <w:rsid w:val="00606525"/>
    <w:rsid w:val="00626C25"/>
    <w:rsid w:val="006306D5"/>
    <w:rsid w:val="00631703"/>
    <w:rsid w:val="006469F1"/>
    <w:rsid w:val="006568E7"/>
    <w:rsid w:val="00663B8C"/>
    <w:rsid w:val="006813EA"/>
    <w:rsid w:val="00691B89"/>
    <w:rsid w:val="006B4495"/>
    <w:rsid w:val="006B6038"/>
    <w:rsid w:val="006B621C"/>
    <w:rsid w:val="006D79BA"/>
    <w:rsid w:val="007031FC"/>
    <w:rsid w:val="00715896"/>
    <w:rsid w:val="0073040D"/>
    <w:rsid w:val="00747064"/>
    <w:rsid w:val="00754CF8"/>
    <w:rsid w:val="00760ED4"/>
    <w:rsid w:val="00787B4A"/>
    <w:rsid w:val="007F2780"/>
    <w:rsid w:val="0082198A"/>
    <w:rsid w:val="00842855"/>
    <w:rsid w:val="00862308"/>
    <w:rsid w:val="00866520"/>
    <w:rsid w:val="008A6EAB"/>
    <w:rsid w:val="008B1433"/>
    <w:rsid w:val="008C35CA"/>
    <w:rsid w:val="008D44E1"/>
    <w:rsid w:val="008E39E8"/>
    <w:rsid w:val="008E5C5F"/>
    <w:rsid w:val="0091561D"/>
    <w:rsid w:val="0093594B"/>
    <w:rsid w:val="009362B4"/>
    <w:rsid w:val="00937305"/>
    <w:rsid w:val="00943B55"/>
    <w:rsid w:val="009477CC"/>
    <w:rsid w:val="00956A2F"/>
    <w:rsid w:val="009645E5"/>
    <w:rsid w:val="00974DBE"/>
    <w:rsid w:val="009856D4"/>
    <w:rsid w:val="009C56B7"/>
    <w:rsid w:val="00A0377B"/>
    <w:rsid w:val="00A0389D"/>
    <w:rsid w:val="00A13200"/>
    <w:rsid w:val="00A52171"/>
    <w:rsid w:val="00AA7FAA"/>
    <w:rsid w:val="00AB00BC"/>
    <w:rsid w:val="00AE680B"/>
    <w:rsid w:val="00B23CC0"/>
    <w:rsid w:val="00B2590C"/>
    <w:rsid w:val="00B46DB7"/>
    <w:rsid w:val="00B6216C"/>
    <w:rsid w:val="00B72EC4"/>
    <w:rsid w:val="00BA48BA"/>
    <w:rsid w:val="00BB10E4"/>
    <w:rsid w:val="00BC56FF"/>
    <w:rsid w:val="00BF153F"/>
    <w:rsid w:val="00C01369"/>
    <w:rsid w:val="00C42E91"/>
    <w:rsid w:val="00C53252"/>
    <w:rsid w:val="00C85E09"/>
    <w:rsid w:val="00CA237D"/>
    <w:rsid w:val="00CA319F"/>
    <w:rsid w:val="00CB0AF9"/>
    <w:rsid w:val="00CB0DA7"/>
    <w:rsid w:val="00CB2FB2"/>
    <w:rsid w:val="00CC2E2E"/>
    <w:rsid w:val="00CD7F05"/>
    <w:rsid w:val="00CF021F"/>
    <w:rsid w:val="00DC0E5F"/>
    <w:rsid w:val="00DF2D0B"/>
    <w:rsid w:val="00E51C26"/>
    <w:rsid w:val="00E53D24"/>
    <w:rsid w:val="00E54BC7"/>
    <w:rsid w:val="00E5644D"/>
    <w:rsid w:val="00E619D0"/>
    <w:rsid w:val="00E73271"/>
    <w:rsid w:val="00E76664"/>
    <w:rsid w:val="00E94440"/>
    <w:rsid w:val="00E94E4C"/>
    <w:rsid w:val="00EB441F"/>
    <w:rsid w:val="00EE4D59"/>
    <w:rsid w:val="00EF47FC"/>
    <w:rsid w:val="00F00378"/>
    <w:rsid w:val="00F17AC7"/>
    <w:rsid w:val="00F20EF3"/>
    <w:rsid w:val="00F227E6"/>
    <w:rsid w:val="00F26E00"/>
    <w:rsid w:val="00F27C7C"/>
    <w:rsid w:val="00F30F6C"/>
    <w:rsid w:val="00F37299"/>
    <w:rsid w:val="00F50338"/>
    <w:rsid w:val="00F65C85"/>
    <w:rsid w:val="00F67CC0"/>
    <w:rsid w:val="00F83C2F"/>
    <w:rsid w:val="00FF3EDF"/>
    <w:rsid w:val="3FF7AE81"/>
    <w:rsid w:val="5EFF5628"/>
    <w:rsid w:val="7E5E93CD"/>
    <w:rsid w:val="7EB79C6A"/>
    <w:rsid w:val="7FBD2109"/>
    <w:rsid w:val="9FE78589"/>
    <w:rsid w:val="B7DB7411"/>
    <w:rsid w:val="BEFB0E8E"/>
    <w:rsid w:val="CBFFACDC"/>
    <w:rsid w:val="FC7789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sz w:val="18"/>
      <w:szCs w:val="18"/>
    </w:rPr>
  </w:style>
  <w:style w:type="paragraph" w:customStyle="1" w:styleId="10">
    <w:name w:val="through-content"/>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hz</Company>
  <Pages>2</Pages>
  <Words>115</Words>
  <Characters>656</Characters>
  <Lines>5</Lines>
  <Paragraphs>1</Paragraphs>
  <TotalTime>4</TotalTime>
  <ScaleCrop>false</ScaleCrop>
  <LinksUpToDate>false</LinksUpToDate>
  <CharactersWithSpaces>770</CharactersWithSpaces>
  <Application>WPS Office_11.8.2.11958_F1E327BC-269C-435d-A152-05C5408002CA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2021-12-13T00:11:00Z</dcterms:created>
  <dc:creator>lenovo</dc:creator>
  <cp:lastModifiedBy>user</cp:lastModifiedBy>
  <cp:lastPrinted>2022-03-16T08:33:00Z</cp:lastPrinted>
  <dcterms:modified xsi:type="dcterms:W3CDTF">2025-05-20T15:52:19Z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2052-11.8.2.11958</vt:lpwstr>
  </property>
  <property fmtid="{D5CDD505-2E9C-101B-9397-08002B2CF9AE}" pid="3" name="ICV">
    <vt:lpwstr>50A05726F745A114F7FA2668A79E03BE</vt:lpwstr>
  </property>
</Properties>
</file>