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BCC96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right="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18D3FE4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50" w:line="500" w:lineRule="exact"/>
        <w:ind w:left="0" w:right="0" w:firstLine="0" w:firstLineChars="0"/>
        <w:jc w:val="center"/>
        <w:textAlignment w:val="baseline"/>
        <w:rPr>
          <w:rFonts w:hint="eastAsia" w:ascii="仿宋" w:hAnsi="仿宋" w:eastAsia="仿宋" w:cs="仿宋"/>
          <w:spacing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u w:val="none"/>
        </w:rPr>
        <w:t>重整投资计划书</w:t>
      </w:r>
    </w:p>
    <w:p w14:paraId="065BA76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line="500" w:lineRule="exact"/>
        <w:ind w:right="0"/>
        <w:jc w:val="both"/>
        <w:textAlignment w:val="baseline"/>
        <w:rPr>
          <w:rFonts w:hint="eastAsia" w:ascii="仿宋" w:hAnsi="仿宋" w:eastAsia="仿宋" w:cs="仿宋"/>
          <w:b/>
          <w:bCs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0"/>
          <w:sz w:val="28"/>
          <w:szCs w:val="28"/>
        </w:rPr>
        <w:t>湖南</w:t>
      </w:r>
      <w:r>
        <w:rPr>
          <w:rFonts w:hint="eastAsia" w:ascii="仿宋" w:hAnsi="仿宋" w:eastAsia="仿宋" w:cs="仿宋"/>
          <w:b/>
          <w:bCs/>
          <w:spacing w:val="0"/>
          <w:sz w:val="28"/>
          <w:szCs w:val="28"/>
          <w:lang w:val="en-US" w:eastAsia="zh-CN"/>
        </w:rPr>
        <w:t>万通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pacing w:val="0"/>
          <w:sz w:val="28"/>
          <w:szCs w:val="28"/>
          <w:lang w:val="en-US" w:eastAsia="zh-CN"/>
        </w:rPr>
        <w:t>科技股份</w:t>
      </w:r>
      <w:r>
        <w:rPr>
          <w:rFonts w:hint="eastAsia" w:ascii="仿宋" w:hAnsi="仿宋" w:eastAsia="仿宋" w:cs="仿宋"/>
          <w:b/>
          <w:bCs/>
          <w:spacing w:val="0"/>
          <w:sz w:val="28"/>
          <w:szCs w:val="28"/>
        </w:rPr>
        <w:t>有限公司管理人：</w:t>
      </w:r>
    </w:p>
    <w:p w14:paraId="2842683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snapToGrid/>
          <w:kern w:val="0"/>
          <w:sz w:val="28"/>
          <w:szCs w:val="28"/>
          <w:lang w:val="en-US" w:eastAsia="zh-CN" w:bidi="zh-CN"/>
        </w:rPr>
      </w:pPr>
      <w:r>
        <w:rPr>
          <w:rFonts w:hint="eastAsia" w:ascii="仿宋" w:hAnsi="仿宋" w:eastAsia="仿宋" w:cs="仿宋"/>
          <w:snapToGrid/>
          <w:kern w:val="0"/>
          <w:sz w:val="28"/>
          <w:szCs w:val="28"/>
          <w:lang w:val="en-US" w:eastAsia="zh-CN" w:bidi="zh-CN"/>
        </w:rPr>
        <w:t>根据</w:t>
      </w:r>
      <w:r>
        <w:rPr>
          <w:rFonts w:hint="default" w:ascii="仿宋" w:hAnsi="仿宋" w:eastAsia="仿宋" w:cs="仿宋"/>
          <w:snapToGrid/>
          <w:kern w:val="0"/>
          <w:sz w:val="28"/>
          <w:szCs w:val="28"/>
          <w:lang w:val="en-US" w:eastAsia="zh-CN" w:bidi="zh-CN"/>
        </w:rPr>
        <w:t>管理</w:t>
      </w:r>
      <w:r>
        <w:rPr>
          <w:rFonts w:hint="eastAsia" w:ascii="仿宋" w:hAnsi="仿宋" w:eastAsia="仿宋" w:cs="仿宋"/>
          <w:snapToGrid/>
          <w:kern w:val="0"/>
          <w:sz w:val="28"/>
          <w:szCs w:val="28"/>
          <w:lang w:val="en-US" w:eastAsia="zh-CN" w:bidi="zh-CN"/>
        </w:rPr>
        <w:t>人发布的《湖南万通科技股份有限公司重整投资人招募公告》要求，我方决定正式报名参与万通公司重整投资人</w:t>
      </w:r>
      <w:r>
        <w:rPr>
          <w:rFonts w:hint="default" w:ascii="仿宋" w:hAnsi="仿宋" w:eastAsia="仿宋" w:cs="仿宋"/>
          <w:snapToGrid/>
          <w:kern w:val="0"/>
          <w:sz w:val="28"/>
          <w:szCs w:val="28"/>
          <w:lang w:eastAsia="zh-CN" w:bidi="zh-CN"/>
        </w:rPr>
        <w:t>招募</w:t>
      </w:r>
      <w:r>
        <w:rPr>
          <w:rFonts w:hint="eastAsia" w:ascii="仿宋" w:hAnsi="仿宋" w:eastAsia="仿宋" w:cs="仿宋"/>
          <w:snapToGrid/>
          <w:kern w:val="0"/>
          <w:sz w:val="28"/>
          <w:szCs w:val="28"/>
          <w:lang w:val="en-US" w:eastAsia="zh-CN" w:bidi="zh-CN"/>
        </w:rPr>
        <w:t>，特提出以下重整投资计划：</w:t>
      </w:r>
    </w:p>
    <w:p w14:paraId="21F0815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2" w:firstLineChars="200"/>
        <w:jc w:val="both"/>
        <w:textAlignment w:val="baseline"/>
        <w:outlineLvl w:val="6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0"/>
          <w:sz w:val="28"/>
          <w:szCs w:val="28"/>
        </w:rPr>
        <w:t>一、我</w:t>
      </w:r>
      <w:r>
        <w:rPr>
          <w:rFonts w:hint="eastAsia" w:ascii="仿宋" w:hAnsi="仿宋" w:eastAsia="仿宋" w:cs="仿宋"/>
          <w:b/>
          <w:bCs/>
          <w:spacing w:val="0"/>
          <w:sz w:val="28"/>
          <w:szCs w:val="28"/>
          <w:lang w:val="en-US" w:eastAsia="zh-CN"/>
        </w:rPr>
        <w:t>方</w:t>
      </w:r>
      <w:r>
        <w:rPr>
          <w:rFonts w:hint="eastAsia" w:ascii="仿宋" w:hAnsi="仿宋" w:eastAsia="仿宋" w:cs="仿宋"/>
          <w:b/>
          <w:bCs/>
          <w:spacing w:val="0"/>
          <w:sz w:val="28"/>
          <w:szCs w:val="28"/>
        </w:rPr>
        <w:t>基本情况介绍</w:t>
      </w:r>
    </w:p>
    <w:p w14:paraId="2950863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default" w:ascii="仿宋" w:hAnsi="仿宋" w:eastAsia="仿宋" w:cs="仿宋"/>
          <w:spacing w:val="0"/>
          <w:sz w:val="28"/>
          <w:szCs w:val="28"/>
        </w:rPr>
        <w:t>（</w:t>
      </w:r>
      <w:r>
        <w:rPr>
          <w:rFonts w:hint="eastAsia" w:ascii="仿宋" w:hAnsi="仿宋" w:eastAsia="仿宋" w:cs="仿宋"/>
          <w:spacing w:val="0"/>
          <w:sz w:val="28"/>
          <w:szCs w:val="28"/>
        </w:rPr>
        <w:t>简要介绍包括公司名称、法定代表人姓名、公司地址、注册资本、经营范围等、主营业务、经营情况等内容</w:t>
      </w:r>
      <w:r>
        <w:rPr>
          <w:rFonts w:hint="default" w:ascii="仿宋" w:hAnsi="仿宋" w:eastAsia="仿宋" w:cs="仿宋"/>
          <w:spacing w:val="0"/>
          <w:sz w:val="28"/>
          <w:szCs w:val="28"/>
        </w:rPr>
        <w:t>）</w:t>
      </w:r>
    </w:p>
    <w:p w14:paraId="5DB136A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2" w:firstLineChars="200"/>
        <w:jc w:val="both"/>
        <w:textAlignment w:val="baseline"/>
        <w:outlineLvl w:val="6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0"/>
          <w:sz w:val="28"/>
          <w:szCs w:val="28"/>
        </w:rPr>
        <w:t>二、投资计划</w:t>
      </w:r>
    </w:p>
    <w:p w14:paraId="1752525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我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方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拟投入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万通公司</w:t>
      </w:r>
      <w:r>
        <w:rPr>
          <w:rFonts w:hint="eastAsia" w:ascii="仿宋" w:hAnsi="仿宋" w:eastAsia="仿宋" w:cs="仿宋"/>
          <w:spacing w:val="0"/>
          <w:sz w:val="28"/>
          <w:szCs w:val="28"/>
        </w:rPr>
        <w:t>用于支付破产费用及清偿债务的资金金额不低于人民币</w:t>
      </w:r>
      <w:r>
        <w:rPr>
          <w:rFonts w:hint="eastAsia" w:ascii="仿宋" w:hAnsi="仿宋" w:eastAsia="仿宋" w:cs="仿宋"/>
          <w:spacing w:val="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Hans"/>
        </w:rPr>
        <w:t>元</w:t>
      </w:r>
      <w:r>
        <w:rPr>
          <w:rFonts w:hint="eastAsia" w:ascii="仿宋" w:hAnsi="仿宋" w:eastAsia="仿宋" w:cs="仿宋"/>
          <w:spacing w:val="0"/>
          <w:sz w:val="28"/>
          <w:szCs w:val="28"/>
        </w:rPr>
        <w:t>，支付时间为</w:t>
      </w:r>
      <w:r>
        <w:rPr>
          <w:rFonts w:hint="eastAsia" w:ascii="仿宋" w:hAnsi="仿宋" w:eastAsia="仿宋" w:cs="仿宋"/>
          <w:spacing w:val="0"/>
          <w:sz w:val="28"/>
          <w:szCs w:val="28"/>
          <w:u w:val="single"/>
        </w:rPr>
        <w:t xml:space="preserve">     </w:t>
      </w:r>
      <w:r>
        <w:rPr>
          <w:rFonts w:hint="default" w:ascii="仿宋" w:hAnsi="仿宋" w:eastAsia="仿宋" w:cs="仿宋"/>
          <w:spacing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，</w:t>
      </w:r>
      <w:r>
        <w:rPr>
          <w:rFonts w:hint="default" w:ascii="仿宋" w:hAnsi="仿宋" w:eastAsia="仿宋" w:cs="仿宋"/>
          <w:spacing w:val="0"/>
          <w:sz w:val="28"/>
          <w:szCs w:val="28"/>
        </w:rPr>
        <w:t>（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Hans"/>
        </w:rPr>
        <w:t>分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期支付的，列明每期支付的时间和金额</w:t>
      </w:r>
      <w:r>
        <w:rPr>
          <w:rFonts w:hint="default" w:ascii="仿宋" w:hAnsi="仿宋" w:eastAsia="仿宋" w:cs="仿宋"/>
          <w:spacing w:val="0"/>
          <w:sz w:val="28"/>
          <w:szCs w:val="28"/>
        </w:rPr>
        <w:t>），</w:t>
      </w:r>
      <w:r>
        <w:rPr>
          <w:rFonts w:hint="eastAsia" w:ascii="仿宋" w:hAnsi="仿宋" w:eastAsia="仿宋" w:cs="仿宋"/>
          <w:spacing w:val="0"/>
          <w:sz w:val="28"/>
          <w:szCs w:val="28"/>
        </w:rPr>
        <w:t>资金来源为</w:t>
      </w:r>
      <w:r>
        <w:rPr>
          <w:rFonts w:hint="eastAsia" w:ascii="仿宋" w:hAnsi="仿宋" w:eastAsia="仿宋" w:cs="仿宋"/>
          <w:spacing w:val="0"/>
          <w:sz w:val="28"/>
          <w:szCs w:val="28"/>
          <w:u w:val="single"/>
        </w:rPr>
        <w:t xml:space="preserve">      </w:t>
      </w:r>
      <w:r>
        <w:rPr>
          <w:rFonts w:hint="default" w:ascii="仿宋" w:hAnsi="仿宋" w:eastAsia="仿宋" w:cs="仿宋"/>
          <w:spacing w:val="0"/>
          <w:sz w:val="28"/>
          <w:szCs w:val="28"/>
        </w:rPr>
        <w:t>。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Hans"/>
        </w:rPr>
        <w:t>我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方</w:t>
      </w:r>
      <w:r>
        <w:rPr>
          <w:rFonts w:hint="eastAsia" w:ascii="仿宋" w:hAnsi="仿宋" w:eastAsia="仿宋" w:cs="仿宋"/>
          <w:spacing w:val="0"/>
          <w:sz w:val="28"/>
          <w:szCs w:val="28"/>
        </w:rPr>
        <w:t>将提供</w:t>
      </w:r>
      <w:r>
        <w:rPr>
          <w:rFonts w:hint="default" w:ascii="仿宋" w:hAnsi="仿宋" w:eastAsia="仿宋" w:cs="仿宋"/>
          <w:spacing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pacing w:val="0"/>
          <w:sz w:val="28"/>
          <w:szCs w:val="28"/>
        </w:rPr>
        <w:t>作为我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方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按前述金额及时间支付偿债资金的担保。</w:t>
      </w:r>
    </w:p>
    <w:p w14:paraId="3689FBC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0" w:firstLineChars="200"/>
        <w:jc w:val="both"/>
        <w:textAlignment w:val="baseline"/>
        <w:rPr>
          <w:rFonts w:hint="default" w:ascii="仿宋" w:hAnsi="仿宋" w:eastAsia="仿宋" w:cs="仿宋"/>
          <w:spacing w:val="0"/>
          <w:sz w:val="28"/>
          <w:szCs w:val="28"/>
          <w:highlight w:val="yellow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我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方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拟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采取的重整模式为</w:t>
      </w:r>
      <w:r>
        <w:rPr>
          <w:rFonts w:hint="eastAsia" w:ascii="仿宋" w:hAnsi="仿宋" w:eastAsia="仿宋" w:cs="仿宋"/>
          <w:spacing w:val="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pacing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pacing w:val="0"/>
          <w:sz w:val="28"/>
          <w:szCs w:val="28"/>
          <w:u w:val="none"/>
          <w:lang w:val="en-US" w:eastAsia="zh-CN"/>
        </w:rPr>
        <w:t>，拟</w:t>
      </w:r>
      <w:r>
        <w:rPr>
          <w:rFonts w:hint="eastAsia" w:ascii="仿宋" w:hAnsi="仿宋" w:eastAsia="仿宋" w:cs="仿宋"/>
          <w:spacing w:val="0"/>
          <w:sz w:val="28"/>
          <w:szCs w:val="28"/>
        </w:rPr>
        <w:t>保留的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万通公司</w:t>
      </w:r>
      <w:r>
        <w:rPr>
          <w:rFonts w:hint="eastAsia" w:ascii="仿宋" w:hAnsi="仿宋" w:eastAsia="仿宋" w:cs="仿宋"/>
          <w:spacing w:val="0"/>
          <w:sz w:val="28"/>
          <w:szCs w:val="28"/>
        </w:rPr>
        <w:t>资产为</w:t>
      </w:r>
      <w:r>
        <w:rPr>
          <w:rFonts w:hint="eastAsia" w:ascii="仿宋" w:hAnsi="仿宋" w:eastAsia="仿宋" w:cs="仿宋"/>
          <w:spacing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pacing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0"/>
          <w:sz w:val="28"/>
          <w:szCs w:val="28"/>
          <w:u w:val="none"/>
          <w:lang w:eastAsia="zh-CN"/>
        </w:rPr>
        <w:t>；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u w:val="none"/>
          <w:lang w:val="en-US" w:eastAsia="zh-CN"/>
        </w:rPr>
        <w:t>无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</w:rPr>
        <w:t>需保留，可以由管理人处置变现用于偿债的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eastAsia="zh-CN"/>
        </w:rPr>
        <w:t>万通公司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</w:rPr>
        <w:t>资产为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u w:val="single"/>
        </w:rPr>
        <w:t xml:space="preserve">          </w:t>
      </w:r>
      <w:r>
        <w:rPr>
          <w:rFonts w:hint="default" w:ascii="仿宋" w:hAnsi="仿宋" w:eastAsia="仿宋" w:cs="仿宋"/>
          <w:spacing w:val="0"/>
          <w:sz w:val="28"/>
          <w:szCs w:val="28"/>
          <w:highlight w:val="none"/>
        </w:rPr>
        <w:t>。</w:t>
      </w:r>
    </w:p>
    <w:p w14:paraId="413D5F4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我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方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拟取得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万通公司</w:t>
      </w:r>
      <w:r>
        <w:rPr>
          <w:rFonts w:hint="eastAsia" w:ascii="仿宋" w:hAnsi="仿宋" w:eastAsia="仿宋" w:cs="仿宋"/>
          <w:spacing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pacing w:val="0"/>
          <w:sz w:val="28"/>
          <w:szCs w:val="28"/>
        </w:rPr>
        <w:t>%的股权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。</w:t>
      </w:r>
    </w:p>
    <w:p w14:paraId="5AEA786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（包括但不限于上述投资计划）</w:t>
      </w:r>
    </w:p>
    <w:p w14:paraId="03D3268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2" w:firstLineChars="200"/>
        <w:jc w:val="both"/>
        <w:textAlignment w:val="baseline"/>
        <w:outlineLvl w:val="6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0"/>
          <w:sz w:val="28"/>
          <w:szCs w:val="28"/>
        </w:rPr>
        <w:t>三、继续经营方案</w:t>
      </w:r>
    </w:p>
    <w:p w14:paraId="2AB3175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default" w:ascii="仿宋" w:hAnsi="仿宋" w:eastAsia="仿宋" w:cs="仿宋"/>
          <w:spacing w:val="0"/>
          <w:sz w:val="28"/>
          <w:szCs w:val="28"/>
        </w:rPr>
        <w:t>（</w:t>
      </w:r>
      <w:r>
        <w:rPr>
          <w:rFonts w:hint="eastAsia" w:ascii="仿宋" w:hAnsi="仿宋" w:eastAsia="仿宋" w:cs="仿宋"/>
          <w:spacing w:val="0"/>
          <w:sz w:val="28"/>
          <w:szCs w:val="28"/>
        </w:rPr>
        <w:t>简要介绍后续经营方案、后续投入经营资金数额、资金来源</w:t>
      </w:r>
      <w:r>
        <w:rPr>
          <w:rFonts w:hint="default" w:ascii="仿宋" w:hAnsi="仿宋" w:eastAsia="仿宋" w:cs="仿宋"/>
          <w:spacing w:val="0"/>
          <w:sz w:val="28"/>
          <w:szCs w:val="28"/>
        </w:rPr>
        <w:t>）</w:t>
      </w:r>
    </w:p>
    <w:p w14:paraId="54AB25F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</w:rPr>
        <w:t>本《重整投资计划书》为不可撤销要约，中选投资人提交的《重整投资计划书》在重整计划顺利执行完毕前持续有效。</w:t>
      </w:r>
    </w:p>
    <w:p w14:paraId="6D3486B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</w:p>
    <w:p w14:paraId="2BDFA8E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line="480" w:lineRule="exact"/>
        <w:ind w:left="0" w:right="0" w:firstLine="0" w:firstLineChars="0"/>
        <w:jc w:val="center"/>
        <w:textAlignment w:val="baseline"/>
        <w:rPr>
          <w:rFonts w:hint="eastAsia" w:ascii="仿宋" w:hAnsi="仿宋" w:eastAsia="仿宋" w:cs="仿宋"/>
          <w:snapToGrid/>
          <w:sz w:val="28"/>
          <w:szCs w:val="28"/>
          <w:lang w:val="en-US" w:eastAsia="zh-CN" w:bidi="zh-CN"/>
        </w:rPr>
      </w:pPr>
      <w:r>
        <w:rPr>
          <w:rFonts w:hint="eastAsia" w:ascii="仿宋" w:hAnsi="仿宋" w:eastAsia="仿宋" w:cs="仿宋"/>
          <w:snapToGrid/>
          <w:sz w:val="28"/>
          <w:szCs w:val="28"/>
          <w:lang w:val="en-US" w:eastAsia="zh-CN" w:bidi="zh-CN"/>
        </w:rPr>
        <w:t xml:space="preserve">            意向重整投资人（公章）：</w:t>
      </w:r>
    </w:p>
    <w:p w14:paraId="4C8AF4A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line="480" w:lineRule="exact"/>
        <w:ind w:left="0" w:right="0" w:firstLine="3360" w:firstLineChars="1200"/>
        <w:jc w:val="both"/>
        <w:textAlignment w:val="baseline"/>
        <w:rPr>
          <w:rFonts w:hint="eastAsia" w:ascii="仿宋" w:hAnsi="仿宋" w:eastAsia="仿宋" w:cs="仿宋"/>
          <w:snapToGrid/>
          <w:sz w:val="28"/>
          <w:szCs w:val="28"/>
          <w:lang w:val="en-US" w:eastAsia="zh-CN" w:bidi="zh-CN"/>
        </w:rPr>
      </w:pPr>
      <w:r>
        <w:rPr>
          <w:rFonts w:hint="eastAsia" w:ascii="仿宋" w:hAnsi="仿宋" w:eastAsia="仿宋" w:cs="仿宋"/>
          <w:snapToGrid/>
          <w:sz w:val="28"/>
          <w:szCs w:val="28"/>
          <w:lang w:val="en-US" w:eastAsia="zh-CN" w:bidi="zh-CN"/>
        </w:rPr>
        <w:t>法定代表人或负责人（签字/签章）：</w:t>
      </w:r>
    </w:p>
    <w:p w14:paraId="62BD183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line="480" w:lineRule="exact"/>
        <w:ind w:left="4200" w:leftChars="2000" w:right="0" w:firstLine="0" w:firstLineChars="0"/>
        <w:jc w:val="right"/>
        <w:textAlignment w:val="baseline"/>
      </w:pPr>
      <w:r>
        <w:rPr>
          <w:rFonts w:hint="eastAsia" w:ascii="仿宋" w:hAnsi="仿宋" w:eastAsia="仿宋" w:cs="仿宋"/>
          <w:snapToGrid/>
          <w:sz w:val="28"/>
          <w:szCs w:val="28"/>
          <w:lang w:val="en-US" w:eastAsia="zh-CN" w:bidi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2C2AD3"/>
    <w:rsid w:val="57B5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before="120" w:beforeLines="0" w:beforeAutospacing="0" w:after="120" w:afterLines="0" w:afterAutospacing="0" w:line="340" w:lineRule="exact"/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458</Words>
  <Characters>461</Characters>
  <Lines>0</Lines>
  <Paragraphs>0</Paragraphs>
  <TotalTime>0</TotalTime>
  <ScaleCrop>false</ScaleCrop>
  <LinksUpToDate>false</LinksUpToDate>
  <CharactersWithSpaces>541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2025-05-22T08:41:00Z</dcterms:created>
  <dc:creator>16789</dc:creator>
  <cp:lastModifiedBy>Wang</cp:lastModifiedBy>
  <dcterms:modified xsi:type="dcterms:W3CDTF">2025-06-12T06:12:07Z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eyJoZGlkIjoiZjFmZWIzNDg2MmIzZjExOTIzMmViNTBmYTMwYTk0ZWYiLCJ1c2VySWQiOiIyNDMwNDgzMzQifQ==</vt:lpwstr>
  </property>
  <property fmtid="{D5CDD505-2E9C-101B-9397-08002B2CF9AE}" pid="4" name="ICV">
    <vt:lpwstr>DC901CC0A95E426F8618FAB73E497552_12</vt:lpwstr>
  </property>
</Properties>
</file>