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88AC4A1">
      <w:pPr>
        <w:keepNext w:val="0"/>
        <w:keepLines w:val="0"/>
        <w:pageBreakBefore w:val="0"/>
        <w:widowControl w:val="0"/>
        <w:kinsoku/>
        <w:wordWrap/>
        <w:overflowPunct/>
        <w:topLinePunct w:val="0"/>
        <w:autoSpaceDE/>
        <w:autoSpaceDN/>
        <w:bidi w:val="0"/>
        <w:adjustRightInd/>
        <w:snapToGrid/>
        <w:spacing w:after="313" w:afterLines="100"/>
        <w:jc w:val="center"/>
        <w:textAlignment w:val="auto"/>
        <w:rPr>
          <w:rFonts w:hint="eastAsia" w:ascii="仿宋" w:hAnsi="仿宋" w:eastAsia="仿宋" w:cs="仿宋"/>
          <w:b w:val="0"/>
          <w:bCs w:val="0"/>
          <w:sz w:val="36"/>
          <w:szCs w:val="36"/>
          <w:lang w:val="en-US" w:eastAsia="zh-CN"/>
        </w:rPr>
      </w:pPr>
      <w:r>
        <w:rPr>
          <w:rFonts w:hint="eastAsia" w:ascii="仿宋" w:hAnsi="仿宋" w:eastAsia="仿宋" w:cs="仿宋"/>
          <w:b/>
          <w:bCs/>
          <w:sz w:val="36"/>
          <w:szCs w:val="36"/>
          <w:lang w:val="en-US" w:eastAsia="zh-CN"/>
        </w:rPr>
        <w:t>评估机构承诺书</w:t>
      </w:r>
    </w:p>
    <w:p w14:paraId="2E229E76">
      <w:pPr>
        <w:keepNext w:val="0"/>
        <w:keepLines w:val="0"/>
        <w:pageBreakBefore w:val="0"/>
        <w:kinsoku/>
        <w:wordWrap/>
        <w:overflowPunct/>
        <w:topLinePunct w:val="0"/>
        <w:autoSpaceDE/>
        <w:autoSpaceDN/>
        <w:bidi w:val="0"/>
        <w:adjustRightInd/>
        <w:snapToGrid/>
        <w:spacing w:line="520" w:lineRule="exact"/>
        <w:jc w:val="both"/>
        <w:textAlignment w:val="auto"/>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曲阜海澳普汽车销售服务有限公司管理人：</w:t>
      </w:r>
    </w:p>
    <w:p w14:paraId="564FA506">
      <w:pPr>
        <w:pStyle w:val="2"/>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600"/>
        <w:jc w:val="both"/>
        <w:textAlignment w:val="auto"/>
        <w:rPr>
          <w:rFonts w:hint="eastAsia" w:ascii="仿宋" w:hAnsi="仿宋" w:eastAsia="仿宋" w:cs="仿宋"/>
          <w:kern w:val="2"/>
          <w:sz w:val="28"/>
          <w:szCs w:val="28"/>
          <w:shd w:val="clear" w:color="auto" w:fill="FFFFFF"/>
          <w:lang w:val="en-US" w:eastAsia="zh-CN"/>
        </w:rPr>
      </w:pPr>
      <w:r>
        <w:rPr>
          <w:rFonts w:hint="eastAsia" w:ascii="仿宋" w:hAnsi="仿宋" w:eastAsia="仿宋" w:cs="仿宋"/>
          <w:kern w:val="2"/>
          <w:sz w:val="28"/>
          <w:szCs w:val="28"/>
          <w:shd w:val="clear" w:color="auto" w:fill="FFFFFF"/>
          <w:lang w:val="en-US" w:eastAsia="zh-CN"/>
        </w:rPr>
        <w:t>我单位经管理人选聘后确定成为曲阜海澳普汽车销售服务有限公司</w:t>
      </w:r>
      <w:r>
        <w:rPr>
          <w:rFonts w:hint="eastAsia" w:ascii="仿宋" w:hAnsi="仿宋" w:eastAsia="仿宋" w:cs="仿宋"/>
          <w:kern w:val="2"/>
          <w:sz w:val="28"/>
          <w:szCs w:val="28"/>
          <w:shd w:val="clear" w:color="auto" w:fill="FFFFFF"/>
          <w:lang w:val="en-US" w:eastAsia="zh-CN"/>
        </w:rPr>
        <w:t>（以下简称海澳普公司</w:t>
      </w:r>
      <w:r>
        <w:rPr>
          <w:rFonts w:hint="eastAsia" w:ascii="仿宋" w:hAnsi="仿宋" w:eastAsia="仿宋" w:cs="仿宋"/>
          <w:kern w:val="2"/>
          <w:sz w:val="28"/>
          <w:szCs w:val="28"/>
          <w:shd w:val="clear" w:color="auto" w:fill="FFFFFF"/>
          <w:lang w:val="en-US" w:eastAsia="zh-CN"/>
        </w:rPr>
        <w:t>）破产清算项目评估机构，在此我单位郑重承诺同意并按照管理人要求完成以下工作事项：</w:t>
      </w:r>
    </w:p>
    <w:p w14:paraId="2F449D46">
      <w:pPr>
        <w:pStyle w:val="2"/>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600"/>
        <w:jc w:val="both"/>
        <w:textAlignment w:val="auto"/>
        <w:rPr>
          <w:rFonts w:hint="eastAsia" w:ascii="仿宋" w:hAnsi="仿宋" w:eastAsia="仿宋" w:cs="仿宋"/>
          <w:kern w:val="2"/>
          <w:sz w:val="28"/>
          <w:szCs w:val="28"/>
          <w:shd w:val="clear" w:color="auto" w:fill="FFFFFF"/>
          <w:lang w:val="en-US" w:eastAsia="zh-CN"/>
        </w:rPr>
      </w:pPr>
      <w:r>
        <w:rPr>
          <w:rFonts w:hint="eastAsia" w:ascii="仿宋" w:hAnsi="仿宋" w:eastAsia="仿宋" w:cs="仿宋"/>
          <w:kern w:val="2"/>
          <w:sz w:val="28"/>
          <w:szCs w:val="28"/>
          <w:shd w:val="clear" w:color="auto" w:fill="FFFFFF"/>
          <w:lang w:val="en-US" w:eastAsia="zh-CN"/>
        </w:rPr>
        <w:t>（一）对海澳普公司的资产进行清查及评估，出具破产清算状态下的清算价值评估报告。</w:t>
      </w:r>
    </w:p>
    <w:p w14:paraId="3D9C8FCF">
      <w:pPr>
        <w:pStyle w:val="2"/>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600"/>
        <w:jc w:val="both"/>
        <w:textAlignment w:val="auto"/>
        <w:rPr>
          <w:rFonts w:hint="eastAsia" w:ascii="仿宋" w:hAnsi="仿宋" w:eastAsia="仿宋" w:cs="仿宋"/>
          <w:kern w:val="2"/>
          <w:sz w:val="28"/>
          <w:szCs w:val="28"/>
          <w:shd w:val="clear" w:color="auto" w:fill="FFFFFF"/>
          <w:lang w:val="en-US" w:eastAsia="zh-CN"/>
        </w:rPr>
      </w:pPr>
      <w:r>
        <w:rPr>
          <w:rFonts w:hint="eastAsia" w:ascii="仿宋" w:hAnsi="仿宋" w:eastAsia="仿宋" w:cs="仿宋"/>
          <w:kern w:val="2"/>
          <w:sz w:val="28"/>
          <w:szCs w:val="28"/>
          <w:shd w:val="clear" w:color="auto" w:fill="FFFFFF"/>
          <w:lang w:val="en-US" w:eastAsia="zh-CN"/>
        </w:rPr>
        <w:t>（二）若海澳普公司转为重整程序，评估机构需对海澳普公司的资产进行清查及评估，分别出具持续经营状态下的市场价值评估报告和假设破产清算状态下的清算价值评估报告。</w:t>
      </w:r>
    </w:p>
    <w:p w14:paraId="32A3DBF0">
      <w:pPr>
        <w:pStyle w:val="2"/>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600"/>
        <w:jc w:val="both"/>
        <w:textAlignment w:val="auto"/>
        <w:rPr>
          <w:rFonts w:hint="eastAsia" w:ascii="仿宋" w:hAnsi="仿宋" w:eastAsia="仿宋" w:cs="仿宋"/>
          <w:kern w:val="2"/>
          <w:sz w:val="28"/>
          <w:szCs w:val="28"/>
          <w:shd w:val="clear" w:color="auto" w:fill="FFFFFF"/>
          <w:lang w:val="en-US" w:eastAsia="zh-CN"/>
        </w:rPr>
      </w:pPr>
      <w:r>
        <w:rPr>
          <w:rFonts w:hint="eastAsia" w:ascii="仿宋" w:hAnsi="仿宋" w:eastAsia="仿宋" w:cs="仿宋"/>
          <w:kern w:val="2"/>
          <w:sz w:val="28"/>
          <w:szCs w:val="28"/>
          <w:shd w:val="clear" w:color="auto" w:fill="FFFFFF"/>
          <w:lang w:val="en-US" w:eastAsia="zh-CN"/>
        </w:rPr>
        <w:t>（三）若海澳普公司转为重整程序，对海澳普公司的偿债能力进行分析，出具偿债能力分析报告。</w:t>
      </w:r>
    </w:p>
    <w:p w14:paraId="6C2104FC">
      <w:pPr>
        <w:pStyle w:val="2"/>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600"/>
        <w:jc w:val="both"/>
        <w:textAlignment w:val="auto"/>
        <w:rPr>
          <w:rFonts w:hint="eastAsia" w:ascii="仿宋" w:hAnsi="仿宋" w:eastAsia="仿宋" w:cs="仿宋"/>
          <w:kern w:val="2"/>
          <w:sz w:val="28"/>
          <w:szCs w:val="28"/>
          <w:shd w:val="clear" w:color="auto" w:fill="FFFFFF"/>
          <w:lang w:val="en-US" w:eastAsia="zh-CN"/>
        </w:rPr>
      </w:pPr>
      <w:r>
        <w:rPr>
          <w:rFonts w:hint="eastAsia" w:ascii="仿宋" w:hAnsi="仿宋" w:eastAsia="仿宋" w:cs="仿宋"/>
          <w:kern w:val="2"/>
          <w:sz w:val="28"/>
          <w:szCs w:val="28"/>
          <w:shd w:val="clear" w:color="auto" w:fill="FFFFFF"/>
          <w:lang w:val="en-US" w:eastAsia="zh-CN"/>
        </w:rPr>
        <w:t>（四）需单独列明担保财产清算价值，若海澳普公司转为重整程序，需单独列明担保财产评估的市场价值和清算价值。</w:t>
      </w:r>
    </w:p>
    <w:p w14:paraId="2B06518B">
      <w:pPr>
        <w:pStyle w:val="2"/>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600"/>
        <w:jc w:val="both"/>
        <w:textAlignment w:val="auto"/>
        <w:rPr>
          <w:rFonts w:hint="eastAsia" w:ascii="仿宋" w:hAnsi="仿宋" w:eastAsia="仿宋" w:cs="仿宋"/>
          <w:kern w:val="2"/>
          <w:sz w:val="28"/>
          <w:szCs w:val="28"/>
          <w:shd w:val="clear" w:color="auto" w:fill="FFFFFF"/>
          <w:lang w:val="en-US" w:eastAsia="zh-CN"/>
        </w:rPr>
      </w:pPr>
      <w:r>
        <w:rPr>
          <w:rFonts w:hint="eastAsia" w:ascii="仿宋" w:hAnsi="仿宋" w:eastAsia="仿宋" w:cs="仿宋"/>
          <w:kern w:val="2"/>
          <w:sz w:val="28"/>
          <w:szCs w:val="28"/>
          <w:shd w:val="clear" w:color="auto" w:fill="FFFFFF"/>
          <w:lang w:val="en-US" w:eastAsia="zh-CN"/>
        </w:rPr>
        <w:t>（五）为海澳普公司清算或重整程序中的有关资产评估问题提供咨询与支持。</w:t>
      </w:r>
    </w:p>
    <w:p w14:paraId="7F9F4977">
      <w:pPr>
        <w:pStyle w:val="2"/>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600"/>
        <w:jc w:val="both"/>
        <w:textAlignment w:val="auto"/>
        <w:rPr>
          <w:rFonts w:hint="eastAsia" w:ascii="仿宋" w:hAnsi="仿宋" w:eastAsia="仿宋" w:cs="仿宋"/>
          <w:kern w:val="2"/>
          <w:sz w:val="28"/>
          <w:szCs w:val="28"/>
          <w:shd w:val="clear" w:color="auto" w:fill="FFFFFF"/>
          <w:lang w:val="en-US" w:eastAsia="zh-CN"/>
        </w:rPr>
      </w:pPr>
      <w:r>
        <w:rPr>
          <w:rFonts w:hint="eastAsia" w:ascii="仿宋" w:hAnsi="仿宋" w:eastAsia="仿宋" w:cs="仿宋"/>
          <w:kern w:val="2"/>
          <w:sz w:val="28"/>
          <w:szCs w:val="28"/>
          <w:shd w:val="clear" w:color="auto" w:fill="FFFFFF"/>
          <w:lang w:val="en-US" w:eastAsia="zh-CN"/>
        </w:rPr>
        <w:t>（六）根据法院或管理人要求，出席债权人会议，对评估报告进行解释和说明，并回答债权人、债务人等利害关系人的询问。</w:t>
      </w:r>
    </w:p>
    <w:p w14:paraId="1B6C53C4">
      <w:pPr>
        <w:pStyle w:val="2"/>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600"/>
        <w:jc w:val="both"/>
        <w:textAlignment w:val="auto"/>
        <w:rPr>
          <w:rFonts w:hint="eastAsia" w:ascii="仿宋" w:hAnsi="仿宋" w:eastAsia="仿宋" w:cs="仿宋"/>
          <w:kern w:val="2"/>
          <w:sz w:val="28"/>
          <w:szCs w:val="28"/>
          <w:shd w:val="clear" w:color="auto" w:fill="FFFFFF"/>
          <w:lang w:val="en-US" w:eastAsia="zh-CN"/>
        </w:rPr>
      </w:pPr>
      <w:r>
        <w:rPr>
          <w:rFonts w:hint="eastAsia" w:ascii="仿宋" w:hAnsi="仿宋" w:eastAsia="仿宋" w:cs="仿宋"/>
          <w:kern w:val="2"/>
          <w:sz w:val="28"/>
          <w:szCs w:val="28"/>
          <w:shd w:val="clear" w:color="auto" w:fill="FFFFFF"/>
          <w:lang w:val="en-US" w:eastAsia="zh-CN"/>
        </w:rPr>
        <w:t>（七）人民法院或管理人认为需要协助的其他事项。</w:t>
      </w:r>
    </w:p>
    <w:p w14:paraId="6BBB1E40">
      <w:pPr>
        <w:pStyle w:val="2"/>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600"/>
        <w:jc w:val="both"/>
        <w:textAlignment w:val="auto"/>
        <w:rPr>
          <w:rFonts w:hint="eastAsia" w:ascii="仿宋" w:hAnsi="仿宋" w:eastAsia="仿宋" w:cs="仿宋"/>
          <w:kern w:val="2"/>
          <w:sz w:val="28"/>
          <w:szCs w:val="28"/>
          <w:shd w:val="clear" w:color="auto" w:fill="FFFFFF"/>
          <w:lang w:val="en-US" w:eastAsia="zh-CN"/>
        </w:rPr>
      </w:pPr>
      <w:r>
        <w:rPr>
          <w:rFonts w:hint="eastAsia" w:ascii="仿宋" w:hAnsi="仿宋" w:eastAsia="仿宋" w:cs="仿宋"/>
          <w:kern w:val="2"/>
          <w:sz w:val="28"/>
          <w:szCs w:val="28"/>
          <w:shd w:val="clear" w:color="auto" w:fill="FFFFFF"/>
          <w:lang w:val="en-US" w:eastAsia="zh-CN"/>
        </w:rPr>
        <w:t>（</w:t>
      </w:r>
      <w:r>
        <w:rPr>
          <w:rFonts w:hint="eastAsia" w:ascii="仿宋" w:hAnsi="仿宋" w:eastAsia="仿宋" w:cs="仿宋"/>
          <w:kern w:val="2"/>
          <w:sz w:val="28"/>
          <w:szCs w:val="28"/>
          <w:shd w:val="clear" w:color="auto" w:fill="FFFFFF"/>
          <w:lang w:val="en-US" w:eastAsia="zh-CN"/>
        </w:rPr>
        <w:t>八）评估费采取包干制（含差旅费、食宿费、</w:t>
      </w:r>
      <w:r>
        <w:rPr>
          <w:rFonts w:hint="eastAsia" w:ascii="仿宋" w:hAnsi="仿宋" w:eastAsia="仿宋" w:cs="仿宋"/>
          <w:kern w:val="2"/>
          <w:sz w:val="28"/>
          <w:szCs w:val="28"/>
          <w:shd w:val="clear" w:color="auto" w:fill="FFFFFF"/>
          <w:lang w:val="en-US" w:eastAsia="zh-CN"/>
        </w:rPr>
        <w:t>办公等</w:t>
      </w:r>
      <w:r>
        <w:rPr>
          <w:rFonts w:hint="eastAsia" w:ascii="仿宋" w:hAnsi="仿宋" w:eastAsia="仿宋" w:cs="仿宋"/>
          <w:kern w:val="2"/>
          <w:sz w:val="28"/>
          <w:szCs w:val="28"/>
          <w:shd w:val="clear" w:color="auto" w:fill="FFFFFF"/>
          <w:lang w:val="en-US" w:eastAsia="zh-CN"/>
        </w:rPr>
        <w:t>全部费用）。</w:t>
      </w:r>
    </w:p>
    <w:p w14:paraId="5449A3F8">
      <w:pPr>
        <w:pStyle w:val="2"/>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600"/>
        <w:jc w:val="both"/>
        <w:textAlignment w:val="auto"/>
        <w:rPr>
          <w:rFonts w:hint="eastAsia" w:ascii="仿宋" w:hAnsi="仿宋" w:eastAsia="仿宋" w:cs="仿宋"/>
          <w:kern w:val="2"/>
          <w:sz w:val="28"/>
          <w:szCs w:val="28"/>
          <w:shd w:val="clear" w:color="auto" w:fill="FFFFFF"/>
          <w:lang w:val="en-US" w:eastAsia="zh-CN"/>
        </w:rPr>
      </w:pPr>
      <w:r>
        <w:rPr>
          <w:rFonts w:hint="eastAsia" w:ascii="仿宋" w:hAnsi="仿宋" w:eastAsia="仿宋" w:cs="仿宋"/>
          <w:kern w:val="2"/>
          <w:sz w:val="28"/>
          <w:szCs w:val="28"/>
          <w:shd w:val="clear" w:color="auto" w:fill="FFFFFF"/>
          <w:lang w:val="en-US" w:eastAsia="zh-CN"/>
        </w:rPr>
        <w:t>（九）根据管理人要求的时间出具评估报告，评估报告出具后10日内提交偿债能力分析报告（</w:t>
      </w:r>
      <w:r>
        <w:rPr>
          <w:rFonts w:hint="eastAsia" w:ascii="仿宋" w:hAnsi="仿宋" w:eastAsia="仿宋" w:cs="仿宋"/>
          <w:kern w:val="2"/>
          <w:sz w:val="28"/>
          <w:szCs w:val="28"/>
          <w:shd w:val="clear" w:color="auto" w:fill="FFFFFF"/>
          <w:lang w:val="en-US" w:eastAsia="zh-CN"/>
        </w:rPr>
        <w:t>若海澳普公司转为重整程序）。</w:t>
      </w:r>
    </w:p>
    <w:p w14:paraId="40D61694">
      <w:pPr>
        <w:pStyle w:val="2"/>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600"/>
        <w:jc w:val="both"/>
        <w:textAlignment w:val="auto"/>
        <w:rPr>
          <w:rFonts w:hint="eastAsia" w:ascii="仿宋" w:hAnsi="仿宋" w:eastAsia="仿宋" w:cs="仿宋"/>
          <w:b/>
          <w:bCs/>
          <w:kern w:val="2"/>
          <w:sz w:val="28"/>
          <w:szCs w:val="28"/>
          <w:shd w:val="clear" w:color="auto" w:fill="FFFFFF"/>
          <w:lang w:val="en-US" w:eastAsia="zh-CN"/>
        </w:rPr>
      </w:pPr>
      <w:r>
        <w:rPr>
          <w:rFonts w:hint="eastAsia" w:ascii="仿宋" w:hAnsi="仿宋" w:eastAsia="仿宋" w:cs="仿宋"/>
          <w:b/>
          <w:bCs/>
          <w:kern w:val="2"/>
          <w:sz w:val="28"/>
          <w:szCs w:val="28"/>
          <w:shd w:val="clear" w:color="auto" w:fill="FFFFFF"/>
          <w:lang w:val="en-US" w:eastAsia="zh-CN"/>
        </w:rPr>
        <w:t>我单位承诺在上述规定时间内完成并提交符合清算或重</w:t>
      </w:r>
      <w:bookmarkStart w:id="0" w:name="_GoBack"/>
      <w:bookmarkEnd w:id="0"/>
      <w:r>
        <w:rPr>
          <w:rFonts w:hint="eastAsia" w:ascii="仿宋" w:hAnsi="仿宋" w:eastAsia="仿宋" w:cs="仿宋"/>
          <w:b/>
          <w:bCs/>
          <w:kern w:val="2"/>
          <w:sz w:val="28"/>
          <w:szCs w:val="28"/>
          <w:shd w:val="clear" w:color="auto" w:fill="FFFFFF"/>
          <w:lang w:val="en-US" w:eastAsia="zh-CN"/>
        </w:rPr>
        <w:t>整要求的工作成果，否则自愿承担扣减评估费用等相应违约责任。</w:t>
      </w:r>
    </w:p>
    <w:p w14:paraId="0F378558">
      <w:pPr>
        <w:pStyle w:val="2"/>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060" w:firstLineChars="1800"/>
        <w:jc w:val="both"/>
        <w:textAlignment w:val="auto"/>
        <w:rPr>
          <w:rFonts w:hint="eastAsia" w:ascii="仿宋" w:hAnsi="仿宋" w:eastAsia="仿宋" w:cs="仿宋"/>
          <w:b/>
          <w:bCs/>
          <w:kern w:val="2"/>
          <w:sz w:val="28"/>
          <w:szCs w:val="28"/>
          <w:shd w:val="clear" w:color="auto" w:fill="FFFFFF"/>
          <w:lang w:val="en-US" w:eastAsia="zh-CN"/>
        </w:rPr>
      </w:pPr>
      <w:r>
        <w:rPr>
          <w:rFonts w:hint="eastAsia" w:ascii="仿宋" w:hAnsi="仿宋" w:eastAsia="仿宋" w:cs="仿宋"/>
          <w:b/>
          <w:bCs/>
          <w:kern w:val="2"/>
          <w:sz w:val="28"/>
          <w:szCs w:val="28"/>
          <w:shd w:val="clear" w:color="auto" w:fill="FFFFFF"/>
          <w:lang w:val="en-US" w:eastAsia="zh-CN"/>
        </w:rPr>
        <w:t xml:space="preserve">承诺人：       </w:t>
      </w:r>
    </w:p>
    <w:p w14:paraId="55364ECA">
      <w:pPr>
        <w:pStyle w:val="2"/>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2811" w:firstLineChars="1000"/>
        <w:jc w:val="both"/>
        <w:textAlignment w:val="auto"/>
        <w:rPr>
          <w:sz w:val="28"/>
          <w:szCs w:val="28"/>
        </w:rPr>
      </w:pPr>
      <w:r>
        <w:rPr>
          <w:rFonts w:hint="eastAsia" w:ascii="仿宋" w:hAnsi="仿宋" w:eastAsia="仿宋" w:cs="仿宋"/>
          <w:b/>
          <w:bCs/>
          <w:kern w:val="2"/>
          <w:sz w:val="28"/>
          <w:szCs w:val="28"/>
          <w:shd w:val="clear" w:color="auto" w:fill="FFFFFF"/>
          <w:lang w:val="en-US" w:eastAsia="zh-CN"/>
        </w:rPr>
        <w:t xml:space="preserve">                        年  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Q2NGI4ZGE5MWQ1NGUwNDU3MTE5MmFhMmU1MTA1YmMifQ=="/>
  </w:docVars>
  <w:rsids>
    <w:rsidRoot w:val="5A596CE2"/>
    <w:rsid w:val="0F3E5A3B"/>
    <w:rsid w:val="123E2D14"/>
    <w:rsid w:val="19D80D02"/>
    <w:rsid w:val="19E262EA"/>
    <w:rsid w:val="1E0A58DF"/>
    <w:rsid w:val="2F4D47F4"/>
    <w:rsid w:val="313B0D8A"/>
    <w:rsid w:val="330D0BE8"/>
    <w:rsid w:val="35485575"/>
    <w:rsid w:val="3CA73EEE"/>
    <w:rsid w:val="483471D3"/>
    <w:rsid w:val="4E021949"/>
    <w:rsid w:val="50233D57"/>
    <w:rsid w:val="57BC0D1B"/>
    <w:rsid w:val="58F339CF"/>
    <w:rsid w:val="590A2747"/>
    <w:rsid w:val="5A596CE2"/>
    <w:rsid w:val="69FD197E"/>
    <w:rsid w:val="6A864D09"/>
    <w:rsid w:val="7CEE0041"/>
    <w:rsid w:val="7D0E54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99"/>
    <w:pPr>
      <w:widowControl/>
      <w:spacing w:before="100" w:beforeAutospacing="1" w:after="100" w:afterAutospacing="1"/>
      <w:jc w:val="left"/>
    </w:pPr>
    <w:rPr>
      <w:rFonts w:ascii="宋体" w:hAnsi="宋体" w:cs="宋体"/>
      <w:kern w:val="0"/>
      <w:sz w:val="24"/>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573</Words>
  <Characters>574</Characters>
  <Lines>0</Lines>
  <Paragraphs>0</Paragraphs>
  <TotalTime>1</TotalTime>
  <ScaleCrop>false</ScaleCrop>
  <LinksUpToDate>false</LinksUpToDate>
  <CharactersWithSpaces>609</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2019-12-18T09:17:00Z</dcterms:created>
  <dc:creator>海角/天涯</dc:creator>
  <cp:lastModifiedBy>张帅</cp:lastModifiedBy>
  <dcterms:modified xsi:type="dcterms:W3CDTF">2025-06-19T08:52:26Z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58FE1BB047434C78925858AEC79876CC</vt:lpwstr>
  </property>
  <property fmtid="{D5CDD505-2E9C-101B-9397-08002B2CF9AE}" pid="4" name="KSOTemplateDocerSaveRecord">
    <vt:lpwstr>eyJoZGlkIjoiMDQ2NGI4ZGE5MWQ1NGUwNDU3MTE5MmFhMmU1MTA1YmMiLCJ1c2VySWQiOiI0NTYwMDMxNDEifQ==</vt:lpwstr>
  </property>
</Properties>
</file>