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686AC">
      <w:pPr>
        <w:jc w:val="cente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湖北康沁药业股份有限公司预重整案</w:t>
      </w:r>
    </w:p>
    <w:p w14:paraId="6433E1FD">
      <w:pPr>
        <w:keepNext w:val="0"/>
        <w:keepLines w:val="0"/>
        <w:pageBreakBefore w:val="0"/>
        <w:widowControl w:val="0"/>
        <w:kinsoku/>
        <w:wordWrap/>
        <w:overflowPunct/>
        <w:topLinePunct w:val="0"/>
        <w:autoSpaceDE/>
        <w:autoSpaceDN/>
        <w:bidi w:val="0"/>
        <w:adjustRightInd/>
        <w:snapToGrid/>
        <w:spacing w:after="469" w:afterLines="150"/>
        <w:jc w:val="center"/>
        <w:textAlignment w:val="auto"/>
        <w:rPr>
          <w:rFonts w:hint="eastAsia" w:ascii="方正公文小标宋" w:hAnsi="方正公文小标宋" w:eastAsia="方正公文小标宋" w:cs="方正公文小标宋"/>
          <w:sz w:val="36"/>
          <w:szCs w:val="36"/>
          <w:lang w:val="en-US" w:eastAsia="zh-CN"/>
        </w:rPr>
      </w:pPr>
      <w:r>
        <w:rPr>
          <w:rFonts w:hint="eastAsia" w:ascii="华文中宋" w:hAnsi="华文中宋" w:eastAsia="华文中宋" w:cs="华文中宋"/>
          <w:b/>
          <w:bCs/>
          <w:sz w:val="36"/>
          <w:szCs w:val="36"/>
          <w:lang w:val="en-US" w:eastAsia="zh-CN"/>
        </w:rPr>
        <w:t>债权申报须知</w:t>
      </w:r>
    </w:p>
    <w:p w14:paraId="673E185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根据湖北康沁药业股份有限公司（以下简称“康沁药业公司”或“债务人”）的申请，荆门市掇刀区人民法院于</w:t>
      </w:r>
      <w:r>
        <w:rPr>
          <w:rFonts w:hint="default" w:ascii="Times New Roman" w:hAnsi="Times New Roman" w:eastAsia="仿宋" w:cs="Times New Roman"/>
          <w:sz w:val="24"/>
          <w:szCs w:val="24"/>
          <w:lang w:val="en-US" w:eastAsia="zh-CN"/>
        </w:rPr>
        <w:t>202</w:t>
      </w:r>
      <w:r>
        <w:rPr>
          <w:rFonts w:hint="eastAsia"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lang w:val="en-US" w:eastAsia="zh-CN"/>
        </w:rPr>
        <w:t>年</w:t>
      </w:r>
      <w:r>
        <w:rPr>
          <w:rFonts w:hint="eastAsia"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lang w:val="en-US" w:eastAsia="zh-CN"/>
        </w:rPr>
        <w:t>月</w:t>
      </w:r>
      <w:r>
        <w:rPr>
          <w:rFonts w:hint="eastAsia" w:ascii="Times New Roman" w:hAnsi="Times New Roman" w:eastAsia="仿宋" w:cs="Times New Roman"/>
          <w:sz w:val="24"/>
          <w:szCs w:val="24"/>
          <w:lang w:val="en-US" w:eastAsia="zh-CN"/>
        </w:rPr>
        <w:t>29</w:t>
      </w:r>
      <w:r>
        <w:rPr>
          <w:rFonts w:hint="default" w:ascii="Times New Roman" w:hAnsi="Times New Roman" w:eastAsia="仿宋" w:cs="Times New Roman"/>
          <w:sz w:val="24"/>
          <w:szCs w:val="24"/>
          <w:lang w:val="en-US" w:eastAsia="zh-CN"/>
        </w:rPr>
        <w:t>日</w:t>
      </w:r>
      <w:r>
        <w:rPr>
          <w:rFonts w:hint="eastAsia" w:ascii="Times New Roman" w:hAnsi="Times New Roman" w:eastAsia="仿宋" w:cs="Times New Roman"/>
          <w:sz w:val="24"/>
          <w:szCs w:val="24"/>
          <w:lang w:val="en-US" w:eastAsia="zh-CN"/>
        </w:rPr>
        <w:t>决定启动康沁药业公司预重整程序</w:t>
      </w:r>
      <w:r>
        <w:rPr>
          <w:rFonts w:hint="default" w:ascii="Times New Roman" w:hAnsi="Times New Roman" w:eastAsia="仿宋" w:cs="Times New Roman"/>
          <w:sz w:val="24"/>
          <w:szCs w:val="24"/>
          <w:lang w:val="en-US" w:eastAsia="zh-CN"/>
        </w:rPr>
        <w:t>，并于同日指定</w:t>
      </w:r>
      <w:r>
        <w:rPr>
          <w:rFonts w:hint="eastAsia" w:ascii="Times New Roman" w:hAnsi="Times New Roman" w:eastAsia="仿宋" w:cs="Times New Roman"/>
          <w:sz w:val="24"/>
          <w:szCs w:val="24"/>
          <w:lang w:val="en-US" w:eastAsia="zh-CN"/>
        </w:rPr>
        <w:t>上海市锦天城（武汉）律师事务所</w:t>
      </w:r>
      <w:r>
        <w:rPr>
          <w:rFonts w:hint="default" w:ascii="Times New Roman" w:hAnsi="Times New Roman" w:eastAsia="仿宋" w:cs="Times New Roman"/>
          <w:sz w:val="24"/>
          <w:szCs w:val="24"/>
          <w:lang w:val="en-US" w:eastAsia="zh-CN"/>
        </w:rPr>
        <w:t>担任临时管理人。临时管理人将在</w:t>
      </w:r>
      <w:r>
        <w:rPr>
          <w:rFonts w:hint="eastAsia" w:ascii="Times New Roman" w:hAnsi="Times New Roman" w:eastAsia="仿宋" w:cs="Times New Roman"/>
          <w:sz w:val="24"/>
          <w:szCs w:val="24"/>
          <w:lang w:val="en-US" w:eastAsia="zh-CN"/>
        </w:rPr>
        <w:t>康沁药业公司</w:t>
      </w:r>
      <w:r>
        <w:rPr>
          <w:rFonts w:hint="default" w:ascii="Times New Roman" w:hAnsi="Times New Roman" w:eastAsia="仿宋" w:cs="Times New Roman"/>
          <w:sz w:val="24"/>
          <w:szCs w:val="24"/>
          <w:lang w:val="en-US" w:eastAsia="zh-CN"/>
        </w:rPr>
        <w:t>预重整期间开展债权申报和审查工作，为保证</w:t>
      </w:r>
      <w:r>
        <w:rPr>
          <w:rFonts w:hint="eastAsia" w:ascii="Times New Roman" w:hAnsi="Times New Roman" w:eastAsia="仿宋" w:cs="Times New Roman"/>
          <w:sz w:val="24"/>
          <w:szCs w:val="24"/>
          <w:lang w:val="en-US" w:eastAsia="zh-CN"/>
        </w:rPr>
        <w:t>康沁药业公司</w:t>
      </w:r>
      <w:r>
        <w:rPr>
          <w:rFonts w:hint="default" w:ascii="Times New Roman" w:hAnsi="Times New Roman" w:eastAsia="仿宋" w:cs="Times New Roman"/>
          <w:sz w:val="24"/>
          <w:szCs w:val="24"/>
          <w:lang w:val="en-US" w:eastAsia="zh-CN"/>
        </w:rPr>
        <w:t>预重整期间债权申报工作合法、有序进行，现临时管理人就债权申报相关事项告知如下</w:t>
      </w:r>
      <w:r>
        <w:rPr>
          <w:rFonts w:hint="eastAsia" w:ascii="Times New Roman" w:hAnsi="Times New Roman" w:eastAsia="仿宋" w:cs="Times New Roman"/>
          <w:sz w:val="24"/>
          <w:szCs w:val="24"/>
          <w:lang w:eastAsia="zh-CN"/>
        </w:rPr>
        <w:t>：</w:t>
      </w:r>
    </w:p>
    <w:p w14:paraId="67FBE34C">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beforeAutospacing="0" w:afterAutospacing="0" w:line="360" w:lineRule="auto"/>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kern w:val="2"/>
          <w:sz w:val="24"/>
          <w:szCs w:val="24"/>
          <w:lang w:val="en-US" w:eastAsia="zh-CN" w:bidi="ar-SA"/>
        </w:rPr>
        <w:t>一、</w:t>
      </w:r>
      <w:r>
        <w:rPr>
          <w:rFonts w:hint="eastAsia" w:ascii="黑体" w:hAnsi="黑体" w:eastAsia="黑体" w:cs="黑体"/>
          <w:b/>
          <w:bCs/>
          <w:sz w:val="24"/>
          <w:szCs w:val="24"/>
          <w:lang w:val="en-US" w:eastAsia="zh-CN"/>
        </w:rPr>
        <w:t>债权申报主体</w:t>
      </w:r>
    </w:p>
    <w:p w14:paraId="26027D5F">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beforeAutospacing="0" w:afterAutospacing="0"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康沁药业公司享有到期或未到期债权的自然人、法人或其他组织，均可申报债权。债权人为法人或其他组织的债权，下称机构债权；债权人为自然人的债权，下称个人债权。该区分仅为表述方便，不影响权利的性质和效力。</w:t>
      </w:r>
    </w:p>
    <w:p w14:paraId="6FF6770F">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beforeAutospacing="0" w:afterAutospacing="0" w:line="360" w:lineRule="auto"/>
        <w:ind w:firstLine="482" w:firstLineChars="200"/>
        <w:textAlignment w:val="auto"/>
        <w:rPr>
          <w:rFonts w:hint="eastAsia" w:ascii="黑体" w:hAnsi="黑体" w:eastAsia="黑体" w:cs="黑体"/>
          <w:b/>
          <w:bCs/>
          <w:kern w:val="2"/>
          <w:sz w:val="24"/>
          <w:szCs w:val="24"/>
          <w:lang w:val="en-US" w:eastAsia="zh-CN" w:bidi="ar-SA"/>
        </w:rPr>
      </w:pPr>
      <w:r>
        <w:rPr>
          <w:rFonts w:hint="eastAsia" w:ascii="黑体" w:hAnsi="黑体" w:eastAsia="黑体" w:cs="黑体"/>
          <w:b/>
          <w:bCs/>
          <w:kern w:val="2"/>
          <w:sz w:val="24"/>
          <w:szCs w:val="24"/>
          <w:lang w:val="en-US" w:eastAsia="zh-CN" w:bidi="ar-SA"/>
        </w:rPr>
        <w:t>二、债权申报期限</w:t>
      </w:r>
    </w:p>
    <w:p w14:paraId="7AB74C6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b/>
          <w:bCs/>
          <w:sz w:val="24"/>
          <w:szCs w:val="24"/>
          <w:lang w:val="en-US" w:eastAsia="zh-CN"/>
        </w:rPr>
        <w:t>债权人应在2025年7月6日前向临时管理人申报债权</w:t>
      </w:r>
      <w:r>
        <w:rPr>
          <w:rFonts w:hint="eastAsia" w:ascii="Times New Roman" w:hAnsi="Times New Roman" w:eastAsia="仿宋" w:cs="Times New Roman"/>
          <w:sz w:val="24"/>
          <w:szCs w:val="24"/>
          <w:lang w:val="en-US" w:eastAsia="zh-CN"/>
        </w:rPr>
        <w:t>。未在前述期限内申报债权的债权人，参照《中华人民共和国企业破产法》的相关规定处理，相关不利后果由债权人自行承担。</w:t>
      </w:r>
    </w:p>
    <w:p w14:paraId="7BD9D7B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临时管理人是负责本次债权申报和审查工作的唯一主体，若债权人向</w:t>
      </w:r>
      <w:r>
        <w:rPr>
          <w:rFonts w:hint="eastAsia" w:ascii="仿宋" w:hAnsi="仿宋" w:eastAsia="仿宋" w:cs="仿宋"/>
          <w:b w:val="0"/>
          <w:bCs w:val="0"/>
          <w:sz w:val="24"/>
          <w:szCs w:val="24"/>
          <w:lang w:val="en-US" w:eastAsia="zh-CN"/>
        </w:rPr>
        <w:t>康沁药业公司</w:t>
      </w:r>
      <w:r>
        <w:rPr>
          <w:rFonts w:hint="eastAsia" w:ascii="Times New Roman" w:hAnsi="Times New Roman" w:eastAsia="仿宋" w:cs="Times New Roman"/>
          <w:sz w:val="24"/>
          <w:szCs w:val="24"/>
          <w:lang w:val="en-US" w:eastAsia="zh-CN"/>
        </w:rPr>
        <w:t>、荆门市掇刀区人民法院等其他主体申报债权，将被视为无效申报，请各位债权人按照本《债权申报须知》向临时管理人申报债权。</w:t>
      </w:r>
    </w:p>
    <w:p w14:paraId="7215E92D">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beforeAutospacing="0" w:afterAutospacing="0" w:line="360" w:lineRule="auto"/>
        <w:ind w:firstLine="482" w:firstLineChars="200"/>
        <w:textAlignment w:val="auto"/>
        <w:rPr>
          <w:rFonts w:hint="default" w:ascii="黑体" w:hAnsi="黑体" w:eastAsia="黑体" w:cs="黑体"/>
          <w:b/>
          <w:bCs/>
          <w:kern w:val="2"/>
          <w:sz w:val="24"/>
          <w:szCs w:val="24"/>
          <w:lang w:val="en-US" w:eastAsia="zh-CN" w:bidi="ar-SA"/>
        </w:rPr>
      </w:pPr>
      <w:r>
        <w:rPr>
          <w:rFonts w:hint="eastAsia" w:ascii="黑体" w:hAnsi="黑体" w:eastAsia="黑体" w:cs="黑体"/>
          <w:b/>
          <w:bCs/>
          <w:kern w:val="2"/>
          <w:sz w:val="24"/>
          <w:szCs w:val="24"/>
          <w:lang w:val="en-US" w:eastAsia="zh-CN" w:bidi="ar-SA"/>
        </w:rPr>
        <w:t>三、债权申报方式与临时管理人联系方式</w:t>
      </w:r>
    </w:p>
    <w:p w14:paraId="6C5BB84A">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360" w:lineRule="auto"/>
        <w:ind w:firstLine="482" w:firstLineChars="200"/>
        <w:textAlignment w:val="auto"/>
        <w:rPr>
          <w:rFonts w:hint="eastAsia" w:ascii="楷体" w:hAnsi="楷体" w:eastAsia="楷体" w:cs="楷体"/>
          <w:sz w:val="24"/>
          <w:szCs w:val="24"/>
          <w:lang w:val="en-US" w:eastAsia="zh-CN"/>
        </w:rPr>
      </w:pPr>
      <w:r>
        <w:rPr>
          <w:rFonts w:hint="eastAsia" w:ascii="楷体" w:hAnsi="楷体" w:eastAsia="楷体" w:cs="楷体"/>
          <w:b/>
          <w:bCs/>
          <w:sz w:val="24"/>
          <w:szCs w:val="24"/>
          <w:lang w:val="en-US" w:eastAsia="zh-CN"/>
        </w:rPr>
        <w:t>（一）债权申报方式</w:t>
      </w:r>
    </w:p>
    <w:p w14:paraId="4166FF3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本次债权申报采取现场提交申报材料或邮寄申报材料的方式。本次债权申报涉及的债权申报文件可以在全国企业破产重整案件信息网下载，债权人填写相关信息并打印贰份，请在每页材料上进行签字或盖章（骑缝章）。债权人可以在临时管理人办公地点提交申报材料或者向临时管理人邮寄申报材料，债权人邮寄申报的，请在邮寄单注明“康沁药业公司预重整债权申报”字样，并保留邮件寄送底单。</w:t>
      </w:r>
    </w:p>
    <w:p w14:paraId="754C832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2.债权申报材料的原件由债权申报人自行妥善保管，临时管理人有权要求债权申报人随时提交原件进行核对，如债权申报人无法提供原件，可能承担举证不能的法律后果。</w:t>
      </w:r>
    </w:p>
    <w:p w14:paraId="450B4CB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（二）临时管理人联系方式</w:t>
      </w:r>
    </w:p>
    <w:tbl>
      <w:tblPr>
        <w:tblStyle w:val="9"/>
        <w:tblW w:w="8300" w:type="dxa"/>
        <w:tblInd w:w="1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159"/>
        <w:gridCol w:w="6141"/>
      </w:tblGrid>
      <w:tr w14:paraId="62F6D6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159" w:type="dxa"/>
            <w:tcBorders>
              <w:tl2br w:val="nil"/>
              <w:tr2bl w:val="nil"/>
            </w:tcBorders>
            <w:vAlign w:val="center"/>
          </w:tcPr>
          <w:p w14:paraId="37060F08">
            <w:pPr>
              <w:pStyle w:val="8"/>
              <w:spacing w:before="232" w:line="224" w:lineRule="auto"/>
              <w:ind w:left="641"/>
              <w:jc w:val="both"/>
              <w:rPr>
                <w:rFonts w:hint="default" w:ascii="Times New Roman" w:hAnsi="Times New Roman" w:eastAsia="仿宋" w:cs="Times New Roman"/>
                <w:sz w:val="24"/>
                <w:szCs w:val="24"/>
              </w:rPr>
            </w:pPr>
            <w:r>
              <w:rPr>
                <w:rFonts w:hint="default" w:ascii="Times New Roman" w:hAnsi="Times New Roman" w:eastAsia="仿宋" w:cs="Times New Roman"/>
                <w:b/>
                <w:bCs/>
                <w:spacing w:val="-7"/>
                <w:sz w:val="24"/>
                <w:szCs w:val="24"/>
              </w:rPr>
              <w:t>联系人</w:t>
            </w:r>
          </w:p>
        </w:tc>
        <w:tc>
          <w:tcPr>
            <w:tcW w:w="6141" w:type="dxa"/>
            <w:tcBorders>
              <w:tl2br w:val="nil"/>
              <w:tr2bl w:val="nil"/>
            </w:tcBorders>
            <w:vAlign w:val="center"/>
          </w:tcPr>
          <w:p w14:paraId="4CD1114D">
            <w:pPr>
              <w:pStyle w:val="8"/>
              <w:spacing w:before="232" w:line="219" w:lineRule="auto"/>
              <w:ind w:left="127"/>
              <w:jc w:val="center"/>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lang w:eastAsia="zh-CN"/>
              </w:rPr>
              <w:t>湖北康沁药业股份有限公司</w:t>
            </w:r>
            <w:r>
              <w:rPr>
                <w:rFonts w:hint="default" w:ascii="Times New Roman" w:hAnsi="Times New Roman" w:eastAsia="仿宋" w:cs="Times New Roman"/>
                <w:spacing w:val="-2"/>
                <w:sz w:val="24"/>
                <w:szCs w:val="24"/>
              </w:rPr>
              <w:t>临时管理人</w:t>
            </w:r>
          </w:p>
        </w:tc>
      </w:tr>
      <w:tr w14:paraId="2078CD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59" w:type="dxa"/>
            <w:tcBorders>
              <w:tl2br w:val="nil"/>
              <w:tr2bl w:val="nil"/>
            </w:tcBorders>
            <w:vAlign w:val="center"/>
          </w:tcPr>
          <w:p w14:paraId="54D93153">
            <w:pPr>
              <w:pStyle w:val="8"/>
              <w:spacing w:before="227" w:line="224" w:lineRule="auto"/>
              <w:ind w:left="529"/>
              <w:jc w:val="both"/>
              <w:rPr>
                <w:rFonts w:hint="default" w:ascii="Times New Roman" w:hAnsi="Times New Roman" w:eastAsia="仿宋" w:cs="Times New Roman"/>
                <w:sz w:val="24"/>
                <w:szCs w:val="24"/>
              </w:rPr>
            </w:pPr>
            <w:r>
              <w:rPr>
                <w:rFonts w:hint="default" w:ascii="Times New Roman" w:hAnsi="Times New Roman" w:eastAsia="仿宋" w:cs="Times New Roman"/>
                <w:b/>
                <w:bCs/>
                <w:spacing w:val="-8"/>
                <w:sz w:val="24"/>
                <w:szCs w:val="24"/>
              </w:rPr>
              <w:t>通讯地址</w:t>
            </w:r>
          </w:p>
        </w:tc>
        <w:tc>
          <w:tcPr>
            <w:tcW w:w="6141" w:type="dxa"/>
            <w:tcBorders>
              <w:tl2br w:val="nil"/>
              <w:tr2bl w:val="nil"/>
            </w:tcBorders>
            <w:vAlign w:val="center"/>
          </w:tcPr>
          <w:p w14:paraId="0C71B098">
            <w:pPr>
              <w:pStyle w:val="8"/>
              <w:spacing w:before="228" w:line="222" w:lineRule="auto"/>
              <w:ind w:left="126"/>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pacing w:val="-3"/>
                <w:sz w:val="24"/>
                <w:szCs w:val="24"/>
              </w:rPr>
              <w:t>湖北省</w:t>
            </w:r>
            <w:r>
              <w:rPr>
                <w:rFonts w:hint="default" w:ascii="Times New Roman" w:hAnsi="Times New Roman" w:eastAsia="仿宋" w:cs="Times New Roman"/>
                <w:spacing w:val="-3"/>
                <w:sz w:val="24"/>
                <w:szCs w:val="24"/>
                <w:lang w:val="en-US" w:eastAsia="zh-CN"/>
              </w:rPr>
              <w:t>荆门市掇刀区迎春大道99号</w:t>
            </w:r>
          </w:p>
        </w:tc>
      </w:tr>
      <w:tr w14:paraId="370174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59" w:type="dxa"/>
            <w:tcBorders>
              <w:tl2br w:val="nil"/>
              <w:tr2bl w:val="nil"/>
            </w:tcBorders>
            <w:vAlign w:val="center"/>
          </w:tcPr>
          <w:p w14:paraId="176A0FC7">
            <w:pPr>
              <w:pStyle w:val="8"/>
              <w:spacing w:before="228" w:line="223" w:lineRule="auto"/>
              <w:ind w:left="521"/>
              <w:jc w:val="both"/>
              <w:rPr>
                <w:rFonts w:hint="default" w:ascii="Times New Roman" w:hAnsi="Times New Roman" w:eastAsia="仿宋" w:cs="Times New Roman"/>
                <w:sz w:val="24"/>
                <w:szCs w:val="24"/>
              </w:rPr>
            </w:pPr>
            <w:r>
              <w:rPr>
                <w:rFonts w:hint="default" w:ascii="Times New Roman" w:hAnsi="Times New Roman" w:eastAsia="仿宋" w:cs="Times New Roman"/>
                <w:b/>
                <w:bCs/>
                <w:spacing w:val="-6"/>
                <w:sz w:val="24"/>
                <w:szCs w:val="24"/>
              </w:rPr>
              <w:t>联系电话</w:t>
            </w:r>
          </w:p>
        </w:tc>
        <w:tc>
          <w:tcPr>
            <w:tcW w:w="6141" w:type="dxa"/>
            <w:tcBorders>
              <w:tl2br w:val="nil"/>
              <w:tr2bl w:val="nil"/>
            </w:tcBorders>
            <w:vAlign w:val="center"/>
          </w:tcPr>
          <w:p w14:paraId="750FA5A3">
            <w:pPr>
              <w:spacing w:before="270" w:line="188" w:lineRule="auto"/>
              <w:ind w:left="132"/>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陈律师 18971132428；曹律师 17771416126</w:t>
            </w:r>
          </w:p>
        </w:tc>
      </w:tr>
      <w:tr w14:paraId="628F6D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59" w:type="dxa"/>
            <w:tcBorders>
              <w:tl2br w:val="nil"/>
              <w:tr2bl w:val="nil"/>
            </w:tcBorders>
            <w:vAlign w:val="center"/>
          </w:tcPr>
          <w:p w14:paraId="7C65D637">
            <w:pPr>
              <w:pStyle w:val="8"/>
              <w:spacing w:before="231" w:line="221" w:lineRule="auto"/>
              <w:ind w:left="550"/>
              <w:jc w:val="both"/>
              <w:rPr>
                <w:rFonts w:hint="default" w:ascii="Times New Roman" w:hAnsi="Times New Roman" w:eastAsia="仿宋" w:cs="Times New Roman"/>
                <w:sz w:val="24"/>
                <w:szCs w:val="24"/>
              </w:rPr>
            </w:pPr>
            <w:r>
              <w:rPr>
                <w:rFonts w:hint="default" w:ascii="Times New Roman" w:hAnsi="Times New Roman" w:eastAsia="仿宋" w:cs="Times New Roman"/>
                <w:b/>
                <w:bCs/>
                <w:spacing w:val="-13"/>
                <w:sz w:val="24"/>
                <w:szCs w:val="24"/>
              </w:rPr>
              <w:t>电子邮箱</w:t>
            </w:r>
          </w:p>
        </w:tc>
        <w:tc>
          <w:tcPr>
            <w:tcW w:w="6141" w:type="dxa"/>
            <w:tcBorders>
              <w:tl2br w:val="nil"/>
              <w:tr2bl w:val="nil"/>
            </w:tcBorders>
            <w:vAlign w:val="center"/>
          </w:tcPr>
          <w:p w14:paraId="0CD9F32C">
            <w:pPr>
              <w:spacing w:before="266" w:line="192" w:lineRule="auto"/>
              <w:ind w:left="107"/>
              <w:jc w:val="center"/>
              <w:rPr>
                <w:rFonts w:hint="default" w:ascii="Times New Roman" w:hAnsi="Times New Roman" w:eastAsia="仿宋" w:cs="Times New Roman"/>
                <w:sz w:val="24"/>
                <w:szCs w:val="24"/>
              </w:rPr>
            </w:pPr>
            <w:r>
              <w:rPr>
                <w:rFonts w:hint="default" w:ascii="Times New Roman" w:hAnsi="Times New Roman" w:eastAsia="仿宋" w:cs="Times New Roman"/>
                <w:spacing w:val="-1"/>
                <w:sz w:val="24"/>
                <w:szCs w:val="24"/>
                <w:lang w:val="en-US" w:eastAsia="zh-CN"/>
              </w:rPr>
              <w:t>caogang@albrightlaw</w:t>
            </w:r>
            <w:r>
              <w:rPr>
                <w:rFonts w:hint="default" w:ascii="Times New Roman" w:hAnsi="Times New Roman" w:eastAsia="仿宋" w:cs="Times New Roman"/>
                <w:spacing w:val="-1"/>
                <w:sz w:val="24"/>
                <w:szCs w:val="24"/>
              </w:rPr>
              <w:t>.com</w:t>
            </w:r>
          </w:p>
        </w:tc>
      </w:tr>
      <w:tr w14:paraId="2CD4C3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159" w:type="dxa"/>
            <w:tcBorders>
              <w:tl2br w:val="nil"/>
              <w:tr2bl w:val="nil"/>
            </w:tcBorders>
            <w:vAlign w:val="center"/>
          </w:tcPr>
          <w:p w14:paraId="26F7E044">
            <w:pPr>
              <w:pStyle w:val="8"/>
              <w:spacing w:before="232" w:line="222" w:lineRule="auto"/>
              <w:ind w:left="308"/>
              <w:jc w:val="both"/>
              <w:rPr>
                <w:rFonts w:hint="default" w:ascii="Times New Roman" w:hAnsi="Times New Roman" w:eastAsia="仿宋" w:cs="Times New Roman"/>
                <w:sz w:val="24"/>
                <w:szCs w:val="24"/>
              </w:rPr>
            </w:pPr>
            <w:r>
              <w:rPr>
                <w:rFonts w:hint="default" w:ascii="Times New Roman" w:hAnsi="Times New Roman" w:eastAsia="仿宋" w:cs="Times New Roman"/>
                <w:b/>
                <w:bCs/>
                <w:spacing w:val="-9"/>
                <w:sz w:val="24"/>
                <w:szCs w:val="24"/>
              </w:rPr>
              <w:t>电话接听时间</w:t>
            </w:r>
          </w:p>
        </w:tc>
        <w:tc>
          <w:tcPr>
            <w:tcW w:w="6141" w:type="dxa"/>
            <w:tcBorders>
              <w:tl2br w:val="nil"/>
              <w:tr2bl w:val="nil"/>
            </w:tcBorders>
            <w:vAlign w:val="center"/>
          </w:tcPr>
          <w:p w14:paraId="312D6E90">
            <w:pPr>
              <w:pStyle w:val="8"/>
              <w:spacing w:before="232" w:line="220" w:lineRule="auto"/>
              <w:ind w:left="126"/>
              <w:jc w:val="center"/>
              <w:rPr>
                <w:rFonts w:hint="default" w:ascii="Times New Roman" w:hAnsi="Times New Roman" w:eastAsia="仿宋" w:cs="Times New Roman"/>
                <w:sz w:val="24"/>
                <w:szCs w:val="24"/>
              </w:rPr>
            </w:pPr>
            <w:r>
              <w:rPr>
                <w:rFonts w:hint="default" w:ascii="Times New Roman" w:hAnsi="Times New Roman" w:eastAsia="仿宋" w:cs="Times New Roman"/>
                <w:spacing w:val="-5"/>
                <w:sz w:val="24"/>
                <w:szCs w:val="24"/>
              </w:rPr>
              <w:t>工作日：9:00-11:30，14:00-17:</w:t>
            </w:r>
            <w:r>
              <w:rPr>
                <w:rFonts w:hint="default" w:ascii="Times New Roman" w:hAnsi="Times New Roman" w:cs="Times New Roman"/>
                <w:spacing w:val="-5"/>
                <w:sz w:val="24"/>
                <w:szCs w:val="24"/>
                <w:lang w:val="en-US" w:eastAsia="zh-CN"/>
              </w:rPr>
              <w:t>0</w:t>
            </w:r>
            <w:r>
              <w:rPr>
                <w:rFonts w:hint="default" w:ascii="Times New Roman" w:hAnsi="Times New Roman" w:eastAsia="仿宋" w:cs="Times New Roman"/>
                <w:spacing w:val="-5"/>
                <w:sz w:val="24"/>
                <w:szCs w:val="24"/>
              </w:rPr>
              <w:t>0</w:t>
            </w:r>
          </w:p>
        </w:tc>
      </w:tr>
    </w:tbl>
    <w:p w14:paraId="4F7CC8E6">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beforeAutospacing="0" w:afterAutospacing="0" w:line="360" w:lineRule="auto"/>
        <w:ind w:firstLine="482" w:firstLineChars="200"/>
        <w:textAlignment w:val="auto"/>
        <w:rPr>
          <w:rFonts w:hint="eastAsia" w:ascii="黑体" w:hAnsi="黑体" w:eastAsia="黑体" w:cs="黑体"/>
          <w:b/>
          <w:bCs/>
          <w:kern w:val="2"/>
          <w:sz w:val="24"/>
          <w:szCs w:val="24"/>
          <w:lang w:val="en-US" w:eastAsia="zh-CN" w:bidi="ar-SA"/>
        </w:rPr>
      </w:pPr>
      <w:r>
        <w:rPr>
          <w:rFonts w:hint="eastAsia" w:ascii="黑体" w:hAnsi="黑体" w:eastAsia="黑体" w:cs="黑体"/>
          <w:b/>
          <w:bCs/>
          <w:kern w:val="2"/>
          <w:sz w:val="24"/>
          <w:szCs w:val="24"/>
          <w:lang w:val="en-US" w:eastAsia="zh-CN" w:bidi="ar-SA"/>
        </w:rPr>
        <w:t>四、债权申报的范围</w:t>
      </w:r>
    </w:p>
    <w:p w14:paraId="20A8717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Times New Roman Regular" w:hAnsi="Times New Roman Regular" w:eastAsia="仿宋_GB2312" w:cs="Times New Roman Regular"/>
          <w:bCs/>
          <w:sz w:val="24"/>
          <w:szCs w:val="24"/>
          <w:lang w:val="en-US" w:eastAsia="zh-CN"/>
        </w:rPr>
      </w:pPr>
      <w:r>
        <w:rPr>
          <w:rFonts w:hint="eastAsia" w:ascii="Times New Roman Regular" w:hAnsi="Times New Roman Regular" w:eastAsia="仿宋_GB2312" w:cs="Times New Roman Regular"/>
          <w:bCs/>
          <w:sz w:val="24"/>
          <w:szCs w:val="24"/>
          <w:lang w:val="en-US" w:eastAsia="zh-CN"/>
        </w:rPr>
        <w:t>符合下列情形的债权人，均可向临时管理人申报债权：</w:t>
      </w:r>
    </w:p>
    <w:p w14:paraId="0479D30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Times New Roman Regular" w:hAnsi="Times New Roman Regular" w:eastAsia="仿宋_GB2312" w:cs="Times New Roman Regular"/>
          <w:bCs/>
          <w:sz w:val="24"/>
          <w:szCs w:val="24"/>
          <w:lang w:val="en-US" w:eastAsia="zh-CN"/>
        </w:rPr>
      </w:pPr>
      <w:r>
        <w:rPr>
          <w:rFonts w:hint="eastAsia" w:ascii="Times New Roman Regular" w:hAnsi="Times New Roman Regular" w:eastAsia="仿宋_GB2312" w:cs="Times New Roman Regular"/>
          <w:bCs/>
          <w:sz w:val="24"/>
          <w:szCs w:val="24"/>
          <w:lang w:val="en-US" w:eastAsia="zh-CN"/>
        </w:rPr>
        <w:t>1.法院决定启动本次预重整程序时对债务人享有债权的债权人，可以向临时管理人申报债权。</w:t>
      </w:r>
    </w:p>
    <w:p w14:paraId="5A720E6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eastAsia" w:ascii="Times New Roman Regular" w:hAnsi="Times New Roman Regular" w:eastAsia="仿宋_GB2312" w:cs="Times New Roman Regular"/>
          <w:b/>
          <w:bCs w:val="0"/>
          <w:sz w:val="24"/>
          <w:szCs w:val="24"/>
          <w:lang w:val="en-US" w:eastAsia="zh-CN"/>
        </w:rPr>
      </w:pPr>
      <w:r>
        <w:rPr>
          <w:rFonts w:hint="eastAsia" w:ascii="Times New Roman Regular" w:hAnsi="Times New Roman Regular" w:eastAsia="仿宋_GB2312" w:cs="Times New Roman Regular"/>
          <w:b/>
          <w:bCs w:val="0"/>
          <w:sz w:val="24"/>
          <w:szCs w:val="24"/>
          <w:lang w:val="en-US" w:eastAsia="zh-CN"/>
        </w:rPr>
        <w:t>2.为便于统计债权金额，未到期债权，荆门市掇刀区人民法院决定启动预重整程序时（即2025年5月29日）暂时视为已到期；附利息的债权自</w:t>
      </w:r>
      <w:r>
        <w:rPr>
          <w:rFonts w:hint="eastAsia" w:ascii="Times New Roman Regular" w:hAnsi="Times New Roman Regular" w:eastAsia="仿宋_GB2312" w:cs="Times New Roman Regular"/>
          <w:b/>
          <w:bCs w:val="0"/>
          <w:sz w:val="24"/>
          <w:szCs w:val="24"/>
          <w:u w:val="single"/>
          <w:lang w:val="en-US" w:eastAsia="zh-CN"/>
        </w:rPr>
        <w:t>2025年5月29日</w:t>
      </w:r>
      <w:r>
        <w:rPr>
          <w:rFonts w:hint="eastAsia" w:ascii="Times New Roman Regular" w:hAnsi="Times New Roman Regular" w:eastAsia="仿宋_GB2312" w:cs="Times New Roman Regular"/>
          <w:b/>
          <w:bCs w:val="0"/>
          <w:sz w:val="24"/>
          <w:szCs w:val="24"/>
          <w:u w:val="none"/>
          <w:lang w:val="en-US" w:eastAsia="zh-CN"/>
        </w:rPr>
        <w:t>暂时视为</w:t>
      </w:r>
      <w:r>
        <w:rPr>
          <w:rFonts w:hint="eastAsia" w:ascii="Times New Roman Regular" w:hAnsi="Times New Roman Regular" w:eastAsia="仿宋_GB2312" w:cs="Times New Roman Regular"/>
          <w:b/>
          <w:bCs w:val="0"/>
          <w:sz w:val="24"/>
          <w:szCs w:val="24"/>
          <w:lang w:val="en-US" w:eastAsia="zh-CN"/>
        </w:rPr>
        <w:t>停止计息，后续荆门市掇刀区人民法院裁定受理康沁药业公司重整的，债权人仅需就荆门市掇刀区人民法院决定启动预重整程序之日至正式裁定受理重整之日期间的利息、违约金等向管理人进行补充申报或按临时管理人原审查意见标准补充计算。如未受理的，则前述利息继续计算。</w:t>
      </w:r>
    </w:p>
    <w:p w14:paraId="3C88FC8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Times New Roman Regular" w:hAnsi="Times New Roman Regular" w:eastAsia="仿宋_GB2312" w:cs="Times New Roman Regular"/>
          <w:bCs/>
          <w:sz w:val="24"/>
          <w:szCs w:val="24"/>
          <w:lang w:val="en-US" w:eastAsia="zh-CN"/>
        </w:rPr>
      </w:pPr>
      <w:r>
        <w:rPr>
          <w:rFonts w:hint="eastAsia" w:ascii="Times New Roman Regular" w:hAnsi="Times New Roman Regular" w:eastAsia="仿宋_GB2312" w:cs="Times New Roman Regular"/>
          <w:bCs/>
          <w:sz w:val="24"/>
          <w:szCs w:val="24"/>
          <w:lang w:val="en-US" w:eastAsia="zh-CN"/>
        </w:rPr>
        <w:t>3.债务人的保证人或者其他连带债务人已经代替债务人清偿债务的，以其对债务人的求偿权申报债权。债务人的保证人或者其他连带债务人尚未代替债务人清偿债务的，以其对债务人的将来求偿权申报债权。但是，债权申报人已经向临时管理人申报全部债权的除外。</w:t>
      </w:r>
    </w:p>
    <w:p w14:paraId="4F7129D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Times New Roman Regular" w:hAnsi="Times New Roman Regular" w:eastAsia="仿宋_GB2312" w:cs="Times New Roman Regular"/>
          <w:bCs/>
          <w:sz w:val="24"/>
          <w:szCs w:val="24"/>
          <w:lang w:val="en-US" w:eastAsia="zh-CN"/>
        </w:rPr>
      </w:pPr>
      <w:r>
        <w:rPr>
          <w:rFonts w:hint="eastAsia" w:ascii="Times New Roman Regular" w:hAnsi="Times New Roman Regular" w:eastAsia="仿宋_GB2312" w:cs="Times New Roman Regular"/>
          <w:bCs/>
          <w:sz w:val="24"/>
          <w:szCs w:val="24"/>
          <w:lang w:val="en-US" w:eastAsia="zh-CN"/>
        </w:rPr>
        <w:t>4.康沁药业公司为他人的债务提供担保的，债权申报人有权申报其对康沁药业公司的保证债权。</w:t>
      </w:r>
    </w:p>
    <w:p w14:paraId="042E998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Times New Roman Regular" w:hAnsi="Times New Roman Regular" w:eastAsia="仿宋_GB2312" w:cs="Times New Roman Regular"/>
          <w:bCs/>
          <w:sz w:val="24"/>
          <w:szCs w:val="24"/>
          <w:lang w:val="en-US" w:eastAsia="zh-CN"/>
        </w:rPr>
      </w:pPr>
      <w:r>
        <w:rPr>
          <w:rFonts w:hint="eastAsia" w:ascii="Times New Roman Regular" w:hAnsi="Times New Roman Regular" w:eastAsia="仿宋_GB2312" w:cs="Times New Roman Regular"/>
          <w:bCs/>
          <w:sz w:val="24"/>
          <w:szCs w:val="24"/>
          <w:lang w:val="en-US" w:eastAsia="zh-CN"/>
        </w:rPr>
        <w:t>5.连带债权人可以由其中一人代表全体连带债权人申报债权，也可以共同申报债权。</w:t>
      </w:r>
    </w:p>
    <w:p w14:paraId="3A311CD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Times New Roman Regular" w:hAnsi="Times New Roman Regular" w:eastAsia="仿宋_GB2312" w:cs="Times New Roman Regular"/>
          <w:bCs/>
          <w:sz w:val="24"/>
          <w:szCs w:val="24"/>
          <w:lang w:val="en-US" w:eastAsia="zh-CN"/>
        </w:rPr>
      </w:pPr>
      <w:r>
        <w:rPr>
          <w:rFonts w:hint="eastAsia" w:ascii="Times New Roman Regular" w:hAnsi="Times New Roman Regular" w:eastAsia="仿宋_GB2312" w:cs="Times New Roman Regular"/>
          <w:bCs/>
          <w:sz w:val="24"/>
          <w:szCs w:val="24"/>
          <w:lang w:val="en-US" w:eastAsia="zh-CN"/>
        </w:rPr>
        <w:t>6.债务人是委托合同的委托人，法院决定启动对债务人的预重整程序，受托人不知该事实，继续处理委托事务的，受托人以由此产生的请求权申报债权。</w:t>
      </w:r>
    </w:p>
    <w:p w14:paraId="1D0F314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Times New Roman Regular" w:hAnsi="Times New Roman Regular" w:eastAsia="仿宋_GB2312" w:cs="Times New Roman Regular"/>
          <w:bCs/>
          <w:sz w:val="24"/>
          <w:szCs w:val="24"/>
          <w:lang w:val="en-US" w:eastAsia="zh-CN"/>
        </w:rPr>
      </w:pPr>
      <w:r>
        <w:rPr>
          <w:rFonts w:hint="eastAsia" w:ascii="Times New Roman Regular" w:hAnsi="Times New Roman Regular" w:eastAsia="仿宋_GB2312" w:cs="Times New Roman Regular"/>
          <w:bCs/>
          <w:sz w:val="24"/>
          <w:szCs w:val="24"/>
          <w:lang w:val="en-US" w:eastAsia="zh-CN"/>
        </w:rPr>
        <w:t>7.债务人是票据的出票人，该票据的付款人继续付款或者承兑的，付款人以由此产生的请求权申报债权。</w:t>
      </w:r>
    </w:p>
    <w:p w14:paraId="61765D6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Times New Roman Regular" w:hAnsi="Times New Roman Regular" w:eastAsia="仿宋_GB2312" w:cs="Times New Roman Regular"/>
          <w:bCs/>
          <w:sz w:val="24"/>
          <w:szCs w:val="24"/>
          <w:lang w:val="en-US" w:eastAsia="zh-CN"/>
        </w:rPr>
      </w:pPr>
      <w:r>
        <w:rPr>
          <w:rFonts w:hint="eastAsia" w:ascii="Times New Roman Regular" w:hAnsi="Times New Roman Regular" w:eastAsia="仿宋_GB2312" w:cs="Times New Roman Regular"/>
          <w:bCs/>
          <w:sz w:val="24"/>
          <w:szCs w:val="24"/>
          <w:lang w:val="en-US" w:eastAsia="zh-CN"/>
        </w:rPr>
        <w:t>8.附条件、附期限的债权和诉讼、仲裁未决的债权，债权申报人可以申报。</w:t>
      </w:r>
    </w:p>
    <w:p w14:paraId="365CC56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Times New Roman Regular" w:hAnsi="Times New Roman Regular" w:eastAsia="仿宋_GB2312" w:cs="Times New Roman Regular"/>
          <w:bCs/>
          <w:sz w:val="24"/>
          <w:szCs w:val="24"/>
          <w:lang w:val="en-US" w:eastAsia="zh-CN"/>
        </w:rPr>
      </w:pPr>
      <w:r>
        <w:rPr>
          <w:rFonts w:hint="eastAsia" w:ascii="Times New Roman Regular" w:hAnsi="Times New Roman Regular" w:eastAsia="仿宋_GB2312" w:cs="Times New Roman Regular"/>
          <w:bCs/>
          <w:sz w:val="24"/>
          <w:szCs w:val="24"/>
          <w:lang w:val="en-US" w:eastAsia="zh-CN"/>
        </w:rPr>
        <w:t>9.我国现行破产债权的体系根据清偿顺序的不同可分为优先债权、普通债权和劣后债权。优先债权包括由财产担保的债权、建设工程款优先权、职工债权、人身损害赔偿债权、欠缴税款本金和社保债权；劣后债权包括民事惩罚性赔偿金（如迟延履行金）、行政罚款、刑事罚金，以及关联企业成员间利用不当关联关系形成的关联债权。</w:t>
      </w:r>
    </w:p>
    <w:p w14:paraId="178DFAC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Regular" w:hAnsi="Times New Roman Regular" w:eastAsia="仿宋_GB2312" w:cs="Times New Roman Regular"/>
          <w:bCs/>
          <w:sz w:val="24"/>
          <w:szCs w:val="24"/>
          <w:lang w:val="en-US" w:eastAsia="zh-CN"/>
        </w:rPr>
      </w:pPr>
      <w:r>
        <w:rPr>
          <w:rFonts w:hint="eastAsia" w:ascii="Times New Roman Regular" w:hAnsi="Times New Roman Regular" w:eastAsia="仿宋_GB2312" w:cs="Times New Roman Regular"/>
          <w:bCs/>
          <w:sz w:val="24"/>
          <w:szCs w:val="24"/>
          <w:lang w:val="en-US" w:eastAsia="zh-CN"/>
        </w:rPr>
        <w:t>10.其他可以向管理人申报债权的情形。</w:t>
      </w:r>
    </w:p>
    <w:p w14:paraId="084C97F6">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beforeAutospacing="0" w:afterAutospacing="0" w:line="360" w:lineRule="auto"/>
        <w:ind w:firstLine="482" w:firstLineChars="200"/>
        <w:textAlignment w:val="auto"/>
        <w:rPr>
          <w:rFonts w:hint="eastAsia" w:ascii="黑体" w:hAnsi="黑体" w:eastAsia="黑体" w:cs="黑体"/>
          <w:b/>
          <w:bCs/>
          <w:kern w:val="2"/>
          <w:sz w:val="24"/>
          <w:szCs w:val="24"/>
          <w:lang w:val="en-US" w:eastAsia="zh-CN" w:bidi="ar-SA"/>
        </w:rPr>
      </w:pPr>
      <w:r>
        <w:rPr>
          <w:rFonts w:hint="eastAsia" w:ascii="黑体" w:hAnsi="黑体" w:eastAsia="黑体" w:cs="黑体"/>
          <w:b/>
          <w:bCs/>
          <w:kern w:val="2"/>
          <w:sz w:val="24"/>
          <w:szCs w:val="24"/>
          <w:lang w:val="en-US" w:eastAsia="zh-CN" w:bidi="ar-SA"/>
        </w:rPr>
        <w:t>五、债权申报应提交的资料</w:t>
      </w:r>
    </w:p>
    <w:p w14:paraId="67C6EE1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Times New Roman Regular" w:hAnsi="Times New Roman Regular" w:eastAsia="仿宋_GB2312" w:cs="Times New Roman Regular"/>
          <w:bCs/>
          <w:sz w:val="24"/>
          <w:szCs w:val="24"/>
          <w:lang w:val="en-US" w:eastAsia="zh-CN"/>
        </w:rPr>
      </w:pPr>
      <w:r>
        <w:rPr>
          <w:rFonts w:hint="eastAsia" w:ascii="Times New Roman Regular" w:hAnsi="Times New Roman Regular" w:eastAsia="仿宋_GB2312" w:cs="Times New Roman Regular"/>
          <w:bCs/>
          <w:sz w:val="24"/>
          <w:szCs w:val="24"/>
          <w:lang w:val="en-US" w:eastAsia="zh-CN"/>
        </w:rPr>
        <w:t>债权申报人申报债权时，应向临时管理人提交纸质版债权申报材料，所有材料均需统一为A4型纸，并盖章/签字、捺印。债权申报人应当保证其提交的材料与原件一致，并持续保管相关债权申报材料中扫描件、复印件所对应的原件。债权申报人提供的全部复印件上须注明“与原件核对一致”字样并加盖公章或签字捺印。（若复印件页数较多，机构还应当加盖骑缝章，并在申报材料首页和尾页加盖公章；个人还应当在复印件的骑缝处签字捺印，并在申报材料首页和尾页签字捺印）若临时管理人认为债权申报人提交的材料不完整，有权要求债权申报人进行补正。</w:t>
      </w:r>
    </w:p>
    <w:p w14:paraId="7B63700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Regular" w:hAnsi="Times New Roman Regular" w:eastAsia="仿宋_GB2312" w:cs="Times New Roman Regular"/>
          <w:b/>
          <w:bCs w:val="0"/>
          <w:sz w:val="24"/>
          <w:szCs w:val="24"/>
          <w:lang w:val="en-US" w:eastAsia="zh-CN"/>
        </w:rPr>
      </w:pPr>
      <w:r>
        <w:rPr>
          <w:rFonts w:hint="eastAsia" w:ascii="Times New Roman Regular" w:hAnsi="Times New Roman Regular" w:eastAsia="仿宋_GB2312" w:cs="Times New Roman Regular"/>
          <w:b/>
          <w:bCs w:val="0"/>
          <w:sz w:val="24"/>
          <w:szCs w:val="24"/>
          <w:lang w:val="en-US" w:eastAsia="zh-CN"/>
        </w:rPr>
        <w:t>债权申报材料分为以下四类：</w:t>
      </w:r>
    </w:p>
    <w:p w14:paraId="41AE718A">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360" w:lineRule="auto"/>
        <w:ind w:firstLine="482" w:firstLineChars="200"/>
        <w:jc w:val="both"/>
        <w:textAlignment w:val="auto"/>
        <w:rPr>
          <w:rFonts w:hint="eastAsia" w:ascii="楷体" w:hAnsi="楷体" w:eastAsia="楷体" w:cs="楷体"/>
          <w:b/>
          <w:bCs w:val="0"/>
          <w:sz w:val="24"/>
          <w:szCs w:val="24"/>
          <w:lang w:val="en-US" w:eastAsia="zh-CN"/>
        </w:rPr>
      </w:pPr>
      <w:r>
        <w:rPr>
          <w:rFonts w:hint="eastAsia" w:ascii="楷体" w:hAnsi="楷体" w:eastAsia="楷体" w:cs="楷体"/>
          <w:b/>
          <w:bCs w:val="0"/>
          <w:sz w:val="24"/>
          <w:szCs w:val="24"/>
          <w:lang w:val="en-US" w:eastAsia="zh-CN"/>
        </w:rPr>
        <w:t>（一）债权申报基础材料</w:t>
      </w:r>
    </w:p>
    <w:p w14:paraId="13C2755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Times New Roman Regular" w:hAnsi="Times New Roman Regular" w:eastAsia="仿宋_GB2312" w:cs="Times New Roman Regular"/>
          <w:b w:val="0"/>
          <w:bCs/>
          <w:sz w:val="24"/>
          <w:szCs w:val="24"/>
          <w:lang w:val="en-US" w:eastAsia="zh-CN"/>
        </w:rPr>
      </w:pPr>
      <w:r>
        <w:rPr>
          <w:rFonts w:hint="eastAsia" w:ascii="Times New Roman Regular" w:hAnsi="Times New Roman Regular" w:eastAsia="仿宋_GB2312" w:cs="Times New Roman Regular"/>
          <w:b w:val="0"/>
          <w:bCs/>
          <w:sz w:val="24"/>
          <w:szCs w:val="24"/>
          <w:lang w:val="en-US" w:eastAsia="zh-CN"/>
        </w:rPr>
        <w:t>提示：</w:t>
      </w:r>
      <w:r>
        <w:rPr>
          <w:rFonts w:hint="eastAsia" w:ascii="Times New Roman Regular" w:hAnsi="Times New Roman Regular" w:eastAsia="仿宋_GB2312" w:cs="Times New Roman Regular"/>
          <w:b/>
          <w:bCs w:val="0"/>
          <w:sz w:val="24"/>
          <w:szCs w:val="24"/>
          <w:lang w:val="en-US" w:eastAsia="zh-CN"/>
        </w:rPr>
        <w:t>请按照本《债权申报须知》附件的表格或范本填写，切勿修改范本的内容或格式。</w:t>
      </w:r>
      <w:r>
        <w:rPr>
          <w:rFonts w:hint="eastAsia" w:ascii="Times New Roman Regular" w:hAnsi="Times New Roman Regular" w:eastAsia="仿宋_GB2312" w:cs="Times New Roman Regular"/>
          <w:b w:val="0"/>
          <w:bCs/>
          <w:sz w:val="24"/>
          <w:szCs w:val="24"/>
          <w:lang w:val="en-US" w:eastAsia="zh-CN"/>
        </w:rPr>
        <w:t>该类材料须提供原件，可自行另附页。</w:t>
      </w:r>
    </w:p>
    <w:p w14:paraId="5F2B02C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仿宋" w:cs="Times New Roman"/>
          <w:b/>
          <w:bCs w:val="0"/>
          <w:sz w:val="24"/>
          <w:szCs w:val="24"/>
          <w:u w:val="none"/>
          <w:lang w:val="en-US" w:eastAsia="zh-CN"/>
        </w:rPr>
      </w:pPr>
      <w:r>
        <w:rPr>
          <w:rFonts w:hint="default" w:ascii="Times New Roman" w:hAnsi="Times New Roman" w:eastAsia="仿宋" w:cs="Times New Roman"/>
          <w:b/>
          <w:bCs w:val="0"/>
          <w:sz w:val="24"/>
          <w:szCs w:val="24"/>
          <w:u w:val="none"/>
          <w:lang w:val="en-US" w:eastAsia="zh-CN"/>
        </w:rPr>
        <w:t>1.《债权申报表》（附件一）</w:t>
      </w:r>
    </w:p>
    <w:p w14:paraId="25A6373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债权人请在《湖北康沁药业股份有限公司预重整案债权申报表》中，填写债权人的基本信息、联系方式、申报债权金额（保留两位小数）、是否存在担保以及诉讼、仲裁等情况。</w:t>
      </w:r>
    </w:p>
    <w:p w14:paraId="6C896C7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请在填写完毕《债权申报表》后进行复核，确保信息的真实、准确和完整。该表中的“申报日期”为债权申报人向临时管理人现场提交或邮寄申报材料的日期。</w:t>
      </w:r>
    </w:p>
    <w:p w14:paraId="17B6E54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仿宋" w:cs="Times New Roman"/>
          <w:b/>
          <w:bCs w:val="0"/>
          <w:sz w:val="24"/>
          <w:szCs w:val="24"/>
          <w:u w:val="none"/>
          <w:lang w:val="en-US" w:eastAsia="zh-CN"/>
        </w:rPr>
      </w:pPr>
      <w:r>
        <w:rPr>
          <w:rFonts w:hint="default" w:ascii="Times New Roman" w:hAnsi="Times New Roman" w:eastAsia="仿宋" w:cs="Times New Roman"/>
          <w:b/>
          <w:bCs w:val="0"/>
          <w:sz w:val="24"/>
          <w:szCs w:val="24"/>
          <w:u w:val="none"/>
          <w:lang w:val="en-US" w:eastAsia="zh-CN"/>
        </w:rPr>
        <w:t>2.《债权申报材料清单》（附件二）</w:t>
      </w:r>
    </w:p>
    <w:p w14:paraId="31356E9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 w:val="0"/>
          <w:bCs/>
          <w:sz w:val="24"/>
          <w:szCs w:val="24"/>
          <w:u w:val="none"/>
          <w:lang w:val="en-US" w:eastAsia="zh-CN"/>
        </w:rPr>
      </w:pPr>
      <w:r>
        <w:rPr>
          <w:rFonts w:hint="default" w:ascii="Times New Roman" w:hAnsi="Times New Roman" w:eastAsia="仿宋" w:cs="Times New Roman"/>
          <w:b w:val="0"/>
          <w:bCs/>
          <w:sz w:val="24"/>
          <w:szCs w:val="24"/>
          <w:u w:val="none"/>
          <w:lang w:val="en-US" w:eastAsia="zh-CN"/>
        </w:rPr>
        <w:t>请在《湖北康沁药业股份有限公司预重整案债权申报材料清单》中依序填写提交的债权申报材料名称，并逐项注明该份纸质材料的份数、页数、系原件或复 印件等信息。</w:t>
      </w:r>
    </w:p>
    <w:p w14:paraId="4F3B3CE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eastAsia" w:ascii="楷体" w:hAnsi="楷体" w:eastAsia="楷体" w:cs="楷体"/>
          <w:b/>
          <w:bCs w:val="0"/>
          <w:sz w:val="24"/>
          <w:szCs w:val="24"/>
          <w:u w:val="none"/>
          <w:lang w:val="en-US" w:eastAsia="zh-CN"/>
        </w:rPr>
      </w:pPr>
      <w:r>
        <w:rPr>
          <w:rFonts w:hint="default" w:ascii="Times New Roman" w:hAnsi="Times New Roman" w:eastAsia="仿宋" w:cs="Times New Roman"/>
          <w:b/>
          <w:bCs w:val="0"/>
          <w:sz w:val="24"/>
          <w:szCs w:val="24"/>
          <w:u w:val="none"/>
          <w:lang w:val="en-US" w:eastAsia="zh-CN"/>
        </w:rPr>
        <w:t>3.《债权申报书》（附件三）</w:t>
      </w:r>
    </w:p>
    <w:p w14:paraId="026FE8D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若债权人申报多笔债权，每笔债权应分别填写《债权申报表》，但应当合并填写《债权申报书》。</w:t>
      </w:r>
    </w:p>
    <w:p w14:paraId="423CAF6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《债权申报书》填写时应注意：</w:t>
      </w:r>
    </w:p>
    <w:p w14:paraId="3358570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①申报债权应当书面详细说明债权的性质、数额（具体构成及计算过程）、有无财产担保等；</w:t>
      </w:r>
    </w:p>
    <w:p w14:paraId="5693FCB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②申报债权的金额必须确定（只能申报一个债权总额），外币必须转换成人</w:t>
      </w:r>
    </w:p>
    <w:p w14:paraId="2E12649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民币计值，汇率以2025年5月29日人民银行公布的市场交易中间价为准（并请提交银行出具的汇率证明）；</w:t>
      </w:r>
    </w:p>
    <w:p w14:paraId="4811B9F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③利息、违约金、赔偿金等计算至预重整程序启动之日（2025年5月29日），并在《债权计算清单》中列明详细计算方式；</w:t>
      </w:r>
    </w:p>
    <w:p w14:paraId="65C62CB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④简要陈述债权形成过程及债权基本情况描述，若涉及合同关系则该合同是否已经履行完毕须填写清楚。</w:t>
      </w:r>
    </w:p>
    <w:p w14:paraId="0FD6981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⑤关于债权性质：有财产担保债权，指康沁药业公司以其自有财产提供抵押、</w:t>
      </w:r>
    </w:p>
    <w:p w14:paraId="363E080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质押等担保的债权；建设工程价款优先受偿权，指康沁药业公司作为工程发包方，基于建设工程施工合同等产生的债权，建设工程价款优先受偿权应当在法定期限内行使。请各位债权人在申报前对债权性质是否满足法律规定进行</w:t>
      </w:r>
      <w:r>
        <w:rPr>
          <w:rFonts w:hint="eastAsia" w:ascii="Times New Roman" w:hAnsi="Times New Roman" w:eastAsia="仿宋" w:cs="Times New Roman"/>
          <w:bCs/>
          <w:sz w:val="24"/>
          <w:szCs w:val="24"/>
          <w:u w:val="none"/>
          <w:lang w:val="en-US" w:eastAsia="zh-CN"/>
        </w:rPr>
        <w:t>复核</w:t>
      </w:r>
      <w:r>
        <w:rPr>
          <w:rFonts w:hint="default" w:ascii="Times New Roman" w:hAnsi="Times New Roman" w:eastAsia="仿宋" w:cs="Times New Roman"/>
          <w:bCs/>
          <w:sz w:val="24"/>
          <w:szCs w:val="24"/>
          <w:u w:val="none"/>
          <w:lang w:val="en-US" w:eastAsia="zh-CN"/>
        </w:rPr>
        <w:t>，否则临时管理人将依法调整债权性质。</w:t>
      </w:r>
    </w:p>
    <w:p w14:paraId="225F3D7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eastAsia" w:ascii="Times New Roman Regular" w:hAnsi="Times New Roman Regular" w:eastAsia="仿宋_GB2312" w:cs="Times New Roman Regular"/>
          <w:b/>
          <w:bCs w:val="0"/>
          <w:sz w:val="24"/>
          <w:szCs w:val="24"/>
          <w:u w:val="none"/>
          <w:lang w:val="en-US" w:eastAsia="zh-CN"/>
        </w:rPr>
      </w:pPr>
      <w:r>
        <w:rPr>
          <w:rFonts w:hint="eastAsia" w:ascii="Times New Roman Regular" w:hAnsi="Times New Roman Regular" w:eastAsia="仿宋_GB2312" w:cs="Times New Roman Regular"/>
          <w:b/>
          <w:bCs w:val="0"/>
          <w:sz w:val="24"/>
          <w:szCs w:val="24"/>
          <w:u w:val="none"/>
          <w:lang w:val="en-US" w:eastAsia="zh-CN"/>
        </w:rPr>
        <w:t>4.《债权人会议方案同意书》（附件四）</w:t>
      </w:r>
    </w:p>
    <w:p w14:paraId="1AB9CD8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仿宋" w:hAnsi="仿宋" w:eastAsia="仿宋" w:cs="仿宋"/>
          <w:bCs/>
          <w:sz w:val="24"/>
          <w:szCs w:val="24"/>
          <w:u w:val="none"/>
          <w:lang w:val="en-US" w:eastAsia="zh-CN"/>
        </w:rPr>
      </w:pPr>
      <w:r>
        <w:rPr>
          <w:rFonts w:hint="eastAsia" w:ascii="仿宋" w:hAnsi="仿宋" w:eastAsia="仿宋" w:cs="仿宋"/>
          <w:bCs/>
          <w:sz w:val="24"/>
          <w:szCs w:val="24"/>
          <w:u w:val="none"/>
          <w:lang w:val="en-US" w:eastAsia="zh-CN"/>
        </w:rPr>
        <w:t>债权人签署《债权人会议方案同意书》的，视为对债权人会议方案相关事项无异议。</w:t>
      </w:r>
    </w:p>
    <w:p w14:paraId="0A61126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eastAsia" w:ascii="Times New Roman Regular" w:hAnsi="Times New Roman Regular" w:eastAsia="仿宋_GB2312" w:cs="Times New Roman Regular"/>
          <w:b/>
          <w:bCs w:val="0"/>
          <w:sz w:val="24"/>
          <w:szCs w:val="24"/>
          <w:u w:val="none"/>
          <w:lang w:val="en-US" w:eastAsia="zh-CN"/>
        </w:rPr>
      </w:pPr>
      <w:r>
        <w:rPr>
          <w:rFonts w:hint="eastAsia" w:ascii="Times New Roman Regular" w:hAnsi="Times New Roman Regular" w:eastAsia="仿宋_GB2312" w:cs="Times New Roman Regular"/>
          <w:b/>
          <w:bCs w:val="0"/>
          <w:sz w:val="24"/>
          <w:szCs w:val="24"/>
          <w:u w:val="none"/>
          <w:lang w:val="en-US" w:eastAsia="zh-CN"/>
        </w:rPr>
        <w:t>5.《预重整规则同意书》（附件五）</w:t>
      </w:r>
    </w:p>
    <w:p w14:paraId="0128E44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仿宋" w:hAnsi="仿宋" w:eastAsia="仿宋" w:cs="仿宋"/>
          <w:bCs/>
          <w:sz w:val="24"/>
          <w:szCs w:val="24"/>
          <w:u w:val="none"/>
          <w:lang w:val="en-US" w:eastAsia="zh-CN"/>
        </w:rPr>
      </w:pPr>
      <w:r>
        <w:rPr>
          <w:rFonts w:hint="eastAsia" w:ascii="仿宋" w:hAnsi="仿宋" w:eastAsia="仿宋" w:cs="仿宋"/>
          <w:bCs/>
          <w:sz w:val="24"/>
          <w:szCs w:val="24"/>
          <w:u w:val="none"/>
          <w:lang w:val="en-US" w:eastAsia="zh-CN"/>
        </w:rPr>
        <w:t>债权人签署《预重整规则同意书》的，视为同意预重整相关规则，即债权人在预重整期间作出的意思表示在重整期间对其仍具有拘束力，包括但不限于债权人申报的债权信息、债权人对预重整计划草案作出同意的意思表示及债权人与债务人企业达成的和解协议、债务豁免协议等。</w:t>
      </w:r>
    </w:p>
    <w:p w14:paraId="76FA527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eastAsia" w:ascii="仿宋" w:hAnsi="仿宋" w:eastAsia="仿宋" w:cs="仿宋"/>
          <w:bCs/>
          <w:sz w:val="24"/>
          <w:szCs w:val="24"/>
          <w:u w:val="none"/>
          <w:lang w:val="en-US" w:eastAsia="zh-CN"/>
        </w:rPr>
      </w:pPr>
      <w:r>
        <w:rPr>
          <w:rFonts w:hint="eastAsia" w:ascii="仿宋" w:hAnsi="仿宋" w:eastAsia="仿宋" w:cs="仿宋"/>
          <w:b/>
          <w:bCs w:val="0"/>
          <w:sz w:val="24"/>
          <w:szCs w:val="24"/>
          <w:u w:val="none"/>
          <w:lang w:val="en-US" w:eastAsia="zh-CN"/>
        </w:rPr>
        <w:t>注：机构债权，须在以上材料的落款处加盖公章；个人债权，须由债权人本人在材料的落款处签字（本人签名）并捺印。委托代理人申报债权的，须提供授权委托书，并由委托代理人在材料上签字。若债权申报材料未按本《债权申报须知》加盖公章、签字并捺印，临时管理人将视其为无效申报。</w:t>
      </w:r>
    </w:p>
    <w:p w14:paraId="3C588994">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360" w:lineRule="auto"/>
        <w:ind w:firstLine="482" w:firstLineChars="200"/>
        <w:jc w:val="both"/>
        <w:textAlignment w:val="auto"/>
        <w:rPr>
          <w:rFonts w:hint="eastAsia" w:ascii="楷体" w:hAnsi="楷体" w:eastAsia="楷体" w:cs="楷体"/>
          <w:b/>
          <w:bCs w:val="0"/>
          <w:sz w:val="24"/>
          <w:szCs w:val="24"/>
          <w:lang w:val="en-US" w:eastAsia="zh-CN"/>
        </w:rPr>
      </w:pPr>
      <w:r>
        <w:rPr>
          <w:rFonts w:hint="eastAsia" w:ascii="楷体" w:hAnsi="楷体" w:eastAsia="楷体" w:cs="楷体"/>
          <w:b/>
          <w:bCs w:val="0"/>
          <w:sz w:val="24"/>
          <w:szCs w:val="24"/>
          <w:lang w:val="en-US" w:eastAsia="zh-CN"/>
        </w:rPr>
        <w:t>（二）债权人主体资格证明材料</w:t>
      </w:r>
    </w:p>
    <w:p w14:paraId="5351D13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仿宋" w:cs="Times New Roman"/>
          <w:b/>
          <w:bCs w:val="0"/>
          <w:sz w:val="24"/>
          <w:szCs w:val="24"/>
          <w:u w:val="none"/>
          <w:lang w:val="en-US" w:eastAsia="zh-CN"/>
        </w:rPr>
      </w:pPr>
      <w:r>
        <w:rPr>
          <w:rFonts w:hint="default" w:ascii="Times New Roman" w:hAnsi="Times New Roman" w:eastAsia="仿宋" w:cs="Times New Roman"/>
          <w:b/>
          <w:bCs w:val="0"/>
          <w:sz w:val="24"/>
          <w:szCs w:val="24"/>
          <w:u w:val="none"/>
          <w:lang w:val="en-US" w:eastAsia="zh-CN"/>
        </w:rPr>
        <w:t>1.机构债权人应提供如下主体资格证明材料：</w:t>
      </w:r>
    </w:p>
    <w:p w14:paraId="0B6E779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①有效的营业执照（公司、合伙企业、个体工商户等）、事业单位申报证书</w:t>
      </w:r>
    </w:p>
    <w:p w14:paraId="480CD95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（事业单位）、其他合法证明材料（其他机构）。如机构债权人为金融机构，还应当提供</w:t>
      </w:r>
      <w:r>
        <w:rPr>
          <w:rFonts w:hint="eastAsia" w:ascii="Times New Roman" w:hAnsi="Times New Roman" w:eastAsia="仿宋" w:cs="Times New Roman"/>
          <w:bCs/>
          <w:sz w:val="24"/>
          <w:szCs w:val="24"/>
          <w:u w:val="none"/>
          <w:lang w:val="en-US" w:eastAsia="zh-CN"/>
        </w:rPr>
        <w:t>国家金融监督管理总局</w:t>
      </w:r>
      <w:r>
        <w:rPr>
          <w:rFonts w:hint="default" w:ascii="Times New Roman" w:hAnsi="Times New Roman" w:eastAsia="仿宋" w:cs="Times New Roman"/>
          <w:bCs/>
          <w:sz w:val="24"/>
          <w:szCs w:val="24"/>
          <w:u w:val="none"/>
          <w:lang w:val="en-US" w:eastAsia="zh-CN"/>
        </w:rPr>
        <w:t>颁发的《金融许可证》复印件。以上复印件须加盖公章后上传PDF扫描件；</w:t>
      </w:r>
    </w:p>
    <w:p w14:paraId="25FFFD8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②《法定代表人（负责人）身份证明书》。以上复印件须加盖公章后上传PDF扫描件；</w:t>
      </w:r>
    </w:p>
    <w:p w14:paraId="292F830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③法定代表人（或非法人组织的负责人）个人有效证件复印件（如居民身份证、港澳居民往来内地通行证、台湾居民往来大陆通行证、外国人护照等，下同）。以上复印件须加盖公章后上传PDF扫描件；</w:t>
      </w:r>
    </w:p>
    <w:p w14:paraId="1CEFD99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④如发生机构名称变更或法定代表人变更的，应当提交由市场监督管理部门</w:t>
      </w:r>
    </w:p>
    <w:p w14:paraId="30A92AD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出具的变更证明文件复印件。需要注意的是，机构在注销或吊销后重新注册的，不视为名称变更，机构债权人应提交两家机构之间转让或承继债权的相关证明材料复印件。以上复印件须加盖公章后上传PDF扫描件。</w:t>
      </w:r>
    </w:p>
    <w:p w14:paraId="5A6A257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仿宋" w:cs="Times New Roman"/>
          <w:b/>
          <w:bCs w:val="0"/>
          <w:sz w:val="24"/>
          <w:szCs w:val="24"/>
          <w:u w:val="none"/>
          <w:lang w:val="en-US" w:eastAsia="zh-CN"/>
        </w:rPr>
      </w:pPr>
      <w:r>
        <w:rPr>
          <w:rFonts w:hint="default" w:ascii="Times New Roman" w:hAnsi="Times New Roman" w:eastAsia="仿宋" w:cs="Times New Roman"/>
          <w:b/>
          <w:bCs w:val="0"/>
          <w:sz w:val="24"/>
          <w:szCs w:val="24"/>
          <w:u w:val="none"/>
          <w:lang w:val="en-US" w:eastAsia="zh-CN"/>
        </w:rPr>
        <w:t>2.个人债权人应提供如下主体资格证明材料：</w:t>
      </w:r>
    </w:p>
    <w:p w14:paraId="433609C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有效的居民身份证、港澳居民往来内地通行证、台湾居民往来大陆通行证、外国人护照等个人有效证件复印件。以上复印件须签字并捺印后上传PDF扫描件；</w:t>
      </w:r>
    </w:p>
    <w:p w14:paraId="5FFE747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jc w:val="both"/>
        <w:textAlignment w:val="auto"/>
        <w:rPr>
          <w:rFonts w:hint="default" w:ascii="Times New Roman" w:hAnsi="Times New Roman" w:eastAsia="仿宋" w:cs="Times New Roman"/>
          <w:b/>
          <w:bCs w:val="0"/>
          <w:sz w:val="24"/>
          <w:szCs w:val="24"/>
          <w:u w:val="none"/>
          <w:lang w:val="en-US" w:eastAsia="zh-CN"/>
        </w:rPr>
      </w:pPr>
      <w:r>
        <w:rPr>
          <w:rFonts w:hint="default" w:ascii="Times New Roman" w:hAnsi="Times New Roman" w:eastAsia="仿宋" w:cs="Times New Roman"/>
          <w:b/>
          <w:bCs w:val="0"/>
          <w:sz w:val="24"/>
          <w:szCs w:val="24"/>
          <w:u w:val="none"/>
          <w:lang w:val="en-US" w:eastAsia="zh-CN"/>
        </w:rPr>
        <w:t>3.若债权人委托他人申报债权，还应当提供如下授权委托材料：</w:t>
      </w:r>
    </w:p>
    <w:p w14:paraId="2E4C0EA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法定代表人（负责人）、自然人本人以外的人员进行申报的，还应当提交授权委托材料：</w:t>
      </w:r>
    </w:p>
    <w:p w14:paraId="7062AD1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①《授权委托书》。机构债权，须由债权人加盖公章；个人债权，须由债权人签字并捺印。以上复印件加盖机构公章或个人签字捺印后上传PDF扫描件；</w:t>
      </w:r>
    </w:p>
    <w:p w14:paraId="63B47ED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②委托代理人的个人有效证件复印件。以上复印件须由委托代理人签字捺印后上传PDF扫描件；</w:t>
      </w:r>
    </w:p>
    <w:p w14:paraId="70A914B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③若委托代理人为律师，还应当提交律师证复印件以及律师事务所指派函原件。律师证复印件须加盖机构公章或个人签字捺印后上传PDF扫描件；律师事务所指派函原件须加盖律师事务所公章后上传PDF扫描件。</w:t>
      </w:r>
    </w:p>
    <w:p w14:paraId="0BA08AD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仿宋" w:cs="Times New Roman"/>
          <w:bCs/>
          <w:sz w:val="24"/>
          <w:szCs w:val="24"/>
          <w:u w:val="none"/>
          <w:lang w:val="en-US" w:eastAsia="zh-CN"/>
        </w:rPr>
      </w:pPr>
      <w:r>
        <w:rPr>
          <w:rFonts w:hint="default" w:ascii="Times New Roman" w:hAnsi="Times New Roman" w:eastAsia="仿宋" w:cs="Times New Roman"/>
          <w:bCs/>
          <w:sz w:val="24"/>
          <w:szCs w:val="24"/>
          <w:u w:val="none"/>
          <w:lang w:val="en-US" w:eastAsia="zh-CN"/>
        </w:rPr>
        <w:t>对于机构债权，若债权人的法定代表人（或非法人组织的负责人）为</w:t>
      </w:r>
      <w:r>
        <w:rPr>
          <w:rFonts w:hint="eastAsia" w:ascii="Times New Roman" w:hAnsi="Times New Roman" w:eastAsia="仿宋" w:cs="Times New Roman"/>
          <w:bCs/>
          <w:sz w:val="24"/>
          <w:szCs w:val="24"/>
          <w:u w:val="none"/>
          <w:lang w:val="en-US" w:eastAsia="zh-CN"/>
        </w:rPr>
        <w:t>债权申报人</w:t>
      </w:r>
      <w:r>
        <w:rPr>
          <w:rFonts w:hint="default" w:ascii="Times New Roman" w:hAnsi="Times New Roman" w:eastAsia="仿宋" w:cs="Times New Roman"/>
          <w:bCs/>
          <w:sz w:val="24"/>
          <w:szCs w:val="24"/>
          <w:u w:val="none"/>
          <w:lang w:val="en-US" w:eastAsia="zh-CN"/>
        </w:rPr>
        <w:t>，则无需提供授权委托材料。</w:t>
      </w:r>
    </w:p>
    <w:p w14:paraId="029D6D9C">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360" w:lineRule="auto"/>
        <w:ind w:firstLine="482" w:firstLineChars="200"/>
        <w:jc w:val="both"/>
        <w:textAlignment w:val="auto"/>
        <w:rPr>
          <w:rFonts w:hint="eastAsia" w:ascii="楷体" w:hAnsi="楷体" w:eastAsia="楷体" w:cs="楷体"/>
          <w:b/>
          <w:bCs w:val="0"/>
          <w:sz w:val="24"/>
          <w:szCs w:val="24"/>
          <w:lang w:val="en-US" w:eastAsia="zh-CN"/>
        </w:rPr>
      </w:pPr>
      <w:r>
        <w:rPr>
          <w:rFonts w:hint="eastAsia" w:ascii="楷体" w:hAnsi="楷体" w:eastAsia="楷体" w:cs="楷体"/>
          <w:b/>
          <w:bCs w:val="0"/>
          <w:sz w:val="24"/>
          <w:szCs w:val="24"/>
          <w:lang w:val="en-US" w:eastAsia="zh-CN"/>
        </w:rPr>
        <w:t>（三）证明债权成立及债权金额、债权性质的材料</w:t>
      </w:r>
    </w:p>
    <w:p w14:paraId="11EB9427">
      <w:pPr>
        <w:pStyle w:val="2"/>
        <w:keepNext w:val="0"/>
        <w:keepLines w:val="0"/>
        <w:pageBreakBefore w:val="0"/>
        <w:widowControl w:val="0"/>
        <w:kinsoku/>
        <w:wordWrap/>
        <w:overflowPunct/>
        <w:topLinePunct w:val="0"/>
        <w:autoSpaceDE/>
        <w:autoSpaceDN/>
        <w:bidi w:val="0"/>
        <w:spacing w:line="360" w:lineRule="auto"/>
        <w:ind w:left="0" w:right="0" w:firstLine="468" w:firstLineChars="200"/>
        <w:jc w:val="both"/>
        <w:textAlignment w:val="auto"/>
        <w:outlineLvl w:val="0"/>
      </w:pPr>
      <w:r>
        <w:rPr>
          <w:spacing w:val="-3"/>
        </w:rPr>
        <w:t>债权人申报债权应提交能够证明债权成立及</w:t>
      </w:r>
      <w:r>
        <w:rPr>
          <w:spacing w:val="-4"/>
        </w:rPr>
        <w:t>债权金额、性质的全部书面证据</w:t>
      </w:r>
      <w:r>
        <w:rPr>
          <w:spacing w:val="-2"/>
        </w:rPr>
        <w:t>材料，包括但不限于：</w:t>
      </w:r>
    </w:p>
    <w:p w14:paraId="00B20649">
      <w:pPr>
        <w:pStyle w:val="2"/>
        <w:keepNext w:val="0"/>
        <w:keepLines w:val="0"/>
        <w:pageBreakBefore w:val="0"/>
        <w:widowControl w:val="0"/>
        <w:kinsoku/>
        <w:wordWrap/>
        <w:overflowPunct/>
        <w:topLinePunct w:val="0"/>
        <w:autoSpaceDE/>
        <w:autoSpaceDN/>
        <w:bidi w:val="0"/>
        <w:spacing w:line="360" w:lineRule="auto"/>
        <w:ind w:left="0" w:right="0" w:firstLine="464" w:firstLineChars="200"/>
        <w:jc w:val="both"/>
        <w:textAlignment w:val="auto"/>
        <w:outlineLvl w:val="0"/>
      </w:pPr>
      <w:r>
        <w:rPr>
          <w:spacing w:val="-4"/>
        </w:rPr>
        <w:t>1.相关合同文件，包括但不限于借贷合同、建设工程施工合同等债权形成的</w:t>
      </w:r>
      <w:r>
        <w:rPr>
          <w:spacing w:val="-2"/>
        </w:rPr>
        <w:t>各类合同、协议等基础材料；</w:t>
      </w:r>
    </w:p>
    <w:p w14:paraId="170FFA70">
      <w:pPr>
        <w:pStyle w:val="2"/>
        <w:keepNext w:val="0"/>
        <w:keepLines w:val="0"/>
        <w:pageBreakBefore w:val="0"/>
        <w:widowControl w:val="0"/>
        <w:kinsoku/>
        <w:wordWrap/>
        <w:overflowPunct/>
        <w:topLinePunct w:val="0"/>
        <w:autoSpaceDE/>
        <w:autoSpaceDN/>
        <w:bidi w:val="0"/>
        <w:spacing w:line="360" w:lineRule="auto"/>
        <w:ind w:left="0" w:right="0" w:firstLine="480" w:firstLineChars="200"/>
        <w:jc w:val="both"/>
        <w:textAlignment w:val="auto"/>
        <w:outlineLvl w:val="0"/>
      </w:pPr>
      <w:r>
        <w:t>①若债权有担保，应当提交抵押合同、质押合同、保</w:t>
      </w:r>
      <w:r>
        <w:rPr>
          <w:spacing w:val="-1"/>
        </w:rPr>
        <w:t>证合同、担保物清单</w:t>
      </w:r>
      <w:r>
        <w:rPr>
          <w:rFonts w:hint="eastAsia"/>
          <w:spacing w:val="-1"/>
          <w:lang w:eastAsia="zh-CN"/>
        </w:rPr>
        <w:t>，</w:t>
      </w:r>
      <w:r>
        <w:rPr>
          <w:spacing w:val="-3"/>
        </w:rPr>
        <w:t>以及相关抵押、质押申报证明等材料。如债权系</w:t>
      </w:r>
      <w:r>
        <w:rPr>
          <w:rFonts w:hint="eastAsia"/>
          <w:spacing w:val="-3"/>
          <w:lang w:eastAsia="zh-CN"/>
        </w:rPr>
        <w:t>康沁药业公司</w:t>
      </w:r>
      <w:r>
        <w:rPr>
          <w:spacing w:val="-3"/>
        </w:rPr>
        <w:t>对外提供的担保，还应当提交</w:t>
      </w:r>
      <w:r>
        <w:rPr>
          <w:rFonts w:hint="eastAsia"/>
          <w:spacing w:val="-3"/>
          <w:lang w:eastAsia="zh-CN"/>
        </w:rPr>
        <w:t>康沁药业公司</w:t>
      </w:r>
      <w:r>
        <w:rPr>
          <w:spacing w:val="-3"/>
        </w:rPr>
        <w:t>批准对外担保的公司决议，如股东</w:t>
      </w:r>
      <w:r>
        <w:rPr>
          <w:spacing w:val="-4"/>
        </w:rPr>
        <w:t>（大）会决议、董事</w:t>
      </w:r>
      <w:r>
        <w:rPr>
          <w:spacing w:val="-3"/>
        </w:rPr>
        <w:t>会决议等。若担保物的物权凭证（如房产证、土地证、机动</w:t>
      </w:r>
      <w:r>
        <w:rPr>
          <w:spacing w:val="-4"/>
        </w:rPr>
        <w:t>车申报证等）由债权</w:t>
      </w:r>
      <w:r>
        <w:rPr>
          <w:spacing w:val="-1"/>
        </w:rPr>
        <w:t>人保管的，应当在申报债权时将原件单独交还至临时管理人处；</w:t>
      </w:r>
    </w:p>
    <w:p w14:paraId="21441497">
      <w:pPr>
        <w:pStyle w:val="2"/>
        <w:keepNext w:val="0"/>
        <w:keepLines/>
        <w:pageBreakBefore w:val="0"/>
        <w:widowControl w:val="0"/>
        <w:kinsoku/>
        <w:wordWrap/>
        <w:overflowPunct/>
        <w:topLinePunct w:val="0"/>
        <w:autoSpaceDE/>
        <w:autoSpaceDN/>
        <w:bidi w:val="0"/>
        <w:adjustRightInd/>
        <w:snapToGrid/>
        <w:spacing w:line="360" w:lineRule="auto"/>
        <w:ind w:left="0" w:right="0" w:firstLine="468" w:firstLineChars="200"/>
        <w:jc w:val="both"/>
        <w:textAlignment w:val="auto"/>
        <w:outlineLvl w:val="0"/>
      </w:pPr>
      <w:r>
        <w:rPr>
          <w:spacing w:val="-3"/>
        </w:rPr>
        <w:t>②若债权涉及利息和其他费用（包括但不限于逾期利息、复利、罚</w:t>
      </w:r>
      <w:r>
        <w:rPr>
          <w:spacing w:val="-4"/>
        </w:rPr>
        <w:t>息、违约</w:t>
      </w:r>
      <w:r>
        <w:t>金、诉讼费等</w:t>
      </w:r>
      <w:r>
        <w:rPr>
          <w:spacing w:val="-51"/>
        </w:rPr>
        <w:t>），</w:t>
      </w:r>
      <w:r>
        <w:t>还应当提交关于利息和其他费用的计算</w:t>
      </w:r>
      <w:r>
        <w:rPr>
          <w:spacing w:val="-1"/>
        </w:rPr>
        <w:t>依据、计算方法及计算</w:t>
      </w:r>
      <w:r>
        <w:rPr>
          <w:spacing w:val="-8"/>
        </w:rPr>
        <w:t>过程的书面材料和计算表，并将利息与逾期利息、复利、罚息等分开计算、列示。</w:t>
      </w:r>
    </w:p>
    <w:p w14:paraId="1E6B40D7">
      <w:pPr>
        <w:pStyle w:val="2"/>
        <w:keepNext w:val="0"/>
        <w:keepLines w:val="0"/>
        <w:pageBreakBefore w:val="0"/>
        <w:widowControl w:val="0"/>
        <w:kinsoku/>
        <w:wordWrap/>
        <w:overflowPunct/>
        <w:topLinePunct w:val="0"/>
        <w:autoSpaceDE/>
        <w:autoSpaceDN/>
        <w:bidi w:val="0"/>
        <w:spacing w:line="360" w:lineRule="auto"/>
        <w:ind w:left="0" w:right="0" w:firstLine="468" w:firstLineChars="200"/>
        <w:jc w:val="both"/>
        <w:textAlignment w:val="auto"/>
        <w:outlineLvl w:val="0"/>
      </w:pPr>
      <w:r>
        <w:rPr>
          <w:spacing w:val="-3"/>
        </w:rPr>
        <w:t>③若债权涉及工程款或材料款等，应当另行提交债权形成过程，说</w:t>
      </w:r>
      <w:r>
        <w:rPr>
          <w:spacing w:val="-4"/>
        </w:rPr>
        <w:t>明过程项目名称、送货金额、送货日期、已付款金额、付款</w:t>
      </w:r>
      <w:r>
        <w:rPr>
          <w:spacing w:val="-5"/>
        </w:rPr>
        <w:t>日期、尚欠工程款金额，并提</w:t>
      </w:r>
      <w:r>
        <w:rPr>
          <w:spacing w:val="-1"/>
        </w:rPr>
        <w:t>供相应的过程项目合同、送货单、结算资料及收款凭证等证据材料；</w:t>
      </w:r>
    </w:p>
    <w:p w14:paraId="4737A423">
      <w:pPr>
        <w:pStyle w:val="2"/>
        <w:keepNext w:val="0"/>
        <w:keepLines w:val="0"/>
        <w:pageBreakBefore w:val="0"/>
        <w:widowControl w:val="0"/>
        <w:kinsoku/>
        <w:wordWrap/>
        <w:overflowPunct/>
        <w:topLinePunct w:val="0"/>
        <w:autoSpaceDE/>
        <w:autoSpaceDN/>
        <w:bidi w:val="0"/>
        <w:spacing w:line="360" w:lineRule="auto"/>
        <w:ind w:left="0" w:right="0" w:firstLine="468" w:firstLineChars="200"/>
        <w:jc w:val="both"/>
        <w:textAlignment w:val="auto"/>
        <w:outlineLvl w:val="0"/>
      </w:pPr>
      <w:r>
        <w:rPr>
          <w:spacing w:val="-3"/>
        </w:rPr>
        <w:t>④若债权涉及商业汇票，应当另行提供商业汇票产生或流转的基础合同、纸质商业汇票的原件及两份复印件，或电子商业汇票的</w:t>
      </w:r>
      <w:r>
        <w:rPr>
          <w:spacing w:val="-4"/>
        </w:rPr>
        <w:t>银行系统打印件。涉及票据</w:t>
      </w:r>
      <w:r>
        <w:rPr>
          <w:spacing w:val="-1"/>
        </w:rPr>
        <w:t>被追索的，还应当提供已经清偿后手票据债务的相关证据材料。</w:t>
      </w:r>
    </w:p>
    <w:p w14:paraId="37F40A20">
      <w:pPr>
        <w:pStyle w:val="2"/>
        <w:keepNext w:val="0"/>
        <w:keepLines w:val="0"/>
        <w:pageBreakBefore w:val="0"/>
        <w:widowControl w:val="0"/>
        <w:kinsoku/>
        <w:wordWrap/>
        <w:overflowPunct/>
        <w:topLinePunct w:val="0"/>
        <w:autoSpaceDE/>
        <w:autoSpaceDN/>
        <w:bidi w:val="0"/>
        <w:spacing w:line="360" w:lineRule="auto"/>
        <w:ind w:left="0" w:right="0" w:firstLine="468" w:firstLineChars="200"/>
        <w:jc w:val="both"/>
        <w:textAlignment w:val="auto"/>
        <w:outlineLvl w:val="0"/>
      </w:pPr>
      <w:r>
        <w:rPr>
          <w:spacing w:val="-3"/>
        </w:rPr>
        <w:t>2.相关票据、划账单、汇款单、对账单、提货单、物流单等支付凭</w:t>
      </w:r>
      <w:r>
        <w:rPr>
          <w:spacing w:val="-4"/>
        </w:rPr>
        <w:t>证、合同</w:t>
      </w:r>
      <w:r>
        <w:rPr>
          <w:spacing w:val="-3"/>
        </w:rPr>
        <w:t>履行凭证（如有）。其中，对于承兑汇票、支票、</w:t>
      </w:r>
      <w:r>
        <w:rPr>
          <w:spacing w:val="-4"/>
        </w:rPr>
        <w:t>仓票、提单等可以流通转让的</w:t>
      </w:r>
      <w:r>
        <w:rPr>
          <w:spacing w:val="-1"/>
        </w:rPr>
        <w:t>票据凭证，后续根据通知将原件邮寄至临时管理人处；</w:t>
      </w:r>
    </w:p>
    <w:p w14:paraId="2C10F56E">
      <w:pPr>
        <w:pStyle w:val="2"/>
        <w:keepNext w:val="0"/>
        <w:keepLines w:val="0"/>
        <w:pageBreakBefore w:val="0"/>
        <w:widowControl w:val="0"/>
        <w:kinsoku/>
        <w:wordWrap/>
        <w:overflowPunct/>
        <w:topLinePunct w:val="0"/>
        <w:autoSpaceDE/>
        <w:autoSpaceDN/>
        <w:bidi w:val="0"/>
        <w:spacing w:line="360" w:lineRule="auto"/>
        <w:ind w:left="0" w:right="0" w:firstLine="468" w:firstLineChars="200"/>
        <w:jc w:val="both"/>
        <w:textAlignment w:val="auto"/>
        <w:outlineLvl w:val="0"/>
      </w:pPr>
      <w:r>
        <w:rPr>
          <w:spacing w:val="-3"/>
        </w:rPr>
        <w:t>3.若债权涉及诉讼或仲裁，应当提交诉讼、仲裁的文书</w:t>
      </w:r>
      <w:r>
        <w:rPr>
          <w:spacing w:val="-4"/>
        </w:rPr>
        <w:t>（包括但不限于已审</w:t>
      </w:r>
      <w:r>
        <w:rPr>
          <w:spacing w:val="-8"/>
        </w:rPr>
        <w:t>理完毕或正在审理过程中的案件起诉书、仲裁申请书、诉讼保全申请、保全裁定、</w:t>
      </w:r>
      <w:r>
        <w:rPr>
          <w:spacing w:val="-4"/>
        </w:rPr>
        <w:t>生效判决、裁决、执行申请、法院执行裁定、法院执行案件通知书等）。</w:t>
      </w:r>
    </w:p>
    <w:p w14:paraId="1F226D70">
      <w:pPr>
        <w:pStyle w:val="2"/>
        <w:keepNext w:val="0"/>
        <w:keepLines w:val="0"/>
        <w:pageBreakBefore w:val="0"/>
        <w:widowControl w:val="0"/>
        <w:kinsoku/>
        <w:wordWrap/>
        <w:overflowPunct/>
        <w:topLinePunct w:val="0"/>
        <w:autoSpaceDE/>
        <w:autoSpaceDN/>
        <w:bidi w:val="0"/>
        <w:spacing w:line="360" w:lineRule="auto"/>
        <w:ind w:left="0" w:right="0" w:firstLine="464" w:firstLineChars="200"/>
        <w:jc w:val="both"/>
        <w:textAlignment w:val="auto"/>
        <w:outlineLvl w:val="0"/>
      </w:pPr>
      <w:r>
        <w:rPr>
          <w:spacing w:val="-4"/>
        </w:rPr>
        <w:t>法院出具的生效法律文书，应当加盖法律文书生效章，或同时提交生效证明书，案件经过两级法院审理的，一审、二审出具的法律文书均应当提交；仲裁机</w:t>
      </w:r>
      <w:r>
        <w:rPr>
          <w:spacing w:val="-3"/>
        </w:rPr>
        <w:t>构出具的生效法律文书，应当附仲裁机构关于确认法律文书已经生效</w:t>
      </w:r>
      <w:r>
        <w:rPr>
          <w:spacing w:val="-4"/>
        </w:rPr>
        <w:t>的函件，或</w:t>
      </w:r>
      <w:r>
        <w:rPr>
          <w:spacing w:val="-5"/>
        </w:rPr>
        <w:t>双方当事人已签收的送达回执等证据材料。若债权人已向人民法院申请强制执行，</w:t>
      </w:r>
      <w:r>
        <w:rPr>
          <w:spacing w:val="-3"/>
        </w:rPr>
        <w:t>还应当提交人民法院出具的执行立案通知书、执行裁定书等文书，并</w:t>
      </w:r>
      <w:r>
        <w:rPr>
          <w:spacing w:val="-4"/>
        </w:rPr>
        <w:t>向临时管理</w:t>
      </w:r>
      <w:r>
        <w:rPr>
          <w:spacing w:val="-2"/>
        </w:rPr>
        <w:t>人说明是否已领取执行款项。</w:t>
      </w:r>
    </w:p>
    <w:p w14:paraId="4C6557F9">
      <w:pPr>
        <w:pStyle w:val="2"/>
        <w:keepNext w:val="0"/>
        <w:keepLines w:val="0"/>
        <w:pageBreakBefore w:val="0"/>
        <w:widowControl w:val="0"/>
        <w:kinsoku/>
        <w:wordWrap/>
        <w:overflowPunct/>
        <w:topLinePunct w:val="0"/>
        <w:autoSpaceDE/>
        <w:autoSpaceDN/>
        <w:bidi w:val="0"/>
        <w:spacing w:line="360" w:lineRule="auto"/>
        <w:ind w:left="0" w:right="0" w:firstLine="476" w:firstLineChars="200"/>
        <w:jc w:val="both"/>
        <w:textAlignment w:val="auto"/>
        <w:outlineLvl w:val="0"/>
      </w:pPr>
      <w:r>
        <w:rPr>
          <w:spacing w:val="-1"/>
        </w:rPr>
        <w:t>4.相关公证文书（如有</w:t>
      </w:r>
      <w:r>
        <w:rPr>
          <w:spacing w:val="-43"/>
        </w:rPr>
        <w:t>）；</w:t>
      </w:r>
    </w:p>
    <w:p w14:paraId="171B19AC">
      <w:pPr>
        <w:pStyle w:val="2"/>
        <w:keepNext w:val="0"/>
        <w:keepLines w:val="0"/>
        <w:pageBreakBefore w:val="0"/>
        <w:widowControl w:val="0"/>
        <w:kinsoku/>
        <w:wordWrap/>
        <w:overflowPunct/>
        <w:topLinePunct w:val="0"/>
        <w:autoSpaceDE/>
        <w:autoSpaceDN/>
        <w:bidi w:val="0"/>
        <w:adjustRightInd/>
        <w:snapToGrid/>
        <w:spacing w:line="360" w:lineRule="auto"/>
        <w:ind w:right="0" w:firstLine="452" w:firstLineChars="200"/>
        <w:jc w:val="both"/>
        <w:textAlignment w:val="auto"/>
      </w:pPr>
      <w:r>
        <w:rPr>
          <w:spacing w:val="-7"/>
        </w:rPr>
        <w:t>5.若债权有获得清偿、抵销、被执行或其他抵债情形的（包括</w:t>
      </w:r>
      <w:r>
        <w:rPr>
          <w:rFonts w:hint="eastAsia"/>
          <w:spacing w:val="-7"/>
          <w:lang w:eastAsia="zh-CN"/>
        </w:rPr>
        <w:t>康沁药业公司</w:t>
      </w:r>
      <w:r>
        <w:rPr>
          <w:spacing w:val="-7"/>
        </w:rPr>
        <w:t>、</w:t>
      </w:r>
      <w:r>
        <w:rPr>
          <w:spacing w:val="-5"/>
        </w:rPr>
        <w:t>担保人或其他第三方主体</w:t>
      </w:r>
      <w:r>
        <w:rPr>
          <w:spacing w:val="-60"/>
        </w:rPr>
        <w:t>），</w:t>
      </w:r>
      <w:r>
        <w:rPr>
          <w:spacing w:val="-5"/>
        </w:rPr>
        <w:t>应当如实提供相关凭证、协议、执行裁定书等材料；</w:t>
      </w:r>
      <w:r>
        <w:rPr>
          <w:spacing w:val="-3"/>
        </w:rPr>
        <w:t>若该等债务清偿系由法院生效法律文书认可，应当同时提交相关法</w:t>
      </w:r>
      <w:r>
        <w:rPr>
          <w:spacing w:val="-4"/>
        </w:rPr>
        <w:t>律文书。本项义务不随着债权申报工作的结束而终止，</w:t>
      </w:r>
      <w:r>
        <w:rPr>
          <w:b/>
          <w:bCs/>
          <w:spacing w:val="-4"/>
        </w:rPr>
        <w:t>前</w:t>
      </w:r>
      <w:r>
        <w:rPr>
          <w:b/>
          <w:bCs/>
          <w:spacing w:val="-5"/>
        </w:rPr>
        <w:t>述情况一经发生，债权人应当</w:t>
      </w:r>
      <w:r>
        <w:rPr>
          <w:rFonts w:hint="eastAsia"/>
          <w:b/>
          <w:bCs/>
          <w:spacing w:val="-5"/>
          <w:lang w:val="en-US" w:eastAsia="zh-CN"/>
        </w:rPr>
        <w:t>及时书面</w:t>
      </w:r>
      <w:r>
        <w:rPr>
          <w:b/>
          <w:bCs/>
          <w:spacing w:val="1"/>
        </w:rPr>
        <w:t>通知临时管理人并补充提供相关材料，隐瞒债权受偿情况将承担相应法律责</w:t>
      </w:r>
      <w:r>
        <w:rPr>
          <w:b/>
          <w:bCs/>
          <w:spacing w:val="-10"/>
        </w:rPr>
        <w:t>任</w:t>
      </w:r>
      <w:r>
        <w:rPr>
          <w:spacing w:val="-10"/>
        </w:rPr>
        <w:t>；</w:t>
      </w:r>
    </w:p>
    <w:p w14:paraId="559FAE6C">
      <w:pPr>
        <w:pStyle w:val="2"/>
        <w:keepNext w:val="0"/>
        <w:keepLines w:val="0"/>
        <w:pageBreakBefore w:val="0"/>
        <w:widowControl w:val="0"/>
        <w:kinsoku/>
        <w:wordWrap/>
        <w:overflowPunct/>
        <w:topLinePunct w:val="0"/>
        <w:autoSpaceDE/>
        <w:autoSpaceDN/>
        <w:bidi w:val="0"/>
        <w:adjustRightInd/>
        <w:snapToGrid/>
        <w:spacing w:line="360" w:lineRule="auto"/>
        <w:ind w:right="0" w:firstLine="452" w:firstLineChars="200"/>
        <w:jc w:val="both"/>
        <w:textAlignment w:val="auto"/>
        <w:rPr>
          <w:spacing w:val="-7"/>
        </w:rPr>
      </w:pPr>
      <w:r>
        <w:rPr>
          <w:spacing w:val="-7"/>
        </w:rPr>
        <w:t>6.债权人主张债权的相关证明资料，如催款通知、催收通知等，以及能够证明债权诉讼时效中断、中止、延长及债权金额等的材料（如有）；</w:t>
      </w:r>
    </w:p>
    <w:p w14:paraId="4BD61F05">
      <w:pPr>
        <w:pStyle w:val="2"/>
        <w:keepNext w:val="0"/>
        <w:keepLines w:val="0"/>
        <w:pageBreakBefore w:val="0"/>
        <w:widowControl w:val="0"/>
        <w:kinsoku/>
        <w:wordWrap/>
        <w:overflowPunct/>
        <w:topLinePunct w:val="0"/>
        <w:autoSpaceDE/>
        <w:autoSpaceDN/>
        <w:bidi w:val="0"/>
        <w:adjustRightInd/>
        <w:snapToGrid/>
        <w:spacing w:line="360" w:lineRule="auto"/>
        <w:ind w:right="0" w:firstLine="452" w:firstLineChars="200"/>
        <w:jc w:val="both"/>
        <w:textAlignment w:val="auto"/>
        <w:rPr>
          <w:spacing w:val="-7"/>
        </w:rPr>
      </w:pPr>
      <w:r>
        <w:rPr>
          <w:spacing w:val="-7"/>
        </w:rPr>
        <w:t>7.能够证明债权的发生、变更、存续、转让或受让等原始材料。若申报债权后发生债权转让等情形，债权人应当及时与临时管理人沟通，并在签署债权转让协议等文件后及时书面通知临时管理人；</w:t>
      </w:r>
    </w:p>
    <w:p w14:paraId="750928AF">
      <w:pPr>
        <w:pStyle w:val="2"/>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jc w:val="both"/>
        <w:textAlignment w:val="auto"/>
        <w:outlineLvl w:val="0"/>
      </w:pPr>
      <w:r>
        <w:rPr>
          <w:spacing w:val="-1"/>
        </w:rPr>
        <w:t>8.其他能证明债权真实、合法、有效的支撑材料。</w:t>
      </w:r>
    </w:p>
    <w:p w14:paraId="71441A1D">
      <w:pPr>
        <w:pStyle w:val="2"/>
        <w:keepNext w:val="0"/>
        <w:keepLines w:val="0"/>
        <w:pageBreakBefore w:val="0"/>
        <w:widowControl w:val="0"/>
        <w:kinsoku/>
        <w:wordWrap/>
        <w:overflowPunct/>
        <w:topLinePunct w:val="0"/>
        <w:autoSpaceDE/>
        <w:autoSpaceDN/>
        <w:bidi w:val="0"/>
        <w:spacing w:line="360" w:lineRule="auto"/>
        <w:ind w:left="0" w:right="0" w:firstLine="486" w:firstLineChars="200"/>
        <w:jc w:val="both"/>
        <w:textAlignment w:val="auto"/>
        <w:outlineLvl w:val="0"/>
        <w:rPr>
          <w:b/>
          <w:bCs/>
        </w:rPr>
      </w:pPr>
      <w:r>
        <w:rPr>
          <w:b/>
          <w:bCs/>
          <w:spacing w:val="1"/>
        </w:rPr>
        <w:t>以上证明债权成立及债权金额、性质的材料，请</w:t>
      </w:r>
      <w:r>
        <w:rPr>
          <w:b/>
          <w:bCs/>
        </w:rPr>
        <w:t>于现场或邮寄提交申报材</w:t>
      </w:r>
      <w:r>
        <w:rPr>
          <w:b/>
          <w:bCs/>
          <w:spacing w:val="1"/>
        </w:rPr>
        <w:t>料时一并提交给临时管理人。如因债权人在申报时提交的资料不全，临时管理</w:t>
      </w:r>
      <w:r>
        <w:rPr>
          <w:b/>
          <w:bCs/>
        </w:rPr>
        <w:t>人通知债权人补充提交相关资料的，债权人应在接到临时</w:t>
      </w:r>
      <w:r>
        <w:rPr>
          <w:b/>
          <w:bCs/>
          <w:spacing w:val="-1"/>
        </w:rPr>
        <w:t>管理人通知后七日内</w:t>
      </w:r>
      <w:r>
        <w:rPr>
          <w:b/>
          <w:bCs/>
          <w:spacing w:val="1"/>
        </w:rPr>
        <w:t>补充提交；若因客观原因无法在此期限内提供的，应与临时管理人协商延长补交期限，否则因债权人提交证据不充分导致债权未被确认的风险由债权人自行</w:t>
      </w:r>
      <w:r>
        <w:rPr>
          <w:b/>
          <w:bCs/>
          <w:spacing w:val="-8"/>
        </w:rPr>
        <w:t>承担。</w:t>
      </w:r>
    </w:p>
    <w:p w14:paraId="247B8854">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360" w:lineRule="auto"/>
        <w:ind w:firstLine="482" w:firstLineChars="200"/>
        <w:jc w:val="both"/>
        <w:textAlignment w:val="auto"/>
        <w:rPr>
          <w:rFonts w:hint="eastAsia" w:ascii="楷体" w:hAnsi="楷体" w:eastAsia="楷体" w:cs="楷体"/>
          <w:b/>
          <w:bCs w:val="0"/>
          <w:sz w:val="24"/>
          <w:szCs w:val="24"/>
          <w:lang w:val="en-US" w:eastAsia="zh-CN"/>
        </w:rPr>
      </w:pPr>
      <w:r>
        <w:rPr>
          <w:rFonts w:hint="eastAsia" w:ascii="楷体" w:hAnsi="楷体" w:eastAsia="楷体" w:cs="楷体"/>
          <w:b/>
          <w:bCs w:val="0"/>
          <w:sz w:val="24"/>
          <w:szCs w:val="24"/>
          <w:lang w:val="en-US" w:eastAsia="zh-CN"/>
        </w:rPr>
        <w:t>（四）债权人认为需要提交的其他材料</w:t>
      </w:r>
    </w:p>
    <w:p w14:paraId="5AE13D1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right="0" w:firstLine="468" w:firstLineChars="200"/>
        <w:textAlignment w:val="auto"/>
        <w:rPr>
          <w:rFonts w:hint="default" w:ascii="Times New Roman Regular" w:hAnsi="Times New Roman Regular" w:eastAsia="仿宋_GB2312" w:cs="Times New Roman Regular"/>
          <w:bCs/>
          <w:sz w:val="30"/>
          <w:szCs w:val="30"/>
          <w:u w:val="none"/>
          <w:lang w:val="en-US" w:eastAsia="zh-CN"/>
        </w:rPr>
      </w:pPr>
      <w:r>
        <w:rPr>
          <w:rFonts w:hint="eastAsia" w:ascii="仿宋" w:hAnsi="仿宋" w:eastAsia="仿宋" w:cs="仿宋"/>
          <w:spacing w:val="-3"/>
          <w:sz w:val="24"/>
          <w:szCs w:val="24"/>
        </w:rPr>
        <w:t>如债权人认为需提交其他材料的，可参照前</w:t>
      </w:r>
      <w:r>
        <w:rPr>
          <w:rFonts w:hint="eastAsia" w:ascii="仿宋" w:hAnsi="仿宋" w:eastAsia="仿宋" w:cs="仿宋"/>
          <w:spacing w:val="-4"/>
          <w:sz w:val="24"/>
          <w:szCs w:val="24"/>
        </w:rPr>
        <w:t>述标准补充提供相关材料提交纸</w:t>
      </w:r>
      <w:r>
        <w:rPr>
          <w:rFonts w:hint="eastAsia" w:ascii="仿宋" w:hAnsi="仿宋" w:eastAsia="仿宋" w:cs="仿宋"/>
          <w:spacing w:val="-3"/>
          <w:sz w:val="24"/>
          <w:szCs w:val="24"/>
        </w:rPr>
        <w:t>质版给临时管理人。</w:t>
      </w:r>
    </w:p>
    <w:p w14:paraId="3DDD9EC9">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360" w:lineRule="auto"/>
        <w:ind w:firstLine="482" w:firstLineChars="200"/>
        <w:jc w:val="both"/>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六、关于未申报债权的法律后果须知</w:t>
      </w:r>
    </w:p>
    <w:p w14:paraId="5424076C">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6" w:firstLineChars="200"/>
        <w:jc w:val="both"/>
        <w:textAlignment w:val="auto"/>
        <w:outlineLvl w:val="9"/>
      </w:pPr>
      <w:r>
        <w:rPr>
          <w:b/>
          <w:bCs/>
          <w:spacing w:val="1"/>
        </w:rPr>
        <w:t>1.债权人未按期申报债权的，不得以债权人身份参与债务人预重整程序并</w:t>
      </w:r>
      <w:r>
        <w:rPr>
          <w:b/>
          <w:bCs/>
          <w:spacing w:val="-2"/>
        </w:rPr>
        <w:t>行使包括参加预重整债权人会议、行使表决权等在</w:t>
      </w:r>
      <w:r>
        <w:rPr>
          <w:b/>
          <w:bCs/>
          <w:spacing w:val="-3"/>
        </w:rPr>
        <w:t>内的所有程序性权利。</w:t>
      </w:r>
    </w:p>
    <w:p w14:paraId="713A08C0">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6" w:firstLineChars="200"/>
        <w:jc w:val="both"/>
        <w:textAlignment w:val="auto"/>
        <w:outlineLvl w:val="9"/>
      </w:pPr>
      <w:r>
        <w:rPr>
          <w:b/>
          <w:bCs/>
          <w:spacing w:val="1"/>
        </w:rPr>
        <w:t>2.债权人未按期申报债权的，在法院裁定债务人进入重整程序后可以在法</w:t>
      </w:r>
      <w:r>
        <w:rPr>
          <w:b/>
          <w:bCs/>
          <w:spacing w:val="-4"/>
        </w:rPr>
        <w:t>院确定的债权申报期限内申报债权。</w:t>
      </w:r>
    </w:p>
    <w:p w14:paraId="569202F2">
      <w:pPr>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360" w:lineRule="auto"/>
        <w:ind w:left="0" w:right="0" w:firstLine="482" w:firstLineChars="200"/>
        <w:jc w:val="both"/>
        <w:textAlignment w:val="auto"/>
        <w:outlineLvl w:val="9"/>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七、特别提示</w:t>
      </w:r>
    </w:p>
    <w:p w14:paraId="673F9188">
      <w:pPr>
        <w:pStyle w:val="2"/>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jc w:val="both"/>
        <w:textAlignment w:val="auto"/>
        <w:outlineLvl w:val="9"/>
      </w:pPr>
      <w:r>
        <w:rPr>
          <w:spacing w:val="-4"/>
        </w:rPr>
        <w:t>1.若后续</w:t>
      </w:r>
      <w:r>
        <w:rPr>
          <w:rFonts w:hint="eastAsia"/>
          <w:spacing w:val="-4"/>
          <w:lang w:eastAsia="zh-CN"/>
        </w:rPr>
        <w:t>荆门市掇刀区人民法院</w:t>
      </w:r>
      <w:r>
        <w:rPr>
          <w:spacing w:val="-4"/>
        </w:rPr>
        <w:t>裁定受理</w:t>
      </w:r>
      <w:r>
        <w:rPr>
          <w:rFonts w:hint="eastAsia"/>
          <w:spacing w:val="-4"/>
          <w:lang w:eastAsia="zh-CN"/>
        </w:rPr>
        <w:t>康沁药业公司</w:t>
      </w:r>
      <w:r>
        <w:rPr>
          <w:spacing w:val="-4"/>
        </w:rPr>
        <w:t>重整，则在预重整阶段已向临时管理人提交债权申报材料的债权人，在正式进入重整程序后视为已申报债权，如</w:t>
      </w:r>
      <w:r>
        <w:rPr>
          <w:spacing w:val="-3"/>
        </w:rPr>
        <w:t>有新的事实或证据，可以在重整程序中补充申报。预重整期间债权人未申</w:t>
      </w:r>
      <w:r>
        <w:rPr>
          <w:spacing w:val="-4"/>
        </w:rPr>
        <w:t>报债权</w:t>
      </w:r>
      <w:r>
        <w:rPr>
          <w:spacing w:val="-3"/>
        </w:rPr>
        <w:t>的，</w:t>
      </w:r>
      <w:r>
        <w:rPr>
          <w:rFonts w:hint="eastAsia"/>
          <w:spacing w:val="-3"/>
          <w:lang w:eastAsia="zh-CN"/>
        </w:rPr>
        <w:t>荆门市掇刀区人民法院</w:t>
      </w:r>
      <w:r>
        <w:rPr>
          <w:spacing w:val="-3"/>
        </w:rPr>
        <w:t>裁定受理重整后可以继续申报，但在预重整期间不得</w:t>
      </w:r>
      <w:r>
        <w:rPr>
          <w:spacing w:val="-4"/>
        </w:rPr>
        <w:t>以债权人身</w:t>
      </w:r>
      <w:r>
        <w:rPr>
          <w:spacing w:val="-3"/>
        </w:rPr>
        <w:t>份参与</w:t>
      </w:r>
      <w:r>
        <w:rPr>
          <w:rFonts w:hint="eastAsia"/>
          <w:spacing w:val="-3"/>
          <w:lang w:eastAsia="zh-CN"/>
        </w:rPr>
        <w:t>康沁药业公司</w:t>
      </w:r>
      <w:r>
        <w:rPr>
          <w:spacing w:val="-3"/>
        </w:rPr>
        <w:t>预重整并行使相关权利。预重整期间临时管理人</w:t>
      </w:r>
      <w:r>
        <w:rPr>
          <w:spacing w:val="-4"/>
        </w:rPr>
        <w:t>和债权人会</w:t>
      </w:r>
      <w:r>
        <w:rPr>
          <w:spacing w:val="-3"/>
        </w:rPr>
        <w:t>议对债权表中所记载债权的法律关系、债权性质、债权金额、诉讼时</w:t>
      </w:r>
      <w:r>
        <w:rPr>
          <w:spacing w:val="-4"/>
        </w:rPr>
        <w:t>效期间、强</w:t>
      </w:r>
      <w:r>
        <w:rPr>
          <w:spacing w:val="-3"/>
        </w:rPr>
        <w:t>制执行期间等情况的审查和核查结论在重整程序中同样适用。如所申</w:t>
      </w:r>
      <w:r>
        <w:rPr>
          <w:spacing w:val="-4"/>
        </w:rPr>
        <w:t>报债权涉及</w:t>
      </w:r>
      <w:r>
        <w:rPr>
          <w:spacing w:val="-3"/>
        </w:rPr>
        <w:t>利息、违约金的，仅需就</w:t>
      </w:r>
      <w:r>
        <w:rPr>
          <w:rFonts w:hint="eastAsia"/>
          <w:spacing w:val="-3"/>
          <w:lang w:eastAsia="zh-CN"/>
        </w:rPr>
        <w:t>荆门市掇刀区人民法院</w:t>
      </w:r>
      <w:r>
        <w:rPr>
          <w:spacing w:val="-3"/>
        </w:rPr>
        <w:t>决定启动预重整程序之日至正式</w:t>
      </w:r>
      <w:r>
        <w:rPr>
          <w:spacing w:val="-4"/>
        </w:rPr>
        <w:t>裁定受理重</w:t>
      </w:r>
      <w:r>
        <w:rPr>
          <w:spacing w:val="-3"/>
        </w:rPr>
        <w:t>整之日期间的利息、违约金等向管理人进行补充申报</w:t>
      </w:r>
      <w:r>
        <w:rPr>
          <w:rFonts w:hint="eastAsia"/>
          <w:spacing w:val="-3"/>
        </w:rPr>
        <w:t>或按临时管理人原审查意见标准补充计算</w:t>
      </w:r>
      <w:r>
        <w:rPr>
          <w:spacing w:val="-3"/>
        </w:rPr>
        <w:t>。临时管理人将</w:t>
      </w:r>
      <w:r>
        <w:rPr>
          <w:spacing w:val="-4"/>
        </w:rPr>
        <w:t>在前述债权</w:t>
      </w:r>
      <w:r>
        <w:rPr>
          <w:spacing w:val="-3"/>
        </w:rPr>
        <w:t>申报、审查工作的基础上，根据《中华人民共和国企业破产法》及相</w:t>
      </w:r>
      <w:r>
        <w:rPr>
          <w:spacing w:val="-4"/>
        </w:rPr>
        <w:t>关司法解释</w:t>
      </w:r>
      <w:r>
        <w:rPr>
          <w:spacing w:val="-3"/>
        </w:rPr>
        <w:t>的规定编制债权表提交债权人会议核查，债权人对</w:t>
      </w:r>
      <w:r>
        <w:rPr>
          <w:rFonts w:hint="eastAsia"/>
          <w:spacing w:val="-3"/>
          <w:lang w:eastAsia="zh-CN"/>
        </w:rPr>
        <w:t>康沁药业公司</w:t>
      </w:r>
      <w:r>
        <w:rPr>
          <w:spacing w:val="-3"/>
        </w:rPr>
        <w:t>享有</w:t>
      </w:r>
      <w:r>
        <w:rPr>
          <w:spacing w:val="-4"/>
        </w:rPr>
        <w:t>的债权金额</w:t>
      </w:r>
      <w:r>
        <w:rPr>
          <w:spacing w:val="-3"/>
        </w:rPr>
        <w:t>及债权性质最终以</w:t>
      </w:r>
      <w:r>
        <w:rPr>
          <w:rFonts w:hint="eastAsia"/>
          <w:spacing w:val="-3"/>
          <w:lang w:eastAsia="zh-CN"/>
        </w:rPr>
        <w:t>荆门市掇刀区人民法院</w:t>
      </w:r>
      <w:r>
        <w:rPr>
          <w:spacing w:val="-3"/>
        </w:rPr>
        <w:t>裁定确认为准。</w:t>
      </w:r>
      <w:r>
        <w:rPr>
          <w:rFonts w:hint="eastAsia"/>
          <w:spacing w:val="-3"/>
          <w:lang w:eastAsia="zh-CN"/>
        </w:rPr>
        <w:t>康沁药业公司</w:t>
      </w:r>
      <w:r>
        <w:rPr>
          <w:spacing w:val="-3"/>
        </w:rPr>
        <w:t>预重</w:t>
      </w:r>
      <w:r>
        <w:rPr>
          <w:spacing w:val="-4"/>
        </w:rPr>
        <w:t>整期间是否</w:t>
      </w:r>
      <w:r>
        <w:rPr>
          <w:spacing w:val="-1"/>
        </w:rPr>
        <w:t>召开预重整债权人会议将视本案实际情况另行决定和通知。</w:t>
      </w:r>
    </w:p>
    <w:p w14:paraId="78F44C68">
      <w:pPr>
        <w:pStyle w:val="2"/>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both"/>
        <w:textAlignment w:val="auto"/>
        <w:outlineLvl w:val="9"/>
      </w:pPr>
      <w:r>
        <w:rPr>
          <w:spacing w:val="-2"/>
        </w:rPr>
        <w:t>2.债权人及其委托代理人务必在债权申报材料填写准确、有效的联系方式，</w:t>
      </w:r>
      <w:r>
        <w:rPr>
          <w:spacing w:val="-3"/>
        </w:rPr>
        <w:t>包括手机号码、通讯地址、电子邮箱及传真等</w:t>
      </w:r>
      <w:r>
        <w:rPr>
          <w:spacing w:val="-4"/>
        </w:rPr>
        <w:t>，手机号码务必保证通讯畅通且能</w:t>
      </w:r>
      <w:r>
        <w:rPr>
          <w:spacing w:val="-3"/>
        </w:rPr>
        <w:t>够接收短信，以免错过相关信息导致影响权利行使。临时管理人通过邮寄</w:t>
      </w:r>
      <w:r>
        <w:rPr>
          <w:spacing w:val="-4"/>
        </w:rPr>
        <w:t>、电子</w:t>
      </w:r>
      <w:r>
        <w:rPr>
          <w:spacing w:val="-3"/>
        </w:rPr>
        <w:t>邮件、手机短信、传真等方式将通知和文件发送至债权人及其委托代理人</w:t>
      </w:r>
      <w:r>
        <w:rPr>
          <w:spacing w:val="-4"/>
        </w:rPr>
        <w:t>提交的</w:t>
      </w:r>
      <w:r>
        <w:rPr>
          <w:spacing w:val="-2"/>
        </w:rPr>
        <w:t>联系方式，均为有效送达。若债权人变更申报的联系方式，应当在3个工作日内书面通知临时管理人。</w:t>
      </w:r>
    </w:p>
    <w:p w14:paraId="40A599C2">
      <w:pPr>
        <w:pStyle w:val="2"/>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jc w:val="both"/>
        <w:textAlignment w:val="auto"/>
        <w:outlineLvl w:val="9"/>
      </w:pPr>
      <w:r>
        <w:rPr>
          <w:spacing w:val="-3"/>
        </w:rPr>
        <w:t>3.债权人邮寄纸质债权申报材料的，应当自行承担邮寄费用，</w:t>
      </w:r>
      <w:r>
        <w:rPr>
          <w:spacing w:val="-4"/>
        </w:rPr>
        <w:t>临时管理人不</w:t>
      </w:r>
      <w:r>
        <w:rPr>
          <w:spacing w:val="-2"/>
        </w:rPr>
        <w:t>接受以到付方式邮寄的材料。</w:t>
      </w:r>
    </w:p>
    <w:p w14:paraId="1B5E33CB">
      <w:pPr>
        <w:pStyle w:val="2"/>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jc w:val="both"/>
        <w:textAlignment w:val="auto"/>
        <w:outlineLvl w:val="9"/>
      </w:pPr>
      <w:r>
        <w:rPr>
          <w:spacing w:val="-3"/>
        </w:rPr>
        <w:t>4.请各位债权人在收到债权申报通知后，及时按照本申报须知向临时管理人</w:t>
      </w:r>
      <w:r>
        <w:rPr>
          <w:spacing w:val="-5"/>
        </w:rPr>
        <w:t>提交债权申报材料，若大量债权集中于申报截止日期前的数日内申报，将导致债</w:t>
      </w:r>
      <w:r>
        <w:rPr>
          <w:spacing w:val="-1"/>
        </w:rPr>
        <w:t>权审查工作难以完成，进而可能影响债权人的权利行使。</w:t>
      </w:r>
    </w:p>
    <w:p w14:paraId="545BE837">
      <w:pPr>
        <w:pStyle w:val="2"/>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jc w:val="both"/>
        <w:textAlignment w:val="auto"/>
        <w:outlineLvl w:val="9"/>
      </w:pPr>
      <w:r>
        <w:rPr>
          <w:spacing w:val="-5"/>
        </w:rPr>
        <w:t>5.申报债权后若发生债权转让的，应及时与临时管理人取得沟通，并在签署</w:t>
      </w:r>
      <w:r>
        <w:rPr>
          <w:spacing w:val="-1"/>
        </w:rPr>
        <w:t>债权转让协议或相关文件后及时书面通知临时管理人。</w:t>
      </w:r>
    </w:p>
    <w:p w14:paraId="39A3B6A9">
      <w:pPr>
        <w:pStyle w:val="2"/>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pPr>
      <w:r>
        <w:t>6.债权人应考虑必要时在法律专业人士的协助下申报债权和/或寻求法律</w:t>
      </w:r>
      <w:r>
        <w:rPr>
          <w:rFonts w:hint="eastAsia"/>
          <w:lang w:val="en-US" w:eastAsia="zh-CN"/>
        </w:rPr>
        <w:t>帮</w:t>
      </w:r>
      <w:r>
        <w:rPr>
          <w:spacing w:val="-8"/>
        </w:rPr>
        <w:t>助。</w:t>
      </w:r>
    </w:p>
    <w:p w14:paraId="292E3926">
      <w:pPr>
        <w:pStyle w:val="2"/>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jc w:val="both"/>
        <w:textAlignment w:val="auto"/>
        <w:outlineLvl w:val="9"/>
      </w:pPr>
      <w:r>
        <w:rPr>
          <w:spacing w:val="-1"/>
        </w:rPr>
        <w:t>7.本《债权申报须知》未列明的事项，参照《中华人民共和国企业破产法》</w:t>
      </w:r>
      <w:r>
        <w:rPr>
          <w:spacing w:val="-4"/>
        </w:rPr>
        <w:t>等法律法规和司法解释的规定执行。本《债权申报须知》最终解释权归临时管理</w:t>
      </w:r>
      <w:r>
        <w:rPr>
          <w:spacing w:val="-5"/>
        </w:rPr>
        <w:t>人所有。</w:t>
      </w:r>
    </w:p>
    <w:p w14:paraId="5FD0ACBF">
      <w:pPr>
        <w:pStyle w:val="2"/>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both"/>
        <w:textAlignment w:val="auto"/>
        <w:outlineLvl w:val="9"/>
      </w:pPr>
      <w:r>
        <w:rPr>
          <w:spacing w:val="-2"/>
        </w:rPr>
        <w:t>8.</w:t>
      </w:r>
      <w:r>
        <w:rPr>
          <w:b/>
          <w:bCs/>
          <w:spacing w:val="-2"/>
        </w:rPr>
        <w:t>本《债权申报须知》只是针对债权人申报债权时注意事项及风险告知的特别提示，文本中加粗字体请债权人予以合理关注。本《债权申报须知</w:t>
      </w:r>
      <w:r>
        <w:rPr>
          <w:b/>
          <w:bCs/>
          <w:spacing w:val="-3"/>
        </w:rPr>
        <w:t>》及其</w:t>
      </w:r>
      <w:r>
        <w:rPr>
          <w:b/>
          <w:bCs/>
          <w:spacing w:val="-2"/>
        </w:rPr>
        <w:t>附件不视为临时管理人向债权人出具的法律意见，不视</w:t>
      </w:r>
      <w:r>
        <w:rPr>
          <w:b/>
          <w:bCs/>
          <w:spacing w:val="-3"/>
        </w:rPr>
        <w:t>为临时管理人或</w:t>
      </w:r>
      <w:r>
        <w:rPr>
          <w:rFonts w:hint="eastAsia"/>
          <w:b/>
          <w:bCs/>
          <w:spacing w:val="-3"/>
          <w:lang w:eastAsia="zh-CN"/>
        </w:rPr>
        <w:t>康沁药业公司</w:t>
      </w:r>
      <w:r>
        <w:rPr>
          <w:b/>
          <w:bCs/>
          <w:spacing w:val="-2"/>
        </w:rPr>
        <w:t>向债权人作出的任何形式的承诺，亦不构成</w:t>
      </w:r>
      <w:r>
        <w:rPr>
          <w:b/>
          <w:bCs/>
          <w:spacing w:val="-3"/>
        </w:rPr>
        <w:t>对无效债权（包括但不限于</w:t>
      </w:r>
      <w:r>
        <w:rPr>
          <w:b/>
          <w:bCs/>
          <w:spacing w:val="-4"/>
        </w:rPr>
        <w:t>已过诉讼时效、除斥期间、申请执行期间等的债权）的重新有效</w:t>
      </w:r>
      <w:r>
        <w:rPr>
          <w:b/>
          <w:bCs/>
          <w:spacing w:val="-5"/>
        </w:rPr>
        <w:t>确认。</w:t>
      </w:r>
    </w:p>
    <w:p w14:paraId="6481BDF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600" w:firstLineChars="200"/>
        <w:textAlignment w:val="auto"/>
        <w:rPr>
          <w:rFonts w:hint="default" w:ascii="Times New Roman" w:hAnsi="Times New Roman" w:eastAsia="仿宋" w:cs="Times New Roman"/>
          <w:sz w:val="30"/>
          <w:szCs w:val="30"/>
          <w:lang w:val="en-US" w:eastAsia="zh-CN"/>
        </w:rPr>
      </w:pPr>
    </w:p>
    <w:p w14:paraId="36FA7CA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right"/>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湖北康沁药业股份有限公司临时管理人</w:t>
      </w:r>
    </w:p>
    <w:p w14:paraId="0216BFA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center"/>
        <w:textAlignment w:val="auto"/>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 xml:space="preserve">                             二〇二五年六月七</w:t>
      </w:r>
      <w:bookmarkStart w:id="0" w:name="_GoBack"/>
      <w:bookmarkEnd w:id="0"/>
      <w:r>
        <w:rPr>
          <w:rFonts w:hint="eastAsia" w:ascii="Times New Roman" w:hAnsi="Times New Roman" w:eastAsia="仿宋" w:cs="Times New Roman"/>
          <w:sz w:val="24"/>
          <w:szCs w:val="24"/>
          <w:lang w:val="en-US" w:eastAsia="zh-CN"/>
        </w:rPr>
        <w:t>日</w:t>
      </w:r>
    </w:p>
    <w:p w14:paraId="18A106A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600" w:firstLineChars="200"/>
        <w:jc w:val="right"/>
        <w:textAlignment w:val="auto"/>
        <w:rPr>
          <w:rFonts w:hint="default" w:ascii="Times New Roman" w:hAnsi="Times New Roman" w:eastAsia="仿宋" w:cs="Times New Roman"/>
          <w:sz w:val="30"/>
          <w:szCs w:val="30"/>
          <w:lang w:val="en-US" w:eastAsia="zh-CN"/>
        </w:rPr>
      </w:pPr>
    </w:p>
    <w:p w14:paraId="62E7F62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附件：</w:t>
      </w:r>
    </w:p>
    <w:p w14:paraId="21932F5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eastAsia="zh-CN"/>
        </w:rPr>
        <w:t>.</w:t>
      </w:r>
      <w:r>
        <w:rPr>
          <w:rFonts w:hint="eastAsia" w:ascii="楷体" w:hAnsi="楷体" w:eastAsia="楷体" w:cs="楷体"/>
          <w:sz w:val="24"/>
          <w:szCs w:val="24"/>
        </w:rPr>
        <w:t>债权申报表</w:t>
      </w:r>
    </w:p>
    <w:p w14:paraId="5006B82D">
      <w:pPr>
        <w:keepNext w:val="0"/>
        <w:keepLines w:val="0"/>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eastAsia="zh-CN"/>
        </w:rPr>
        <w:t>.</w:t>
      </w:r>
      <w:r>
        <w:rPr>
          <w:rFonts w:hint="eastAsia" w:ascii="楷体" w:hAnsi="楷体" w:eastAsia="楷体" w:cs="楷体"/>
          <w:sz w:val="24"/>
          <w:szCs w:val="24"/>
        </w:rPr>
        <w:t>债权申报材料清单</w:t>
      </w:r>
    </w:p>
    <w:p w14:paraId="114A5998">
      <w:pPr>
        <w:keepNext w:val="0"/>
        <w:keepLines w:val="0"/>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rPr>
          <w:rFonts w:hint="eastAsia" w:ascii="楷体" w:hAnsi="楷体" w:eastAsia="楷体" w:cs="楷体"/>
          <w:sz w:val="24"/>
          <w:szCs w:val="24"/>
        </w:rPr>
      </w:pPr>
      <w:r>
        <w:rPr>
          <w:rFonts w:hint="eastAsia" w:ascii="楷体" w:hAnsi="楷体" w:eastAsia="楷体" w:cs="楷体"/>
          <w:sz w:val="24"/>
          <w:szCs w:val="24"/>
        </w:rPr>
        <w:t>3</w:t>
      </w:r>
      <w:r>
        <w:rPr>
          <w:rFonts w:hint="eastAsia" w:ascii="楷体" w:hAnsi="楷体" w:eastAsia="楷体" w:cs="楷体"/>
          <w:sz w:val="24"/>
          <w:szCs w:val="24"/>
          <w:lang w:eastAsia="zh-CN"/>
        </w:rPr>
        <w:t>.</w:t>
      </w:r>
      <w:r>
        <w:rPr>
          <w:rFonts w:hint="eastAsia" w:ascii="楷体" w:hAnsi="楷体" w:eastAsia="楷体" w:cs="楷体"/>
          <w:sz w:val="24"/>
          <w:szCs w:val="24"/>
        </w:rPr>
        <w:t>债权申报书</w:t>
      </w:r>
    </w:p>
    <w:p w14:paraId="072579E9">
      <w:pPr>
        <w:keepNext w:val="0"/>
        <w:keepLines w:val="0"/>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rPr>
          <w:rFonts w:ascii="楷体" w:hAnsi="楷体" w:eastAsia="楷体" w:cs="楷体"/>
          <w:spacing w:val="-2"/>
          <w:sz w:val="24"/>
          <w:szCs w:val="24"/>
        </w:rPr>
      </w:pPr>
      <w:r>
        <w:rPr>
          <w:rFonts w:hint="eastAsia" w:ascii="楷体" w:hAnsi="楷体" w:eastAsia="楷体" w:cs="楷体"/>
          <w:sz w:val="24"/>
          <w:szCs w:val="24"/>
        </w:rPr>
        <w:t>4</w:t>
      </w:r>
      <w:r>
        <w:rPr>
          <w:rFonts w:hint="eastAsia" w:ascii="楷体" w:hAnsi="楷体" w:eastAsia="楷体" w:cs="楷体"/>
          <w:sz w:val="24"/>
          <w:szCs w:val="24"/>
          <w:lang w:eastAsia="zh-CN"/>
        </w:rPr>
        <w:t>.</w:t>
      </w:r>
      <w:r>
        <w:rPr>
          <w:rFonts w:ascii="楷体" w:hAnsi="楷体" w:eastAsia="楷体" w:cs="楷体"/>
          <w:spacing w:val="-2"/>
          <w:sz w:val="24"/>
          <w:szCs w:val="24"/>
        </w:rPr>
        <w:t>债权人会议方案同意书</w:t>
      </w:r>
    </w:p>
    <w:p w14:paraId="0685319C">
      <w:pPr>
        <w:keepNext w:val="0"/>
        <w:keepLines w:val="0"/>
        <w:pageBreakBefore w:val="0"/>
        <w:widowControl w:val="0"/>
        <w:kinsoku/>
        <w:wordWrap/>
        <w:overflowPunct/>
        <w:topLinePunct w:val="0"/>
        <w:autoSpaceDE/>
        <w:autoSpaceDN/>
        <w:bidi w:val="0"/>
        <w:spacing w:beforeAutospacing="0" w:afterAutospacing="0" w:line="360" w:lineRule="auto"/>
        <w:ind w:firstLine="472" w:firstLineChars="200"/>
        <w:jc w:val="both"/>
        <w:textAlignment w:val="auto"/>
        <w:rPr>
          <w:rFonts w:hint="default" w:ascii="Times New Roman" w:hAnsi="Times New Roman" w:eastAsia="仿宋" w:cs="Times New Roman"/>
          <w:sz w:val="44"/>
          <w:szCs w:val="44"/>
          <w:lang w:val="en-US" w:eastAsia="zh-CN"/>
        </w:rPr>
      </w:pPr>
      <w:r>
        <w:rPr>
          <w:rFonts w:hint="eastAsia" w:ascii="楷体" w:hAnsi="楷体" w:eastAsia="楷体" w:cs="楷体"/>
          <w:spacing w:val="-2"/>
          <w:sz w:val="24"/>
          <w:szCs w:val="24"/>
          <w:lang w:val="en-US" w:eastAsia="zh-CN"/>
        </w:rPr>
        <w:t>5.</w:t>
      </w:r>
      <w:r>
        <w:rPr>
          <w:rFonts w:ascii="楷体" w:hAnsi="楷体" w:eastAsia="楷体" w:cs="楷体"/>
          <w:spacing w:val="-3"/>
          <w:sz w:val="24"/>
          <w:szCs w:val="24"/>
        </w:rPr>
        <w:t>预重整规则同意书</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582EE1-3E38-4AB9-A45F-4509C033F3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1D5CC0F-C6E4-4F1E-AC73-6E09652384A3}"/>
  </w:font>
  <w:font w:name="华文中宋">
    <w:panose1 w:val="02010600040101010101"/>
    <w:charset w:val="86"/>
    <w:family w:val="auto"/>
    <w:pitch w:val="default"/>
    <w:sig w:usb0="00000287" w:usb1="080F0000" w:usb2="00000000" w:usb3="00000000" w:csb0="0004009F" w:csb1="DFD70000"/>
    <w:embedRegular r:id="rId3" w:fontKey="{11E6EE16-CCBC-487D-9D68-F5DFEE11248D}"/>
  </w:font>
  <w:font w:name="方正公文小标宋">
    <w:panose1 w:val="02000500000000000000"/>
    <w:charset w:val="86"/>
    <w:family w:val="auto"/>
    <w:pitch w:val="default"/>
    <w:sig w:usb0="A00002BF" w:usb1="38CF7CFA" w:usb2="00000016" w:usb3="00000000" w:csb0="00040001" w:csb1="00000000"/>
    <w:embedRegular r:id="rId4" w:fontKey="{D1ED39F3-3390-4B86-86E6-C57A28A2CF17}"/>
  </w:font>
  <w:font w:name="楷体">
    <w:panose1 w:val="02010609060101010101"/>
    <w:charset w:val="86"/>
    <w:family w:val="auto"/>
    <w:pitch w:val="default"/>
    <w:sig w:usb0="800002BF" w:usb1="38CF7CFA" w:usb2="00000016" w:usb3="00000000" w:csb0="00040001" w:csb1="00000000"/>
    <w:embedRegular r:id="rId5" w:fontKey="{5A697A3F-CA7C-4C8E-A45C-11A121DEEE40}"/>
  </w:font>
  <w:font w:name="Times New Roman Regular">
    <w:altName w:val="Times New Roman"/>
    <w:panose1 w:val="02020503050405090304"/>
    <w:charset w:val="00"/>
    <w:family w:val="auto"/>
    <w:pitch w:val="default"/>
    <w:sig w:usb0="00000000" w:usb1="00000000" w:usb2="00000001" w:usb3="00000000" w:csb0="400001BF" w:csb1="DFF70000"/>
    <w:embedRegular r:id="rId6" w:fontKey="{9E5DB0F1-DD57-4515-A65C-4E07C0EAF71D}"/>
  </w:font>
  <w:font w:name="仿宋_GB2312">
    <w:altName w:val="仿宋"/>
    <w:panose1 w:val="020B0604020202020204"/>
    <w:charset w:val="86"/>
    <w:family w:val="modern"/>
    <w:pitch w:val="default"/>
    <w:sig w:usb0="00000000" w:usb1="00000000" w:usb2="00000010" w:usb3="00000000" w:csb0="00040000" w:csb1="00000000"/>
    <w:embedRegular r:id="rId7" w:fontKey="{3A49B64A-6C62-4F6D-B56E-E1E68885E919}"/>
  </w:font>
  <w:font w:name="方正仿宋_GBK">
    <w:altName w:val="微软雅黑"/>
    <w:panose1 w:val="02000000000000000000"/>
    <w:charset w:val="86"/>
    <w:family w:val="auto"/>
    <w:pitch w:val="default"/>
    <w:sig w:usb0="00000000" w:usb1="00000000"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8" w:fontKey="{2CBAFAAB-38C6-4782-9952-36C47F20853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7B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BA807">
                          <w:pPr>
                            <w:pStyle w:val="3"/>
                            <w:rPr>
                              <w:rFonts w:hint="eastAsia" w:ascii="仿宋" w:hAnsi="仿宋" w:eastAsia="仿宋" w:cs="仿宋"/>
                              <w:sz w:val="21"/>
                              <w:szCs w:val="32"/>
                            </w:rPr>
                          </w:pPr>
                          <w:r>
                            <w:rPr>
                              <w:rFonts w:hint="eastAsia" w:ascii="仿宋" w:hAnsi="仿宋" w:eastAsia="仿宋" w:cs="仿宋"/>
                              <w:sz w:val="21"/>
                              <w:szCs w:val="32"/>
                            </w:rPr>
                            <w:fldChar w:fldCharType="begin"/>
                          </w:r>
                          <w:r>
                            <w:rPr>
                              <w:rFonts w:hint="eastAsia" w:ascii="仿宋" w:hAnsi="仿宋" w:eastAsia="仿宋" w:cs="仿宋"/>
                              <w:sz w:val="21"/>
                              <w:szCs w:val="32"/>
                            </w:rPr>
                            <w:instrText xml:space="preserve"> PAGE  \* MERGEFORMAT </w:instrText>
                          </w:r>
                          <w:r>
                            <w:rPr>
                              <w:rFonts w:hint="eastAsia" w:ascii="仿宋" w:hAnsi="仿宋" w:eastAsia="仿宋" w:cs="仿宋"/>
                              <w:sz w:val="21"/>
                              <w:szCs w:val="32"/>
                            </w:rPr>
                            <w:fldChar w:fldCharType="separate"/>
                          </w:r>
                          <w:r>
                            <w:rPr>
                              <w:rFonts w:hint="eastAsia" w:ascii="仿宋" w:hAnsi="仿宋" w:eastAsia="仿宋" w:cs="仿宋"/>
                              <w:sz w:val="21"/>
                              <w:szCs w:val="32"/>
                            </w:rPr>
                            <w:t>1</w:t>
                          </w:r>
                          <w:r>
                            <w:rPr>
                              <w:rFonts w:hint="eastAsia" w:ascii="仿宋" w:hAnsi="仿宋" w:eastAsia="仿宋" w:cs="仿宋"/>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BBA807">
                    <w:pPr>
                      <w:pStyle w:val="3"/>
                      <w:rPr>
                        <w:rFonts w:hint="eastAsia" w:ascii="仿宋" w:hAnsi="仿宋" w:eastAsia="仿宋" w:cs="仿宋"/>
                        <w:sz w:val="21"/>
                        <w:szCs w:val="32"/>
                      </w:rPr>
                    </w:pPr>
                    <w:r>
                      <w:rPr>
                        <w:rFonts w:hint="eastAsia" w:ascii="仿宋" w:hAnsi="仿宋" w:eastAsia="仿宋" w:cs="仿宋"/>
                        <w:sz w:val="21"/>
                        <w:szCs w:val="32"/>
                      </w:rPr>
                      <w:fldChar w:fldCharType="begin"/>
                    </w:r>
                    <w:r>
                      <w:rPr>
                        <w:rFonts w:hint="eastAsia" w:ascii="仿宋" w:hAnsi="仿宋" w:eastAsia="仿宋" w:cs="仿宋"/>
                        <w:sz w:val="21"/>
                        <w:szCs w:val="32"/>
                      </w:rPr>
                      <w:instrText xml:space="preserve"> PAGE  \* MERGEFORMAT </w:instrText>
                    </w:r>
                    <w:r>
                      <w:rPr>
                        <w:rFonts w:hint="eastAsia" w:ascii="仿宋" w:hAnsi="仿宋" w:eastAsia="仿宋" w:cs="仿宋"/>
                        <w:sz w:val="21"/>
                        <w:szCs w:val="32"/>
                      </w:rPr>
                      <w:fldChar w:fldCharType="separate"/>
                    </w:r>
                    <w:r>
                      <w:rPr>
                        <w:rFonts w:hint="eastAsia" w:ascii="仿宋" w:hAnsi="仿宋" w:eastAsia="仿宋" w:cs="仿宋"/>
                        <w:sz w:val="21"/>
                        <w:szCs w:val="32"/>
                      </w:rPr>
                      <w:t>1</w:t>
                    </w:r>
                    <w:r>
                      <w:rPr>
                        <w:rFonts w:hint="eastAsia" w:ascii="仿宋" w:hAnsi="仿宋" w:eastAsia="仿宋" w:cs="仿宋"/>
                        <w:sz w:val="21"/>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54437">
    <w:pPr>
      <w:pStyle w:val="4"/>
      <w:pBdr>
        <w:bottom w:val="single" w:color="auto" w:sz="4" w:space="1"/>
      </w:pBd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湖北康沁药业股份有限公司预重整案债权申报指引</w:t>
    </w:r>
  </w:p>
  <w:p w14:paraId="78357978">
    <w:pPr>
      <w:pStyle w:val="4"/>
      <w:rPr>
        <w:rFonts w:hint="eastAsia" w:ascii="方正仿宋_GB2312" w:hAnsi="方正仿宋_GB2312" w:eastAsia="方正仿宋_GB2312" w:cs="方正仿宋_GB231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F3A95"/>
    <w:rsid w:val="00641FEF"/>
    <w:rsid w:val="05FD71B4"/>
    <w:rsid w:val="0A1815FF"/>
    <w:rsid w:val="0AAB21B8"/>
    <w:rsid w:val="11995BA6"/>
    <w:rsid w:val="134224E3"/>
    <w:rsid w:val="16F05D79"/>
    <w:rsid w:val="1F454ADD"/>
    <w:rsid w:val="20515ADA"/>
    <w:rsid w:val="29C556B2"/>
    <w:rsid w:val="2AAF1E8A"/>
    <w:rsid w:val="2C84200D"/>
    <w:rsid w:val="2CB371D5"/>
    <w:rsid w:val="372721A3"/>
    <w:rsid w:val="38BE50DD"/>
    <w:rsid w:val="4BC845F3"/>
    <w:rsid w:val="4E9F303E"/>
    <w:rsid w:val="4FCA7277"/>
    <w:rsid w:val="516279E3"/>
    <w:rsid w:val="549D6795"/>
    <w:rsid w:val="580E5A83"/>
    <w:rsid w:val="5CF5392A"/>
    <w:rsid w:val="5EFE49E4"/>
    <w:rsid w:val="65B12859"/>
    <w:rsid w:val="68EE714A"/>
    <w:rsid w:val="695928D6"/>
    <w:rsid w:val="6A731776"/>
    <w:rsid w:val="71E02DC1"/>
    <w:rsid w:val="747D2567"/>
    <w:rsid w:val="77512E3F"/>
    <w:rsid w:val="7A0A5C53"/>
    <w:rsid w:val="7B3A5DE8"/>
    <w:rsid w:val="7BFE1642"/>
    <w:rsid w:val="7E0F3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4"/>
      <w:szCs w:val="24"/>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B08B9A0EC1DEC54891E42E32163F40DB" ma:contentTypeVersion="0" ma:contentTypeDescription="新建文档。" ma:contentTypeScope="" ma:versionID="3ed4ddb88de898d7712cb9c3870a319e">
  <xsd:schema xmlns:xsd="http://www.w3.org/2001/XMLSchema" xmlns:xs="http://www.w3.org/2001/XMLSchema" xmlns:p="http://schemas.microsoft.com/office/2006/metadata/properties" targetNamespace="http://schemas.microsoft.com/office/2006/metadata/properties" ma:root="true" ma:fieldsID="05ece5ed459c95b23efc67f907a4c1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D9FA0E-2AE4-40AC-B918-5C634D5B614B}">
  <ds:schemaRefs/>
</ds:datastoreItem>
</file>

<file path=customXml/itemProps3.xml><?xml version="1.0" encoding="utf-8"?>
<ds:datastoreItem xmlns:ds="http://schemas.openxmlformats.org/officeDocument/2006/customXml" ds:itemID="{6C56C68A-ECF4-4376-ACC2-A830619CBE3F}">
  <ds:schemaRefs/>
</ds:datastoreItem>
</file>

<file path=customXml/itemProps4.xml><?xml version="1.0" encoding="utf-8"?>
<ds:datastoreItem xmlns:ds="http://schemas.openxmlformats.org/officeDocument/2006/customXml" ds:itemID="{5ED85F25-D6B2-49FA-B733-6538C705C75C}">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2325</Words>
  <Characters>2419</Characters>
  <Lines>0</Lines>
  <Paragraphs>0</Paragraphs>
  <TotalTime>103</TotalTime>
  <ScaleCrop>false</ScaleCrop>
  <LinksUpToDate>false</LinksUpToDate>
  <CharactersWithSpaces>2422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2025-02-09T13:14:00Z</dcterms:created>
  <dc:creator>yyyye</dc:creator>
  <cp:lastModifiedBy>陈东岳</cp:lastModifiedBy>
  <dcterms:modified xsi:type="dcterms:W3CDTF">2025-06-07T09:13:01Z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DE73A80AC4D64449B9570343B79DB5C8_13</vt:lpwstr>
  </property>
  <property fmtid="{D5CDD505-2E9C-101B-9397-08002B2CF9AE}" pid="4" name="KSOTemplateDocerSaveRecord">
    <vt:lpwstr>eyJoZGlkIjoiZDMzY2ZkYjU3MWM2MjM1NWJjNjlmMWZiOTkzMDc4YWMiLCJ1c2VySWQiOiIzMTEyNjA0ODkifQ==</vt:lpwstr>
  </property>
  <property fmtid="{D5CDD505-2E9C-101B-9397-08002B2CF9AE}" pid="5" name="ContentTypeId">
    <vt:lpwstr>0x010100B08B9A0EC1DEC54891E42E32163F40DB</vt:lpwstr>
  </property>
</Properties>
</file>