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Al Bayan Plain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Al Bayan Plain"/>
          <w:b/>
          <w:bCs/>
          <w:kern w:val="0"/>
          <w:sz w:val="32"/>
          <w:szCs w:val="32"/>
          <w:lang w:eastAsia="zh-CN"/>
        </w:rPr>
        <w:t>四川睿至大数据科技有限公司</w:t>
      </w:r>
      <w:r>
        <w:rPr>
          <w:rFonts w:ascii="方正小标宋简体" w:hAnsi="方正小标宋简体" w:eastAsia="方正小标宋简体" w:cs="Al Bayan Plain"/>
          <w:b/>
          <w:bCs/>
          <w:kern w:val="0"/>
          <w:sz w:val="32"/>
          <w:szCs w:val="32"/>
        </w:rPr>
        <w:t>破产</w:t>
      </w:r>
      <w:r>
        <w:rPr>
          <w:rFonts w:hint="eastAsia" w:ascii="方正小标宋简体" w:hAnsi="方正小标宋简体" w:eastAsia="方正小标宋简体" w:cs="Al Bayan Plain"/>
          <w:b/>
          <w:bCs/>
          <w:kern w:val="0"/>
          <w:sz w:val="32"/>
          <w:szCs w:val="32"/>
          <w:lang w:eastAsia="zh-CN"/>
        </w:rPr>
        <w:t>清算</w:t>
      </w:r>
      <w:r>
        <w:rPr>
          <w:rFonts w:ascii="方正小标宋简体" w:hAnsi="方正小标宋简体" w:eastAsia="方正小标宋简体" w:cs="Al Bayan Plain"/>
          <w:b/>
          <w:bCs/>
          <w:kern w:val="0"/>
          <w:sz w:val="32"/>
          <w:szCs w:val="32"/>
        </w:rPr>
        <w:t>案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Al Bayan Plain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Al Bayan Plain"/>
          <w:b/>
          <w:bCs/>
          <w:kern w:val="0"/>
          <w:sz w:val="32"/>
          <w:szCs w:val="32"/>
        </w:rPr>
        <w:t>债权申报人送达地址及银行账户确认书</w:t>
      </w:r>
    </w:p>
    <w:p>
      <w:pPr>
        <w:jc w:val="center"/>
      </w:pPr>
    </w:p>
    <w:tbl>
      <w:tblPr>
        <w:tblStyle w:val="8"/>
        <w:tblW w:w="9856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87"/>
        <w:gridCol w:w="1752"/>
        <w:gridCol w:w="1701"/>
        <w:gridCol w:w="1779"/>
        <w:gridCol w:w="2837"/>
      </w:tblGrid>
      <w:tr>
        <w:trPr>
          <w:trHeight w:val="518" w:hRule="atLeast"/>
          <w:tblCellSpacing w:w="0" w:type="dxa"/>
          <w:jc w:val="center"/>
        </w:trPr>
        <w:tc>
          <w:tcPr>
            <w:tcW w:w="178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债权</w:t>
            </w: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  <w:lang w:val="en-US" w:eastAsia="zh-CN"/>
              </w:rPr>
              <w:t>申报人</w:t>
            </w: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名称</w:t>
            </w:r>
          </w:p>
        </w:tc>
        <w:tc>
          <w:tcPr>
            <w:tcW w:w="3453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7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居民身份证号码/统一社会信用代码/有效证件号码</w:t>
            </w:r>
          </w:p>
        </w:tc>
        <w:tc>
          <w:tcPr>
            <w:tcW w:w="283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rPr>
          <w:trHeight w:val="4050" w:hRule="atLeast"/>
          <w:tblCellSpacing w:w="0" w:type="dxa"/>
          <w:jc w:val="center"/>
        </w:trPr>
        <w:tc>
          <w:tcPr>
            <w:tcW w:w="178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告知事项</w:t>
            </w:r>
          </w:p>
        </w:tc>
        <w:tc>
          <w:tcPr>
            <w:tcW w:w="8069" w:type="dxa"/>
            <w:gridSpan w:val="4"/>
          </w:tcPr>
          <w:p>
            <w:pPr>
              <w:widowControl/>
              <w:spacing w:line="240" w:lineRule="exact"/>
              <w:ind w:firstLine="418" w:firstLineChars="190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根据《中华人民共和国企业破产法》《关于进一步加强民事送达工作的若干意见》等规定，管理人现就债权人送达地址及银行账户确认书事宜告知如下：</w:t>
            </w:r>
          </w:p>
          <w:p>
            <w:pPr>
              <w:widowControl/>
              <w:spacing w:line="240" w:lineRule="exact"/>
              <w:ind w:firstLine="418" w:firstLineChars="190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一、债权人应当向管理人提供确切的送达地址及银行账户信息，并按照要求填写债权人送达地址及银行账户确认书。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 xml:space="preserve"> </w:t>
            </w:r>
          </w:p>
          <w:p>
            <w:pPr>
              <w:widowControl/>
              <w:spacing w:line="240" w:lineRule="exact"/>
              <w:ind w:firstLine="418" w:firstLineChars="190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二、债权人应当提供确切的送达地址，包括准确的邮寄地址、电子邮件、微信号等。若债权人委托代理人并填写委托代理人信息的,委托代理人的送达地址视为债权人确认的送达地址。管理人以任一方式按照下述任一地址送达有关文书的，均视为管理人已送达。</w:t>
            </w:r>
          </w:p>
          <w:p>
            <w:pPr>
              <w:widowControl/>
              <w:spacing w:line="240" w:lineRule="exact"/>
              <w:ind w:firstLine="418" w:firstLineChars="190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三、债权人应当如实向管理人提供准确的银行账户信息。管理人根据相应文书转入债权人下述银行账户的款项，视为债权人受领（若有）。</w:t>
            </w:r>
          </w:p>
          <w:p>
            <w:pPr>
              <w:widowControl/>
              <w:spacing w:line="240" w:lineRule="exact"/>
              <w:ind w:firstLine="418" w:firstLineChars="190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四、债权人变更下述送达地址或银行账户信息的，应当提前三日以书面方式告知管理人，否则视为未变更。</w:t>
            </w:r>
          </w:p>
          <w:p>
            <w:pPr>
              <w:widowControl/>
              <w:spacing w:line="240" w:lineRule="exact"/>
              <w:ind w:firstLine="418" w:firstLineChars="190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五、债权人拒绝提供确切的送达地址的，经管理人告知后仍不提供的，以债权人户籍（或身份证）/营业执照登记的住所地为送达地址。</w:t>
            </w:r>
          </w:p>
          <w:p>
            <w:pPr>
              <w:widowControl/>
              <w:spacing w:line="240" w:lineRule="exact"/>
              <w:ind w:firstLine="418" w:firstLineChars="190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六、因债权人或委托代理人拒不提供送达地址及银行账户，或送达地址及银行账户信息错误，或变更送达地址及银行账户未及时通知管理人，或债权人或债权人指定的签收人拒绝签收等原因，导致管理人文书未能被债权人实际接收的，文书退回之日视为送达之日。</w:t>
            </w:r>
          </w:p>
        </w:tc>
      </w:tr>
      <w:tr>
        <w:trPr>
          <w:trHeight w:val="490" w:hRule="atLeast"/>
          <w:tblCellSpacing w:w="0" w:type="dxa"/>
          <w:jc w:val="center"/>
        </w:trPr>
        <w:tc>
          <w:tcPr>
            <w:tcW w:w="1787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确认送达地址</w:t>
            </w:r>
          </w:p>
        </w:tc>
        <w:tc>
          <w:tcPr>
            <w:tcW w:w="175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指定签收人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7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283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rPr>
          <w:trHeight w:val="505" w:hRule="atLeast"/>
          <w:tblCellSpacing w:w="0" w:type="dxa"/>
          <w:jc w:val="center"/>
        </w:trPr>
        <w:tc>
          <w:tcPr>
            <w:tcW w:w="1787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5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证件类型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7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证件号码</w:t>
            </w:r>
          </w:p>
        </w:tc>
        <w:tc>
          <w:tcPr>
            <w:tcW w:w="283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rPr>
          <w:trHeight w:val="527" w:hRule="atLeast"/>
          <w:tblCellSpacing w:w="0" w:type="dxa"/>
          <w:jc w:val="center"/>
        </w:trPr>
        <w:tc>
          <w:tcPr>
            <w:tcW w:w="1787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5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邮寄地址</w:t>
            </w:r>
          </w:p>
        </w:tc>
        <w:tc>
          <w:tcPr>
            <w:tcW w:w="6317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rPr>
          <w:trHeight w:val="536" w:hRule="atLeast"/>
          <w:tblCellSpacing w:w="0" w:type="dxa"/>
          <w:jc w:val="center"/>
        </w:trPr>
        <w:tc>
          <w:tcPr>
            <w:tcW w:w="1787" w:type="dxa"/>
            <w:vMerge w:val="continue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52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电子送达地址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Songti SC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Songti SC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46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Songti SC"/>
                <w:kern w:val="0"/>
                <w:sz w:val="22"/>
                <w:szCs w:val="22"/>
              </w:rPr>
            </w:pPr>
          </w:p>
        </w:tc>
      </w:tr>
      <w:tr>
        <w:trPr>
          <w:trHeight w:val="474" w:hRule="atLeast"/>
          <w:tblCellSpacing w:w="0" w:type="dxa"/>
          <w:jc w:val="center"/>
        </w:trPr>
        <w:tc>
          <w:tcPr>
            <w:tcW w:w="1787" w:type="dxa"/>
            <w:vMerge w:val="continue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52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Songti SC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Songti SC"/>
                <w:kern w:val="0"/>
                <w:sz w:val="22"/>
                <w:szCs w:val="22"/>
              </w:rPr>
              <w:t>微信号</w:t>
            </w:r>
          </w:p>
        </w:tc>
        <w:tc>
          <w:tcPr>
            <w:tcW w:w="4616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 w:cs="Songti SC"/>
                <w:kern w:val="0"/>
                <w:sz w:val="22"/>
                <w:szCs w:val="22"/>
              </w:rPr>
            </w:pPr>
          </w:p>
        </w:tc>
      </w:tr>
      <w:tr>
        <w:trPr>
          <w:trHeight w:val="493" w:hRule="atLeast"/>
          <w:tblCellSpacing w:w="0" w:type="dxa"/>
          <w:jc w:val="center"/>
        </w:trPr>
        <w:tc>
          <w:tcPr>
            <w:tcW w:w="1787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确认银行账户</w:t>
            </w:r>
          </w:p>
        </w:tc>
        <w:tc>
          <w:tcPr>
            <w:tcW w:w="175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户名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Songti SC"/>
                <w:kern w:val="0"/>
                <w:sz w:val="22"/>
                <w:szCs w:val="22"/>
              </w:rPr>
            </w:pPr>
          </w:p>
        </w:tc>
        <w:tc>
          <w:tcPr>
            <w:tcW w:w="177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Songti SC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Songti SC"/>
                <w:kern w:val="0"/>
                <w:sz w:val="22"/>
                <w:szCs w:val="22"/>
              </w:rPr>
              <w:t>开户行</w:t>
            </w:r>
          </w:p>
        </w:tc>
        <w:tc>
          <w:tcPr>
            <w:tcW w:w="283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Songti SC"/>
                <w:kern w:val="0"/>
                <w:sz w:val="22"/>
                <w:szCs w:val="22"/>
              </w:rPr>
            </w:pPr>
          </w:p>
        </w:tc>
      </w:tr>
      <w:tr>
        <w:trPr>
          <w:trHeight w:val="594" w:hRule="atLeast"/>
          <w:tblCellSpacing w:w="0" w:type="dxa"/>
          <w:jc w:val="center"/>
        </w:trPr>
        <w:tc>
          <w:tcPr>
            <w:tcW w:w="1787" w:type="dxa"/>
            <w:vMerge w:val="continue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5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账号</w:t>
            </w:r>
          </w:p>
        </w:tc>
        <w:tc>
          <w:tcPr>
            <w:tcW w:w="6317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Songti SC"/>
                <w:kern w:val="0"/>
                <w:sz w:val="22"/>
                <w:szCs w:val="22"/>
              </w:rPr>
            </w:pPr>
          </w:p>
        </w:tc>
      </w:tr>
      <w:tr>
        <w:trPr>
          <w:trHeight w:val="1063" w:hRule="atLeast"/>
          <w:tblCellSpacing w:w="0" w:type="dxa"/>
          <w:jc w:val="center"/>
        </w:trPr>
        <w:tc>
          <w:tcPr>
            <w:tcW w:w="178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对送达地址及银行账户信息的确认</w:t>
            </w:r>
          </w:p>
        </w:tc>
        <w:tc>
          <w:tcPr>
            <w:tcW w:w="8069" w:type="dxa"/>
            <w:gridSpan w:val="4"/>
          </w:tcPr>
          <w:p>
            <w:pPr>
              <w:widowControl/>
              <w:spacing w:line="240" w:lineRule="exact"/>
              <w:ind w:firstLine="420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我已阅读知悉上述全部内容，并保证提供的送达地址及银行账户信息是准确、有效的，否则我自愿承担全部责任。</w:t>
            </w:r>
          </w:p>
          <w:p>
            <w:pPr>
              <w:widowControl/>
              <w:spacing w:line="240" w:lineRule="exact"/>
              <w:ind w:right="960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        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债权人签名、捺印：</w:t>
            </w:r>
          </w:p>
          <w:p>
            <w:pPr>
              <w:widowControl/>
              <w:spacing w:line="240" w:lineRule="exact"/>
              <w:jc w:val="righ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年    月    日</w:t>
            </w:r>
            <w:r>
              <w:rPr>
                <w:rFonts w:ascii="Calibri" w:hAnsi="Calibri" w:eastAsia="仿宋" w:cs="Calibri"/>
                <w:kern w:val="0"/>
                <w:sz w:val="22"/>
                <w:szCs w:val="22"/>
              </w:rPr>
              <w:t>     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</w:t>
            </w:r>
          </w:p>
        </w:tc>
      </w:tr>
      <w:tr>
        <w:trPr>
          <w:trHeight w:val="495" w:hRule="atLeast"/>
          <w:tblCellSpacing w:w="0" w:type="dxa"/>
          <w:jc w:val="center"/>
        </w:trPr>
        <w:tc>
          <w:tcPr>
            <w:tcW w:w="178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 xml:space="preserve">备注 </w:t>
            </w:r>
          </w:p>
        </w:tc>
        <w:tc>
          <w:tcPr>
            <w:tcW w:w="8069" w:type="dxa"/>
            <w:gridSpan w:val="4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Calibri" w:hAnsi="Calibri" w:eastAsia="仿宋" w:cs="Calibri"/>
                <w:kern w:val="0"/>
                <w:sz w:val="22"/>
                <w:szCs w:val="22"/>
              </w:rPr>
              <w:t> </w:t>
            </w:r>
          </w:p>
        </w:tc>
      </w:tr>
    </w:tbl>
    <w:p>
      <w:pPr>
        <w:widowControl/>
        <w:shd w:val="clear" w:color="auto" w:fill="FFFFFF"/>
        <w:ind w:firstLine="542" w:firstLineChars="270"/>
        <w:jc w:val="left"/>
        <w:rPr>
          <w:rFonts w:ascii="华文仿宋" w:hAnsi="华文仿宋" w:eastAsia="华文仿宋" w:cs="宋体"/>
          <w:b/>
          <w:kern w:val="0"/>
          <w:sz w:val="20"/>
          <w:szCs w:val="20"/>
        </w:rPr>
      </w:pPr>
    </w:p>
    <w:p>
      <w:pPr>
        <w:widowControl/>
        <w:shd w:val="clear" w:color="auto" w:fill="FFFFFF"/>
        <w:ind w:firstLine="542" w:firstLineChars="270"/>
        <w:jc w:val="left"/>
        <w:rPr>
          <w:rFonts w:ascii="华文仿宋" w:hAnsi="华文仿宋" w:eastAsia="华文仿宋" w:cs="宋体"/>
          <w:b/>
          <w:kern w:val="0"/>
          <w:sz w:val="20"/>
          <w:szCs w:val="20"/>
        </w:rPr>
      </w:pPr>
    </w:p>
    <w:p>
      <w:pPr>
        <w:widowControl/>
        <w:shd w:val="clear" w:color="auto" w:fill="FFFFFF"/>
        <w:ind w:firstLine="569" w:firstLineChars="270"/>
        <w:jc w:val="left"/>
        <w:rPr>
          <w:rFonts w:ascii="华文仿宋" w:hAnsi="华文仿宋" w:eastAsia="华文仿宋" w:cs="宋体"/>
          <w:b/>
          <w:kern w:val="0"/>
          <w:szCs w:val="21"/>
        </w:rPr>
      </w:pPr>
      <w:r>
        <w:rPr>
          <w:rFonts w:hint="eastAsia" w:ascii="华文仿宋" w:hAnsi="华文仿宋" w:eastAsia="华文仿宋" w:cs="宋体"/>
          <w:b/>
          <w:kern w:val="0"/>
          <w:szCs w:val="21"/>
        </w:rPr>
        <w:t>注：</w:t>
      </w:r>
      <w:r>
        <w:rPr>
          <w:rFonts w:hint="eastAsia" w:ascii="华文仿宋" w:hAnsi="华文仿宋" w:eastAsia="华文仿宋" w:cs="仿宋"/>
          <w:b/>
          <w:kern w:val="0"/>
          <w:szCs w:val="21"/>
        </w:rPr>
        <w:t>1</w:t>
      </w:r>
      <w:r>
        <w:rPr>
          <w:rFonts w:hint="eastAsia" w:ascii="华文仿宋" w:hAnsi="华文仿宋" w:eastAsia="华文仿宋" w:cs="宋体"/>
          <w:b/>
          <w:kern w:val="0"/>
          <w:szCs w:val="21"/>
        </w:rPr>
        <w:t xml:space="preserve">．债权人填写本表前，应仔细阅读表中第一栏的告知事项；债权人阅读有困难的，管理人工作人员应当向其口头告知。 </w:t>
      </w:r>
    </w:p>
    <w:p>
      <w:pPr>
        <w:widowControl/>
        <w:shd w:val="clear" w:color="auto" w:fill="FFFFFF"/>
        <w:ind w:firstLine="569" w:firstLineChars="270"/>
        <w:jc w:val="left"/>
        <w:rPr>
          <w:rFonts w:ascii="华文仿宋" w:hAnsi="华文仿宋" w:eastAsia="华文仿宋" w:cs="宋体"/>
          <w:b/>
          <w:kern w:val="0"/>
          <w:szCs w:val="21"/>
        </w:rPr>
      </w:pPr>
      <w:r>
        <w:rPr>
          <w:rFonts w:hint="eastAsia" w:ascii="华文仿宋" w:hAnsi="华文仿宋" w:eastAsia="华文仿宋" w:cs="宋体"/>
          <w:b/>
          <w:kern w:val="0"/>
          <w:szCs w:val="21"/>
        </w:rPr>
        <w:t> </w:t>
      </w:r>
      <w:r>
        <w:rPr>
          <w:rFonts w:hint="eastAsia" w:ascii="华文仿宋" w:hAnsi="华文仿宋" w:eastAsia="华文仿宋" w:cs="仿宋"/>
          <w:b/>
          <w:kern w:val="0"/>
          <w:szCs w:val="21"/>
        </w:rPr>
        <w:t>2．</w:t>
      </w:r>
      <w:r>
        <w:rPr>
          <w:rFonts w:hint="eastAsia" w:ascii="华文仿宋" w:hAnsi="华文仿宋" w:eastAsia="华文仿宋" w:cs="宋体"/>
          <w:b/>
          <w:kern w:val="0"/>
          <w:szCs w:val="21"/>
        </w:rPr>
        <w:t xml:space="preserve">本表中债权人的送达地址应当由债权人或债权人的委托代理人填写；债权人因文化水平限制不能书写，又没有代理人的，可以口述后由管理人工作人员代为填写，并经两名以上管理人工作人员宣读无误后由债权人签名或捺印确认。 </w:t>
      </w:r>
    </w:p>
    <w:p>
      <w:pPr>
        <w:widowControl/>
        <w:shd w:val="clear" w:color="auto" w:fill="FFFFFF"/>
        <w:ind w:firstLine="569" w:firstLineChars="270"/>
        <w:jc w:val="left"/>
        <w:rPr>
          <w:rFonts w:ascii="华文仿宋" w:hAnsi="华文仿宋" w:eastAsia="华文仿宋" w:cs="宋体"/>
          <w:b/>
          <w:kern w:val="0"/>
          <w:szCs w:val="21"/>
        </w:rPr>
      </w:pPr>
      <w:r>
        <w:rPr>
          <w:rFonts w:hint="eastAsia" w:ascii="华文仿宋" w:hAnsi="华文仿宋" w:eastAsia="华文仿宋" w:cs="仿宋"/>
          <w:b/>
          <w:kern w:val="0"/>
          <w:szCs w:val="21"/>
        </w:rPr>
        <w:t>3．</w:t>
      </w:r>
      <w:r>
        <w:rPr>
          <w:rFonts w:hint="eastAsia" w:ascii="华文仿宋" w:hAnsi="华文仿宋" w:eastAsia="华文仿宋" w:cs="宋体"/>
          <w:b/>
          <w:kern w:val="0"/>
          <w:szCs w:val="21"/>
        </w:rPr>
        <w:t>债权人及其指定签收人的电话号码应当包括办公电话、住宅电话和移动电话。</w:t>
      </w:r>
    </w:p>
    <w:p>
      <w:pPr>
        <w:widowControl/>
        <w:shd w:val="clear" w:color="auto" w:fill="FFFFFF"/>
        <w:ind w:firstLine="569" w:firstLineChars="270"/>
        <w:jc w:val="left"/>
        <w:rPr>
          <w:rFonts w:ascii="华文仿宋" w:hAnsi="华文仿宋" w:eastAsia="华文仿宋" w:cs="宋体"/>
          <w:b/>
          <w:kern w:val="0"/>
          <w:szCs w:val="21"/>
        </w:rPr>
      </w:pPr>
      <w:r>
        <w:rPr>
          <w:rFonts w:ascii="华文仿宋" w:hAnsi="华文仿宋" w:eastAsia="华文仿宋" w:cs="宋体"/>
          <w:b/>
          <w:kern w:val="0"/>
          <w:szCs w:val="21"/>
        </w:rPr>
        <w:t xml:space="preserve">4. </w:t>
      </w:r>
      <w:r>
        <w:rPr>
          <w:rFonts w:hint="eastAsia" w:ascii="华文仿宋" w:hAnsi="华文仿宋" w:eastAsia="华文仿宋" w:cs="宋体"/>
          <w:b/>
          <w:kern w:val="0"/>
          <w:szCs w:val="21"/>
        </w:rPr>
        <w:t>债权人拒绝提供自己送达地址的，应当在备注栏内注明。</w:t>
      </w:r>
    </w:p>
    <w:sectPr>
      <w:headerReference r:id="rId3" w:type="default"/>
      <w:pgSz w:w="11906" w:h="16838"/>
      <w:pgMar w:top="907" w:right="1134" w:bottom="340" w:left="1088" w:header="454" w:footer="34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l Bayan Plain">
    <w:panose1 w:val="00000000000000000000"/>
    <w:charset w:val="B2"/>
    <w:family w:val="auto"/>
    <w:pitch w:val="default"/>
    <w:sig w:usb0="00002000" w:usb1="00000000" w:usb2="00000008" w:usb3="00000000" w:csb0="00000040" w:csb1="2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3NjQxYmZmN2ZkODIxYWNiNTEzMzQyMTZmNzQ1MmMifQ=="/>
  </w:docVars>
  <w:rsids>
    <w:rsidRoot w:val="00887EEB"/>
    <w:rsid w:val="000008E9"/>
    <w:rsid w:val="00012D0E"/>
    <w:rsid w:val="00034882"/>
    <w:rsid w:val="000421A3"/>
    <w:rsid w:val="00063E1D"/>
    <w:rsid w:val="000648A3"/>
    <w:rsid w:val="00080664"/>
    <w:rsid w:val="00086002"/>
    <w:rsid w:val="0009068A"/>
    <w:rsid w:val="000A7D95"/>
    <w:rsid w:val="000D2FDC"/>
    <w:rsid w:val="00122A77"/>
    <w:rsid w:val="00151683"/>
    <w:rsid w:val="00153122"/>
    <w:rsid w:val="00164360"/>
    <w:rsid w:val="001934F4"/>
    <w:rsid w:val="001951DD"/>
    <w:rsid w:val="00197E17"/>
    <w:rsid w:val="001A1EE9"/>
    <w:rsid w:val="001C03F8"/>
    <w:rsid w:val="001C478F"/>
    <w:rsid w:val="001E7F85"/>
    <w:rsid w:val="001F2A09"/>
    <w:rsid w:val="00205EE5"/>
    <w:rsid w:val="002169EC"/>
    <w:rsid w:val="002473D9"/>
    <w:rsid w:val="00251F86"/>
    <w:rsid w:val="002768BF"/>
    <w:rsid w:val="002D7CA3"/>
    <w:rsid w:val="002F62ED"/>
    <w:rsid w:val="003051B0"/>
    <w:rsid w:val="003102F7"/>
    <w:rsid w:val="003331FE"/>
    <w:rsid w:val="003556AA"/>
    <w:rsid w:val="003C3396"/>
    <w:rsid w:val="003D35CF"/>
    <w:rsid w:val="003D63BD"/>
    <w:rsid w:val="003F1CE4"/>
    <w:rsid w:val="0043422F"/>
    <w:rsid w:val="00436193"/>
    <w:rsid w:val="00437763"/>
    <w:rsid w:val="004611D7"/>
    <w:rsid w:val="004743A4"/>
    <w:rsid w:val="00486BC9"/>
    <w:rsid w:val="00490BF1"/>
    <w:rsid w:val="004A15D5"/>
    <w:rsid w:val="004B597B"/>
    <w:rsid w:val="00506B5B"/>
    <w:rsid w:val="00510688"/>
    <w:rsid w:val="00516194"/>
    <w:rsid w:val="005319F1"/>
    <w:rsid w:val="00550253"/>
    <w:rsid w:val="00553BDD"/>
    <w:rsid w:val="005B0271"/>
    <w:rsid w:val="005B5BAF"/>
    <w:rsid w:val="005C7455"/>
    <w:rsid w:val="005D7AFD"/>
    <w:rsid w:val="00602C98"/>
    <w:rsid w:val="00610B78"/>
    <w:rsid w:val="00622D67"/>
    <w:rsid w:val="00632F53"/>
    <w:rsid w:val="00640ADE"/>
    <w:rsid w:val="006D355B"/>
    <w:rsid w:val="006E1F64"/>
    <w:rsid w:val="00714FB5"/>
    <w:rsid w:val="00715BDB"/>
    <w:rsid w:val="00722514"/>
    <w:rsid w:val="007828B7"/>
    <w:rsid w:val="00792501"/>
    <w:rsid w:val="007A6763"/>
    <w:rsid w:val="007B6B30"/>
    <w:rsid w:val="007E5D32"/>
    <w:rsid w:val="008221AD"/>
    <w:rsid w:val="00824E98"/>
    <w:rsid w:val="00861037"/>
    <w:rsid w:val="00887EEB"/>
    <w:rsid w:val="008914DC"/>
    <w:rsid w:val="008A443A"/>
    <w:rsid w:val="008B1A70"/>
    <w:rsid w:val="008C4D13"/>
    <w:rsid w:val="008E6FE7"/>
    <w:rsid w:val="008F348A"/>
    <w:rsid w:val="0091330E"/>
    <w:rsid w:val="00924A47"/>
    <w:rsid w:val="00946CCB"/>
    <w:rsid w:val="00947561"/>
    <w:rsid w:val="00954963"/>
    <w:rsid w:val="009761EB"/>
    <w:rsid w:val="009950A8"/>
    <w:rsid w:val="00997C45"/>
    <w:rsid w:val="009C39C1"/>
    <w:rsid w:val="009F39BD"/>
    <w:rsid w:val="00A014DE"/>
    <w:rsid w:val="00A10426"/>
    <w:rsid w:val="00A2542A"/>
    <w:rsid w:val="00A268A9"/>
    <w:rsid w:val="00A46C42"/>
    <w:rsid w:val="00A60EFD"/>
    <w:rsid w:val="00A62F75"/>
    <w:rsid w:val="00A76EAC"/>
    <w:rsid w:val="00AE7B4D"/>
    <w:rsid w:val="00B02740"/>
    <w:rsid w:val="00B11FF9"/>
    <w:rsid w:val="00B15B60"/>
    <w:rsid w:val="00B47D0E"/>
    <w:rsid w:val="00B7619D"/>
    <w:rsid w:val="00B7719F"/>
    <w:rsid w:val="00BA79A3"/>
    <w:rsid w:val="00BC0BA0"/>
    <w:rsid w:val="00BC70FC"/>
    <w:rsid w:val="00BD4DF0"/>
    <w:rsid w:val="00BD6154"/>
    <w:rsid w:val="00C274C2"/>
    <w:rsid w:val="00C5107A"/>
    <w:rsid w:val="00C54D6F"/>
    <w:rsid w:val="00C55D03"/>
    <w:rsid w:val="00CD5875"/>
    <w:rsid w:val="00D01FA7"/>
    <w:rsid w:val="00D24976"/>
    <w:rsid w:val="00D44714"/>
    <w:rsid w:val="00D46C0E"/>
    <w:rsid w:val="00D679A4"/>
    <w:rsid w:val="00D71AED"/>
    <w:rsid w:val="00DB03A5"/>
    <w:rsid w:val="00DB4E83"/>
    <w:rsid w:val="00DB5B02"/>
    <w:rsid w:val="00DC07B2"/>
    <w:rsid w:val="00DC3604"/>
    <w:rsid w:val="00DC5783"/>
    <w:rsid w:val="00DD66A1"/>
    <w:rsid w:val="00E00EB6"/>
    <w:rsid w:val="00E05503"/>
    <w:rsid w:val="00E200A8"/>
    <w:rsid w:val="00E52790"/>
    <w:rsid w:val="00E6460F"/>
    <w:rsid w:val="00EF559D"/>
    <w:rsid w:val="00F077A6"/>
    <w:rsid w:val="00F43262"/>
    <w:rsid w:val="00F473CC"/>
    <w:rsid w:val="00F85C85"/>
    <w:rsid w:val="00FA2C0F"/>
    <w:rsid w:val="00FD00D5"/>
    <w:rsid w:val="00FD410C"/>
    <w:rsid w:val="00FD6CD7"/>
    <w:rsid w:val="09EB4A83"/>
    <w:rsid w:val="17FD40CB"/>
    <w:rsid w:val="2A965CC0"/>
    <w:rsid w:val="32304FC9"/>
    <w:rsid w:val="52E513E1"/>
    <w:rsid w:val="54D47B18"/>
    <w:rsid w:val="5A012DF3"/>
    <w:rsid w:val="5EE5A9E2"/>
    <w:rsid w:val="EADB8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uiPriority w:val="0"/>
    <w:pPr>
      <w:jc w:val="left"/>
    </w:pPr>
  </w:style>
  <w:style w:type="paragraph" w:styleId="4">
    <w:name w:val="Balloon Text"/>
    <w:basedOn w:val="1"/>
    <w:link w:val="11"/>
    <w:uiPriority w:val="0"/>
    <w:rPr>
      <w:rFonts w:ascii="宋体"/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3"/>
    <w:qFormat/>
    <w:uiPriority w:val="0"/>
    <w:rPr>
      <w:b/>
      <w:bCs/>
    </w:rPr>
  </w:style>
  <w:style w:type="character" w:styleId="10">
    <w:name w:val="annotation reference"/>
    <w:basedOn w:val="9"/>
    <w:uiPriority w:val="0"/>
    <w:rPr>
      <w:sz w:val="21"/>
      <w:szCs w:val="21"/>
    </w:rPr>
  </w:style>
  <w:style w:type="character" w:customStyle="1" w:styleId="11">
    <w:name w:val="批注框文本 字符"/>
    <w:basedOn w:val="9"/>
    <w:link w:val="4"/>
    <w:uiPriority w:val="0"/>
    <w:rPr>
      <w:rFonts w:ascii="宋体"/>
      <w:kern w:val="2"/>
      <w:sz w:val="18"/>
      <w:szCs w:val="18"/>
    </w:rPr>
  </w:style>
  <w:style w:type="character" w:customStyle="1" w:styleId="12">
    <w:name w:val="批注文字 字符"/>
    <w:basedOn w:val="9"/>
    <w:link w:val="3"/>
    <w:qFormat/>
    <w:uiPriority w:val="0"/>
    <w:rPr>
      <w:kern w:val="2"/>
      <w:sz w:val="21"/>
      <w:szCs w:val="24"/>
    </w:rPr>
  </w:style>
  <w:style w:type="character" w:customStyle="1" w:styleId="13">
    <w:name w:val="批注主题 字符"/>
    <w:basedOn w:val="12"/>
    <w:link w:val="7"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155</Words>
  <Characters>889</Characters>
  <Lines>7</Lines>
  <Paragraphs>2</Paragraphs>
  <TotalTime>5</TotalTime>
  <ScaleCrop>false</ScaleCrop>
  <LinksUpToDate>false</LinksUpToDate>
  <CharactersWithSpaces>1042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2021-08-06T07:03:00Z</dcterms:created>
  <dc:creator>Blue_Meteor</dc:creator>
  <cp:lastModifiedBy>晓路儿</cp:lastModifiedBy>
  <cp:lastPrinted>2020-05-29T19:28:00Z</cp:lastPrinted>
  <dcterms:modified xsi:type="dcterms:W3CDTF">2025-06-17T17:58:30Z</dcterms:modified>
  <dc:title>人民法院当事人送达地址确认书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C63357A652A9496C855811158F1B8328_12</vt:lpwstr>
  </property>
</Properties>
</file>