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D71764">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480" w:lineRule="exact"/>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14:paraId="38F84457">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u w:val="none"/>
        </w:rPr>
      </w:pPr>
      <w:r>
        <w:rPr>
          <w:rFonts w:hint="eastAsia" w:ascii="宋体" w:hAnsi="宋体" w:eastAsia="宋体" w:cs="宋体"/>
          <w:sz w:val="24"/>
          <w:szCs w:val="24"/>
          <w:u w:val="none"/>
          <w:lang w:val="en-US" w:eastAsia="zh-CN"/>
        </w:rPr>
        <w:t>厦门诚毅地产投资管理有限公司</w:t>
      </w:r>
      <w:r>
        <w:rPr>
          <w:rFonts w:hint="eastAsia" w:ascii="宋体" w:hAnsi="宋体" w:eastAsia="宋体" w:cs="宋体"/>
          <w:sz w:val="24"/>
          <w:szCs w:val="24"/>
          <w:u w:val="none"/>
          <w:lang w:val="en-US" w:eastAsia="zh-Hans"/>
        </w:rPr>
        <w:t>管理人（以下简称管理人）将于202</w:t>
      </w:r>
      <w:r>
        <w:rPr>
          <w:rFonts w:hint="eastAsia" w:cs="宋体"/>
          <w:sz w:val="24"/>
          <w:szCs w:val="24"/>
          <w:u w:val="none"/>
          <w:lang w:val="en-US" w:eastAsia="zh-CN"/>
        </w:rPr>
        <w:t>5</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7</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8</w:t>
      </w:r>
      <w:r>
        <w:rPr>
          <w:rFonts w:hint="eastAsia" w:ascii="宋体" w:hAnsi="宋体" w:eastAsia="宋体" w:cs="宋体"/>
          <w:sz w:val="24"/>
          <w:szCs w:val="24"/>
          <w:u w:val="none"/>
          <w:lang w:val="en-US" w:eastAsia="zh-Hans"/>
        </w:rPr>
        <w:t>日10时至202</w:t>
      </w:r>
      <w:r>
        <w:rPr>
          <w:rFonts w:hint="eastAsia" w:cs="宋体"/>
          <w:sz w:val="24"/>
          <w:szCs w:val="24"/>
          <w:u w:val="none"/>
          <w:lang w:val="en-US" w:eastAsia="zh-CN"/>
        </w:rPr>
        <w:t>5</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7</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9</w:t>
      </w:r>
      <w:r>
        <w:rPr>
          <w:rFonts w:hint="eastAsia" w:ascii="宋体" w:hAnsi="宋体" w:eastAsia="宋体" w:cs="宋体"/>
          <w:sz w:val="24"/>
          <w:szCs w:val="24"/>
          <w:u w:val="none"/>
          <w:lang w:val="en-US" w:eastAsia="zh-Hans"/>
        </w:rPr>
        <w:t>日10时止（延时顺延）在京东拍卖平台【处置</w:t>
      </w:r>
      <w:r>
        <w:rPr>
          <w:rFonts w:hint="eastAsia" w:ascii="宋体" w:hAnsi="宋体" w:eastAsia="宋体" w:cs="宋体"/>
          <w:sz w:val="24"/>
          <w:szCs w:val="24"/>
          <w:u w:val="none"/>
          <w:lang w:val="en-US" w:eastAsia="zh-CN"/>
        </w:rPr>
        <w:t>单位</w:t>
      </w:r>
      <w:r>
        <w:rPr>
          <w:rFonts w:hint="eastAsia" w:ascii="宋体" w:hAnsi="宋体" w:eastAsia="宋体" w:cs="宋体"/>
          <w:sz w:val="24"/>
          <w:szCs w:val="24"/>
          <w:u w:val="none"/>
          <w:lang w:val="en-US" w:eastAsia="zh-Hans"/>
        </w:rPr>
        <w:t>：</w:t>
      </w:r>
      <w:r>
        <w:rPr>
          <w:rFonts w:hint="eastAsia" w:ascii="宋体" w:hAnsi="宋体" w:eastAsia="宋体" w:cs="宋体"/>
          <w:sz w:val="24"/>
          <w:szCs w:val="24"/>
          <w:u w:val="none"/>
          <w:lang w:val="en-US" w:eastAsia="zh-CN"/>
        </w:rPr>
        <w:t>厦门诚毅地产投资管理有限公司</w:t>
      </w:r>
      <w:r>
        <w:rPr>
          <w:rFonts w:hint="eastAsia" w:ascii="宋体" w:hAnsi="宋体" w:eastAsia="宋体" w:cs="宋体"/>
          <w:sz w:val="24"/>
          <w:szCs w:val="24"/>
          <w:u w:val="none"/>
          <w:lang w:val="en-US" w:eastAsia="zh-Hans"/>
        </w:rPr>
        <w:t>管理人；监督单位：</w:t>
      </w:r>
      <w:r>
        <w:rPr>
          <w:rFonts w:hint="eastAsia" w:ascii="宋体" w:hAnsi="宋体" w:eastAsia="宋体" w:cs="宋体"/>
          <w:sz w:val="24"/>
          <w:szCs w:val="24"/>
          <w:u w:val="none"/>
          <w:lang w:val="en-US" w:eastAsia="zh-CN"/>
        </w:rPr>
        <w:t>厦门市中级</w:t>
      </w:r>
      <w:r>
        <w:rPr>
          <w:rFonts w:hint="eastAsia" w:ascii="宋体" w:hAnsi="宋体" w:eastAsia="宋体" w:cs="宋体"/>
          <w:sz w:val="24"/>
          <w:szCs w:val="24"/>
          <w:u w:val="none"/>
          <w:lang w:val="en-US" w:eastAsia="zh-Hans"/>
        </w:rPr>
        <w:t>人民法院；网址：https://auction.jd.com/bankrupt.html】进行公开拍卖活动，现公告如下：</w:t>
      </w:r>
    </w:p>
    <w:p w14:paraId="0621EF85">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14:paraId="79FD1BEE">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lang w:eastAsia="zh-Hans"/>
        </w:rPr>
        <w:t>（</w:t>
      </w:r>
      <w:r>
        <w:rPr>
          <w:rFonts w:hint="eastAsia" w:ascii="宋体" w:hAnsi="宋体" w:eastAsia="宋体" w:cs="宋体"/>
          <w:b/>
          <w:bCs/>
          <w:sz w:val="24"/>
          <w:szCs w:val="24"/>
          <w:lang w:val="en-US" w:eastAsia="zh-Hans"/>
        </w:rPr>
        <w:t>一</w:t>
      </w:r>
      <w:r>
        <w:rPr>
          <w:rFonts w:hint="eastAsia" w:ascii="宋体" w:hAnsi="宋体" w:eastAsia="宋体" w:cs="宋体"/>
          <w:b/>
          <w:bCs/>
          <w:sz w:val="24"/>
          <w:szCs w:val="24"/>
          <w:lang w:eastAsia="zh-Hans"/>
        </w:rPr>
        <w:t>）拍卖标的：厦门诚毅地产投资管理有限公司</w:t>
      </w:r>
      <w:r>
        <w:rPr>
          <w:rFonts w:hint="eastAsia" w:cs="宋体"/>
          <w:b/>
          <w:bCs/>
          <w:sz w:val="24"/>
          <w:szCs w:val="24"/>
          <w:lang w:val="en-US" w:eastAsia="zh-CN"/>
        </w:rPr>
        <w:t>名下位于汀溪石鼓山庄128号的别墅一套</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309"/>
        <w:gridCol w:w="1837"/>
        <w:gridCol w:w="2"/>
        <w:gridCol w:w="2074"/>
      </w:tblGrid>
      <w:tr w14:paraId="5B21A210">
        <w:trPr>
          <w:jc w:val="center"/>
        </w:trPr>
        <w:tc>
          <w:tcPr>
            <w:tcW w:w="2074" w:type="dxa"/>
            <w:vAlign w:val="center"/>
          </w:tcPr>
          <w:p w14:paraId="2C48FA23">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房屋坐落</w:t>
            </w:r>
          </w:p>
        </w:tc>
        <w:tc>
          <w:tcPr>
            <w:tcW w:w="6222" w:type="dxa"/>
            <w:gridSpan w:val="4"/>
            <w:vAlign w:val="center"/>
          </w:tcPr>
          <w:p w14:paraId="7DEBCCB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厦门市同安区</w:t>
            </w:r>
            <w:r>
              <w:rPr>
                <w:rFonts w:hint="default" w:ascii="宋体" w:hAnsi="宋体" w:eastAsia="宋体" w:cs="宋体"/>
                <w:sz w:val="24"/>
                <w:szCs w:val="24"/>
                <w:lang w:val="en-US" w:eastAsia="zh-CN"/>
              </w:rPr>
              <w:t>汀溪石鼓山庄</w:t>
            </w:r>
            <w:r>
              <w:rPr>
                <w:rFonts w:hint="eastAsia" w:cs="宋体"/>
                <w:sz w:val="24"/>
                <w:szCs w:val="24"/>
                <w:lang w:val="en-US" w:eastAsia="zh-CN"/>
              </w:rPr>
              <w:t>128</w:t>
            </w:r>
            <w:r>
              <w:rPr>
                <w:rFonts w:hint="default" w:ascii="宋体" w:hAnsi="宋体" w:eastAsia="宋体" w:cs="宋体"/>
                <w:sz w:val="24"/>
                <w:szCs w:val="24"/>
                <w:lang w:val="en-US" w:eastAsia="zh-CN"/>
              </w:rPr>
              <w:t>号</w:t>
            </w:r>
          </w:p>
        </w:tc>
      </w:tr>
      <w:tr w14:paraId="648F9782">
        <w:trPr>
          <w:jc w:val="center"/>
        </w:trPr>
        <w:tc>
          <w:tcPr>
            <w:tcW w:w="2074" w:type="dxa"/>
            <w:vAlign w:val="center"/>
          </w:tcPr>
          <w:p w14:paraId="1BC82891">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rPr>
              <w:t>不动产权证号</w:t>
            </w:r>
          </w:p>
        </w:tc>
        <w:tc>
          <w:tcPr>
            <w:tcW w:w="2309" w:type="dxa"/>
            <w:vAlign w:val="center"/>
          </w:tcPr>
          <w:p w14:paraId="6ED0617C">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一手交易，未办证</w:t>
            </w:r>
          </w:p>
        </w:tc>
        <w:tc>
          <w:tcPr>
            <w:tcW w:w="1839" w:type="dxa"/>
            <w:gridSpan w:val="2"/>
            <w:vAlign w:val="center"/>
          </w:tcPr>
          <w:p w14:paraId="6AC0738D">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b/>
                <w:bCs/>
                <w:sz w:val="24"/>
                <w:szCs w:val="24"/>
                <w:lang w:val="en-US" w:eastAsia="zh-Hans"/>
              </w:rPr>
              <w:t>规划用途</w:t>
            </w:r>
          </w:p>
        </w:tc>
        <w:tc>
          <w:tcPr>
            <w:tcW w:w="2074" w:type="dxa"/>
            <w:vAlign w:val="center"/>
          </w:tcPr>
          <w:p w14:paraId="1250CECE">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住宅</w:t>
            </w:r>
          </w:p>
        </w:tc>
      </w:tr>
      <w:tr w14:paraId="72B91116">
        <w:trPr>
          <w:jc w:val="center"/>
        </w:trPr>
        <w:tc>
          <w:tcPr>
            <w:tcW w:w="2074" w:type="dxa"/>
            <w:vAlign w:val="center"/>
          </w:tcPr>
          <w:p w14:paraId="47B5B700">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cs="宋体"/>
                <w:b/>
                <w:bCs/>
                <w:sz w:val="24"/>
                <w:szCs w:val="24"/>
                <w:lang w:val="en-US" w:eastAsia="zh-CN"/>
              </w:rPr>
              <w:t>实测</w:t>
            </w:r>
            <w:r>
              <w:rPr>
                <w:rFonts w:hint="eastAsia" w:ascii="宋体" w:hAnsi="宋体" w:eastAsia="宋体" w:cs="宋体"/>
                <w:b/>
                <w:bCs/>
                <w:sz w:val="24"/>
                <w:szCs w:val="24"/>
                <w:lang w:eastAsia="zh-Hans"/>
              </w:rPr>
              <w:t>面积</w:t>
            </w:r>
          </w:p>
        </w:tc>
        <w:tc>
          <w:tcPr>
            <w:tcW w:w="2309" w:type="dxa"/>
            <w:vAlign w:val="center"/>
          </w:tcPr>
          <w:p w14:paraId="02E46CC0">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 xml:space="preserve">237.48 </w:t>
            </w:r>
            <w:r>
              <w:rPr>
                <w:rFonts w:hint="eastAsia" w:ascii="宋体" w:hAnsi="宋体" w:eastAsia="宋体" w:cs="宋体"/>
                <w:sz w:val="24"/>
                <w:szCs w:val="24"/>
              </w:rPr>
              <w:t>m</w:t>
            </w:r>
            <w:r>
              <w:rPr>
                <w:rFonts w:hint="eastAsia" w:ascii="宋体" w:hAnsi="宋体" w:eastAsia="宋体" w:cs="宋体"/>
                <w:sz w:val="24"/>
                <w:szCs w:val="24"/>
                <w:vertAlign w:val="superscript"/>
              </w:rPr>
              <w:t>2</w:t>
            </w:r>
          </w:p>
        </w:tc>
        <w:tc>
          <w:tcPr>
            <w:tcW w:w="1837" w:type="dxa"/>
            <w:vAlign w:val="center"/>
          </w:tcPr>
          <w:p w14:paraId="3FD29976">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土地使用期限</w:t>
            </w:r>
          </w:p>
        </w:tc>
        <w:tc>
          <w:tcPr>
            <w:tcW w:w="2076" w:type="dxa"/>
            <w:gridSpan w:val="2"/>
            <w:vAlign w:val="center"/>
          </w:tcPr>
          <w:p w14:paraId="5F128FBD">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eastAsia"/>
              </w:rPr>
            </w:pPr>
            <w:r>
              <w:rPr>
                <w:rFonts w:hint="eastAsia"/>
              </w:rPr>
              <w:t>2001/01/08</w:t>
            </w:r>
          </w:p>
          <w:p w14:paraId="40FA3CF2">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eastAsia"/>
              </w:rPr>
            </w:pPr>
            <w:r>
              <w:rPr>
                <w:rFonts w:hint="eastAsia"/>
              </w:rPr>
              <w:t>至</w:t>
            </w:r>
          </w:p>
          <w:p w14:paraId="2D0E1F43">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default" w:ascii="宋体" w:hAnsi="宋体" w:eastAsia="宋体" w:cs="宋体"/>
                <w:sz w:val="24"/>
                <w:szCs w:val="24"/>
                <w:lang w:val="en-US" w:eastAsia="zh-CN"/>
              </w:rPr>
            </w:pPr>
            <w:r>
              <w:rPr>
                <w:rFonts w:hint="eastAsia"/>
              </w:rPr>
              <w:t>2071/01/07</w:t>
            </w:r>
          </w:p>
        </w:tc>
      </w:tr>
      <w:tr w14:paraId="4152F8F2">
        <w:trPr>
          <w:jc w:val="center"/>
        </w:trPr>
        <w:tc>
          <w:tcPr>
            <w:tcW w:w="2074" w:type="dxa"/>
            <w:vAlign w:val="center"/>
          </w:tcPr>
          <w:p w14:paraId="7939472C">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b/>
                <w:bCs/>
                <w:sz w:val="24"/>
                <w:szCs w:val="24"/>
                <w:lang w:val="en-US" w:eastAsia="zh-Hans"/>
              </w:rPr>
            </w:pPr>
            <w:r>
              <w:rPr>
                <w:rFonts w:hint="eastAsia" w:cs="宋体"/>
                <w:b/>
                <w:bCs/>
                <w:sz w:val="24"/>
                <w:szCs w:val="24"/>
                <w:lang w:val="en-US" w:eastAsia="zh-CN"/>
              </w:rPr>
              <w:t>房屋现状</w:t>
            </w:r>
          </w:p>
        </w:tc>
        <w:tc>
          <w:tcPr>
            <w:tcW w:w="2309" w:type="dxa"/>
            <w:vAlign w:val="center"/>
          </w:tcPr>
          <w:p w14:paraId="68CAC884">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毛坯、空置</w:t>
            </w:r>
          </w:p>
        </w:tc>
        <w:tc>
          <w:tcPr>
            <w:tcW w:w="1837" w:type="dxa"/>
            <w:vAlign w:val="center"/>
          </w:tcPr>
          <w:p w14:paraId="0DE1C9B5">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val="en-US" w:eastAsia="zh-Hans"/>
              </w:rPr>
            </w:pPr>
            <w:r>
              <w:rPr>
                <w:rFonts w:hint="eastAsia" w:ascii="宋体" w:hAnsi="宋体" w:eastAsia="宋体" w:cs="宋体"/>
                <w:b/>
                <w:bCs/>
                <w:sz w:val="24"/>
                <w:szCs w:val="24"/>
                <w:lang w:val="en-US" w:eastAsia="zh-Hans"/>
              </w:rPr>
              <w:t>房屋结构</w:t>
            </w:r>
          </w:p>
        </w:tc>
        <w:tc>
          <w:tcPr>
            <w:tcW w:w="2076" w:type="dxa"/>
            <w:gridSpan w:val="2"/>
            <w:vAlign w:val="center"/>
          </w:tcPr>
          <w:p w14:paraId="2E89923C">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钢筋混凝土</w:t>
            </w:r>
          </w:p>
          <w:p w14:paraId="6C2F4AD3">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eastAsia="zh-Hans"/>
              </w:rPr>
              <w:t>结构</w:t>
            </w:r>
          </w:p>
        </w:tc>
      </w:tr>
    </w:tbl>
    <w:p w14:paraId="7345F05B">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rPr>
        <w:t>起拍价为人民币</w:t>
      </w:r>
      <w:r>
        <w:rPr>
          <w:rFonts w:hint="eastAsia" w:cs="宋体"/>
          <w:sz w:val="24"/>
          <w:szCs w:val="24"/>
          <w:lang w:val="en-US" w:eastAsia="zh-CN"/>
        </w:rPr>
        <w:t>1535063</w:t>
      </w:r>
      <w:r>
        <w:rPr>
          <w:rFonts w:hint="eastAsia" w:ascii="宋体" w:hAnsi="宋体" w:eastAsia="宋体" w:cs="宋体"/>
          <w:sz w:val="24"/>
          <w:szCs w:val="24"/>
        </w:rPr>
        <w:t>元，保证金为人民币</w:t>
      </w:r>
      <w:r>
        <w:rPr>
          <w:rFonts w:hint="eastAsia" w:cs="宋体"/>
          <w:sz w:val="24"/>
          <w:szCs w:val="24"/>
          <w:lang w:val="en-US" w:eastAsia="zh-CN"/>
        </w:rPr>
        <w:t>15</w:t>
      </w:r>
      <w:bookmarkStart w:id="0" w:name="_GoBack"/>
      <w:bookmarkEnd w:id="0"/>
      <w:r>
        <w:rPr>
          <w:rFonts w:hint="eastAsia" w:ascii="宋体" w:hAnsi="宋体" w:eastAsia="宋体" w:cs="宋体"/>
          <w:sz w:val="24"/>
          <w:szCs w:val="24"/>
        </w:rPr>
        <w:t>万元，</w:t>
      </w:r>
      <w:r>
        <w:rPr>
          <w:rFonts w:hint="eastAsia" w:ascii="宋体" w:hAnsi="宋体" w:eastAsia="宋体" w:cs="宋体"/>
          <w:sz w:val="24"/>
          <w:szCs w:val="24"/>
          <w:lang w:val="en-US" w:eastAsia="zh-Hans"/>
        </w:rPr>
        <w:t>每次</w:t>
      </w:r>
      <w:r>
        <w:rPr>
          <w:rFonts w:hint="eastAsia" w:ascii="宋体" w:hAnsi="宋体" w:eastAsia="宋体" w:cs="宋体"/>
          <w:sz w:val="24"/>
          <w:szCs w:val="24"/>
        </w:rPr>
        <w:t>竞价增价幅度为人民币</w:t>
      </w:r>
      <w:r>
        <w:rPr>
          <w:rFonts w:hint="eastAsia" w:cs="宋体"/>
          <w:sz w:val="24"/>
          <w:szCs w:val="24"/>
          <w:lang w:val="en-US" w:eastAsia="zh-CN"/>
        </w:rPr>
        <w:t>1万</w:t>
      </w:r>
      <w:r>
        <w:rPr>
          <w:rFonts w:hint="eastAsia" w:ascii="宋体" w:hAnsi="宋体" w:eastAsia="宋体" w:cs="宋体"/>
          <w:sz w:val="24"/>
          <w:szCs w:val="24"/>
        </w:rPr>
        <w:t>元或其整数倍。</w:t>
      </w:r>
    </w:p>
    <w:p w14:paraId="7C9FE36F">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rPr>
        <w:t>咨询</w:t>
      </w:r>
      <w:r>
        <w:rPr>
          <w:rFonts w:hint="eastAsia" w:ascii="宋体" w:hAnsi="宋体" w:eastAsia="宋体" w:cs="宋体"/>
          <w:b/>
          <w:bCs/>
          <w:sz w:val="24"/>
          <w:szCs w:val="24"/>
          <w:lang w:eastAsia="zh-Hans"/>
        </w:rPr>
        <w:t>、尽职调查的时间与方式</w:t>
      </w:r>
    </w:p>
    <w:p w14:paraId="5523ABB0">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5</w:t>
      </w:r>
      <w:r>
        <w:rPr>
          <w:rFonts w:hint="eastAsia" w:ascii="宋体" w:hAnsi="宋体" w:eastAsia="宋体" w:cs="宋体"/>
          <w:sz w:val="24"/>
          <w:szCs w:val="24"/>
          <w:lang w:eastAsia="zh-Hans"/>
        </w:rPr>
        <w:t>年</w:t>
      </w:r>
      <w:r>
        <w:rPr>
          <w:rFonts w:hint="eastAsia" w:cs="宋体"/>
          <w:sz w:val="24"/>
          <w:szCs w:val="24"/>
          <w:lang w:val="en-US" w:eastAsia="zh-CN"/>
        </w:rPr>
        <w:t>7</w:t>
      </w:r>
      <w:r>
        <w:rPr>
          <w:rFonts w:hint="eastAsia" w:ascii="宋体" w:hAnsi="宋体" w:eastAsia="宋体" w:cs="宋体"/>
          <w:sz w:val="24"/>
          <w:szCs w:val="24"/>
          <w:lang w:eastAsia="zh-Hans"/>
        </w:rPr>
        <w:t>月</w:t>
      </w:r>
      <w:r>
        <w:rPr>
          <w:rFonts w:hint="eastAsia" w:cs="宋体"/>
          <w:sz w:val="24"/>
          <w:szCs w:val="24"/>
          <w:lang w:val="en-US" w:eastAsia="zh-CN"/>
        </w:rPr>
        <w:t>7</w:t>
      </w:r>
      <w:r>
        <w:rPr>
          <w:rFonts w:hint="eastAsia" w:ascii="宋体" w:hAnsi="宋体" w:eastAsia="宋体" w:cs="宋体"/>
          <w:sz w:val="24"/>
          <w:szCs w:val="24"/>
          <w:lang w:eastAsia="zh-Hans"/>
        </w:rPr>
        <w:t>日止（休息日节假日除外）接受咨询。有意者请与管理人联系，管理人将统一安排。</w:t>
      </w:r>
    </w:p>
    <w:p w14:paraId="12D24EEC">
      <w:pPr>
        <w:pStyle w:val="6"/>
        <w:numPr>
          <w:ilvl w:val="0"/>
          <w:numId w:val="3"/>
        </w:numPr>
        <w:shd w:val="clear" w:color="auto" w:fill="FFFFFF"/>
        <w:spacing w:beforeLines="100" w:beforeAutospacing="0" w:after="0" w:afterAutospacing="0" w:line="360" w:lineRule="auto"/>
        <w:ind w:firstLine="480" w:firstLineChars="200"/>
        <w:jc w:val="both"/>
        <w:rPr>
          <w:b/>
          <w:bCs/>
        </w:rPr>
      </w:pPr>
      <w:r>
        <w:rPr>
          <w:rFonts w:hint="eastAsia"/>
          <w:b/>
          <w:bCs/>
        </w:rPr>
        <w:t>拍卖标的优先购买权人</w:t>
      </w:r>
    </w:p>
    <w:p w14:paraId="26CE626B">
      <w:pPr>
        <w:pStyle w:val="6"/>
        <w:shd w:val="clear" w:color="auto" w:fill="FFFFFF"/>
        <w:spacing w:before="0" w:beforeAutospacing="0" w:after="0" w:afterAutospacing="0" w:line="360" w:lineRule="auto"/>
        <w:ind w:firstLine="480" w:firstLineChars="200"/>
        <w:jc w:val="both"/>
        <w:rPr>
          <w:b/>
          <w:bCs/>
          <w:highlight w:val="yellow"/>
        </w:rPr>
      </w:pPr>
      <w:r>
        <w:rPr>
          <w:rFonts w:hint="eastAsia"/>
          <w:b/>
          <w:bCs/>
        </w:rPr>
        <w:t>拍卖标的</w:t>
      </w:r>
      <w:r>
        <w:rPr>
          <w:rFonts w:hint="eastAsia"/>
          <w:b/>
          <w:bCs/>
          <w:lang w:val="en-US" w:eastAsia="zh-Hans"/>
        </w:rPr>
        <w:t>的</w:t>
      </w:r>
      <w:r>
        <w:rPr>
          <w:rFonts w:hint="eastAsia"/>
          <w:b/>
          <w:bCs/>
        </w:rPr>
        <w:t>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0DD4B736">
      <w:pPr>
        <w:pStyle w:val="6"/>
        <w:numPr>
          <w:ilvl w:val="0"/>
          <w:numId w:val="3"/>
        </w:numPr>
        <w:shd w:val="clear" w:color="auto" w:fill="FFFFFF"/>
        <w:spacing w:beforeLines="100" w:beforeAutospacing="0" w:after="0" w:afterAutospacing="0" w:line="360" w:lineRule="auto"/>
        <w:ind w:firstLine="480" w:firstLineChars="200"/>
        <w:jc w:val="both"/>
        <w:rPr>
          <w:rFonts w:hint="eastAsia" w:ascii="宋体" w:hAnsi="宋体" w:eastAsia="宋体" w:cs="宋体"/>
          <w:sz w:val="24"/>
          <w:szCs w:val="24"/>
          <w:lang w:eastAsia="zh-Hans"/>
        </w:rPr>
      </w:pPr>
      <w:r>
        <w:rPr>
          <w:rFonts w:hint="eastAsia"/>
          <w:b/>
          <w:bCs/>
        </w:rPr>
        <w:t>对拍卖标的权属或者拍卖行为有异议者，请于竞价活动开始5个工作日前与管理人联系。</w:t>
      </w:r>
      <w:r>
        <w:rPr>
          <w:rFonts w:hint="eastAsia"/>
        </w:rPr>
        <w:t>与拍卖标的有利害关系的当事人可以参加竞价，不参加竞价的请自行关注本次竞价活动的整个过程。</w:t>
      </w:r>
    </w:p>
    <w:p w14:paraId="20677601">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val="en-US" w:eastAsia="zh-Hans"/>
        </w:rPr>
      </w:pPr>
      <w:r>
        <w:rPr>
          <w:rFonts w:hint="eastAsia" w:cs="宋体"/>
          <w:b/>
          <w:bCs/>
          <w:sz w:val="24"/>
          <w:szCs w:val="24"/>
          <w:lang w:val="en-US" w:eastAsia="zh-CN"/>
        </w:rPr>
        <w:t>五、</w:t>
      </w:r>
      <w:r>
        <w:rPr>
          <w:rFonts w:hint="eastAsia" w:ascii="宋体" w:hAnsi="宋体" w:eastAsia="宋体" w:cs="宋体"/>
          <w:b/>
          <w:bCs/>
          <w:sz w:val="24"/>
          <w:szCs w:val="24"/>
          <w:lang w:val="en-US" w:eastAsia="zh-Hans"/>
        </w:rPr>
        <w:t>竞价方式</w:t>
      </w:r>
    </w:p>
    <w:p w14:paraId="5A995AA5">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一</w:t>
      </w:r>
      <w:r>
        <w:rPr>
          <w:rFonts w:hint="eastAsia" w:ascii="宋体" w:hAnsi="宋体" w:eastAsia="宋体" w:cs="宋体"/>
          <w:sz w:val="24"/>
          <w:szCs w:val="24"/>
          <w:lang w:eastAsia="zh-Hans"/>
        </w:rPr>
        <w:t>）竞价从起拍价开始以递增出价方式竞价，</w:t>
      </w:r>
      <w:r>
        <w:rPr>
          <w:rFonts w:hint="eastAsia" w:ascii="宋体" w:hAnsi="宋体" w:eastAsia="宋体" w:cs="宋体"/>
          <w:sz w:val="24"/>
          <w:szCs w:val="24"/>
          <w:lang w:val="en-US" w:eastAsia="zh-Hans"/>
        </w:rPr>
        <w:t>每次</w:t>
      </w:r>
      <w:r>
        <w:rPr>
          <w:rFonts w:hint="eastAsia" w:ascii="宋体" w:hAnsi="宋体" w:eastAsia="宋体" w:cs="宋体"/>
          <w:sz w:val="24"/>
          <w:szCs w:val="24"/>
          <w:lang w:eastAsia="zh-Hans"/>
        </w:rPr>
        <w:t>竞价增</w:t>
      </w:r>
      <w:r>
        <w:rPr>
          <w:rFonts w:hint="eastAsia" w:ascii="宋体" w:hAnsi="宋体" w:eastAsia="宋体" w:cs="宋体"/>
          <w:sz w:val="24"/>
          <w:szCs w:val="24"/>
        </w:rPr>
        <w:t>价幅度为人民币</w:t>
      </w:r>
      <w:r>
        <w:rPr>
          <w:rFonts w:hint="eastAsia" w:cs="宋体"/>
          <w:sz w:val="24"/>
          <w:szCs w:val="24"/>
          <w:lang w:val="en-US" w:eastAsia="zh-CN"/>
        </w:rPr>
        <w:t>1万</w:t>
      </w:r>
      <w:r>
        <w:rPr>
          <w:rFonts w:hint="eastAsia" w:ascii="宋体" w:hAnsi="宋体" w:eastAsia="宋体" w:cs="宋体"/>
          <w:sz w:val="24"/>
          <w:szCs w:val="24"/>
        </w:rPr>
        <w:t>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14:paraId="5489C1F4">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二</w:t>
      </w:r>
      <w:r>
        <w:rPr>
          <w:rFonts w:hint="eastAsia" w:ascii="宋体" w:hAnsi="宋体" w:eastAsia="宋体" w:cs="宋体"/>
          <w:sz w:val="24"/>
          <w:szCs w:val="24"/>
          <w:lang w:eastAsia="zh-Hans"/>
        </w:rPr>
        <w:t>）本次竞价活动设置延时出价功能，在竞价活动结束前，每最后5分钟如果有竞买人出价，将自动延迟5分钟。</w:t>
      </w:r>
    </w:p>
    <w:p w14:paraId="3F51A9C6">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w:t>
      </w:r>
      <w:r>
        <w:rPr>
          <w:rFonts w:hint="eastAsia" w:ascii="宋体" w:hAnsi="宋体" w:eastAsia="宋体" w:cs="宋体"/>
          <w:b/>
          <w:bCs/>
          <w:sz w:val="24"/>
          <w:szCs w:val="24"/>
          <w:lang w:val="en-US" w:eastAsia="zh-Hans"/>
        </w:rPr>
        <w:t>三</w:t>
      </w:r>
      <w:r>
        <w:rPr>
          <w:rFonts w:hint="eastAsia" w:ascii="宋体" w:hAnsi="宋体" w:eastAsia="宋体" w:cs="宋体"/>
          <w:b/>
          <w:bCs/>
          <w:sz w:val="24"/>
          <w:szCs w:val="24"/>
          <w:lang w:eastAsia="zh-Hans"/>
        </w:rPr>
        <w:t>）本次拍卖保留价为起拍价。</w:t>
      </w:r>
    </w:p>
    <w:p w14:paraId="4822DC12">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cs="宋体"/>
          <w:b/>
          <w:bCs/>
          <w:sz w:val="24"/>
          <w:szCs w:val="24"/>
          <w:lang w:val="en-US" w:eastAsia="zh-CN"/>
        </w:rPr>
        <w:t>六、</w:t>
      </w:r>
      <w:r>
        <w:rPr>
          <w:rFonts w:hint="eastAsia" w:ascii="宋体" w:hAnsi="宋体" w:eastAsia="宋体" w:cs="宋体"/>
          <w:b/>
          <w:bCs/>
          <w:sz w:val="24"/>
          <w:szCs w:val="24"/>
          <w:lang w:eastAsia="zh-Hans"/>
        </w:rPr>
        <w:t>保证金与</w:t>
      </w:r>
      <w:r>
        <w:rPr>
          <w:rFonts w:hint="eastAsia" w:cs="宋体"/>
          <w:b/>
          <w:bCs/>
          <w:sz w:val="24"/>
          <w:szCs w:val="24"/>
          <w:lang w:val="en-US" w:eastAsia="zh-CN"/>
        </w:rPr>
        <w:t>拍卖价款的</w:t>
      </w:r>
      <w:r>
        <w:rPr>
          <w:rFonts w:hint="eastAsia" w:ascii="宋体" w:hAnsi="宋体" w:eastAsia="宋体" w:cs="宋体"/>
          <w:b/>
          <w:bCs/>
          <w:sz w:val="24"/>
          <w:szCs w:val="24"/>
          <w:lang w:eastAsia="zh-Hans"/>
        </w:rPr>
        <w:t>支付</w:t>
      </w:r>
    </w:p>
    <w:p w14:paraId="16F44042">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val="0"/>
          <w:bCs w:val="0"/>
          <w:sz w:val="24"/>
          <w:szCs w:val="24"/>
          <w:lang w:eastAsia="zh-Hans"/>
        </w:rPr>
      </w:pPr>
      <w:r>
        <w:rPr>
          <w:rFonts w:hint="eastAsia" w:ascii="宋体" w:hAnsi="宋体" w:eastAsia="宋体" w:cs="宋体"/>
          <w:b w:val="0"/>
          <w:bCs w:val="0"/>
          <w:sz w:val="24"/>
          <w:szCs w:val="24"/>
          <w:lang w:eastAsia="zh-Hans"/>
        </w:rPr>
        <w:t>（一）第一次出价前，意向竞买人须在京东注册账号并通过实名认证（已注册京东账号需通过实名认证），在线支付竞买保证金，支付后系统自动冻结该笔保证金，竞价成交的，待买受人支付完毕京东支付技术服务费后，拍卖标的竞得者（以下称买受人）被冻结的保证金将由京东结算给管理人指定账户。竞价结束后，未能竞得者的保证金以及竞价未成交的（即流拍的）竞买人的保证金在竞价活动结束后即时解冻，保证金冻结期间不计利息。</w:t>
      </w:r>
    </w:p>
    <w:p w14:paraId="5203DD5E">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b/>
          <w:bCs/>
        </w:rPr>
      </w:pPr>
      <w:r>
        <w:rPr>
          <w:rFonts w:hint="eastAsia" w:ascii="宋体" w:hAnsi="宋体" w:eastAsia="宋体" w:cs="宋体"/>
          <w:b/>
          <w:bCs/>
          <w:sz w:val="24"/>
          <w:szCs w:val="24"/>
          <w:lang w:eastAsia="zh-Hans"/>
        </w:rPr>
        <w:t>（二）</w:t>
      </w:r>
      <w:r>
        <w:rPr>
          <w:rFonts w:hint="eastAsia"/>
          <w:b/>
          <w:bCs/>
        </w:rPr>
        <w:t>竞价成交后，买受人缴纳的保证金可以充抵价款，拍卖标的买受人原锁定的保证金24小时内自动转入管理人指定账户。拍卖余款买受人应在拍卖成交之日起</w:t>
      </w:r>
      <w:r>
        <w:rPr>
          <w:rFonts w:hint="eastAsia"/>
          <w:b/>
          <w:bCs/>
          <w:lang w:val="en-US" w:eastAsia="zh-CN"/>
        </w:rPr>
        <w:t>10</w:t>
      </w:r>
      <w:r>
        <w:rPr>
          <w:rFonts w:hint="eastAsia"/>
          <w:b/>
          <w:bCs/>
        </w:rPr>
        <w:t>个自然日内将拍卖价款全部支付给管理人。管理人收款账户如下：</w:t>
      </w:r>
    </w:p>
    <w:p w14:paraId="619C60A4">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名：厦门诚毅地产投资管理有限公司管理人</w:t>
      </w:r>
    </w:p>
    <w:p w14:paraId="1B56BAB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开户行：中国银行股份有限公司厦门开元支行</w:t>
      </w:r>
    </w:p>
    <w:p w14:paraId="734F2023">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Hans"/>
        </w:rPr>
        <w:t>账  号：</w:t>
      </w:r>
      <w:r>
        <w:rPr>
          <w:rFonts w:hint="eastAsia" w:cs="宋体"/>
          <w:b/>
          <w:bCs/>
          <w:sz w:val="24"/>
          <w:szCs w:val="24"/>
          <w:lang w:eastAsia="zh-CN"/>
        </w:rPr>
        <w:t>407887255410</w:t>
      </w:r>
    </w:p>
    <w:p w14:paraId="327DB1A9">
      <w:pPr>
        <w:pStyle w:val="6"/>
        <w:numPr>
          <w:ilvl w:val="255"/>
          <w:numId w:val="0"/>
        </w:numPr>
        <w:shd w:val="clear" w:color="auto" w:fill="FFFFFF"/>
        <w:spacing w:before="0" w:beforeAutospacing="0" w:after="0" w:afterAutospacing="0" w:line="480" w:lineRule="exact"/>
        <w:ind w:firstLine="480" w:firstLineChars="200"/>
        <w:jc w:val="both"/>
      </w:pPr>
      <w:r>
        <w:rPr>
          <w:rFonts w:hint="eastAsia"/>
        </w:rPr>
        <w:t>（</w:t>
      </w:r>
      <w:r>
        <w:rPr>
          <w:rFonts w:hint="eastAsia"/>
          <w:lang w:val="en-US" w:eastAsia="zh-CN"/>
        </w:rPr>
        <w:t>三</w:t>
      </w:r>
      <w:r>
        <w:rPr>
          <w:rFonts w:hint="eastAsia"/>
        </w:rPr>
        <w:t>）因标的物本身价值较高，其起拍价、保证金、竞拍成交价相对较高，竞买人参与竞拍，支付保证金及拍卖价款可能会遇到当天限额无法支付的情况，请竞买人根据自身情况选择网上充值银行。各大银行充值和支付的限额情况可上网查询，网址https://help.jd.com/user/issue/359-1659.html。</w:t>
      </w:r>
    </w:p>
    <w:p w14:paraId="1B15778A">
      <w:pPr>
        <w:pStyle w:val="6"/>
        <w:numPr>
          <w:ilvl w:val="255"/>
          <w:numId w:val="0"/>
        </w:numPr>
        <w:shd w:val="clear" w:color="auto" w:fill="FFFFFF"/>
        <w:spacing w:before="0" w:beforeAutospacing="0" w:after="0" w:afterAutospacing="0" w:line="480" w:lineRule="exact"/>
        <w:ind w:firstLine="480" w:firstLineChars="200"/>
        <w:jc w:val="both"/>
      </w:pPr>
      <w:r>
        <w:rPr>
          <w:rFonts w:hint="eastAsia"/>
          <w:b/>
          <w:bCs/>
        </w:rPr>
        <w:t>（</w:t>
      </w:r>
      <w:r>
        <w:rPr>
          <w:rFonts w:hint="eastAsia"/>
          <w:b/>
          <w:bCs/>
          <w:lang w:val="en-US" w:eastAsia="zh-CN"/>
        </w:rPr>
        <w:t>四</w:t>
      </w:r>
      <w:r>
        <w:rPr>
          <w:rFonts w:hint="eastAsia"/>
          <w:b/>
          <w:bCs/>
        </w:rPr>
        <w:t>）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14:paraId="0900B1CD">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val="en-US" w:eastAsia="zh-Hans"/>
        </w:rPr>
      </w:pPr>
      <w:r>
        <w:rPr>
          <w:rFonts w:hint="eastAsia" w:ascii="宋体" w:hAnsi="宋体" w:eastAsia="宋体" w:cs="宋体"/>
          <w:b/>
          <w:bCs/>
          <w:sz w:val="24"/>
          <w:szCs w:val="24"/>
          <w:lang w:eastAsia="zh-Hans"/>
        </w:rPr>
        <w:t>七、拍卖标的</w:t>
      </w:r>
      <w:r>
        <w:rPr>
          <w:rFonts w:hint="eastAsia" w:ascii="宋体" w:hAnsi="宋体" w:eastAsia="宋体" w:cs="宋体"/>
          <w:b/>
          <w:bCs/>
          <w:sz w:val="24"/>
          <w:szCs w:val="24"/>
          <w:lang w:val="en-US" w:eastAsia="zh-Hans"/>
        </w:rPr>
        <w:t>交付及过户手续办理</w:t>
      </w:r>
    </w:p>
    <w:p w14:paraId="2DC88EF6">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rPr>
      </w:pPr>
      <w:r>
        <w:rPr>
          <w:rFonts w:hint="eastAsia"/>
        </w:rPr>
        <w:t>（一）买受人应于付清全部拍卖成交款后</w:t>
      </w:r>
      <w:r>
        <w:rPr>
          <w:rFonts w:hint="eastAsia"/>
          <w:b/>
          <w:bCs/>
        </w:rPr>
        <w:t>3个工作日内（遇休息日节假日顺延）</w:t>
      </w:r>
      <w:r>
        <w:rPr>
          <w:rFonts w:hint="eastAsia"/>
        </w:rPr>
        <w:t>凭付款凭证及相关身份材料（个人持身份证、单位持营业执照、法定代表人或负责人身份证明文件）到管理人处签署拍卖成交确认文件，并办理拍卖标的交付手续。</w:t>
      </w:r>
      <w:r>
        <w:rPr>
          <w:rFonts w:hint="eastAsia"/>
          <w:b/>
          <w:bCs/>
        </w:rPr>
        <w:t>买受人逾期办理交付手续的，于前述时间届满之日18:00视为管理人已将拍卖标的所有权移交买受人，买受人自行承担全部的责任和风险。</w:t>
      </w:r>
    </w:p>
    <w:p w14:paraId="53502965">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color w:val="auto"/>
        </w:rPr>
      </w:pPr>
      <w:r>
        <w:rPr>
          <w:rFonts w:hint="eastAsia"/>
          <w:color w:val="auto"/>
        </w:rPr>
        <w:t>（二）买受人须在竞价成功后，按照相关规定申报、缴纳</w:t>
      </w:r>
      <w:r>
        <w:rPr>
          <w:rFonts w:hint="eastAsia"/>
          <w:color w:val="auto"/>
          <w:lang w:val="en-US" w:eastAsia="zh-CN"/>
        </w:rPr>
        <w:t>相关</w:t>
      </w:r>
      <w:r>
        <w:rPr>
          <w:rFonts w:hint="eastAsia"/>
          <w:color w:val="auto"/>
        </w:rPr>
        <w:t>税费（关于税费承担的具体问题详见《竞拍须知》第十条）。</w:t>
      </w:r>
    </w:p>
    <w:p w14:paraId="0277AEB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b/>
          <w:bCs/>
          <w:u w:val="single"/>
        </w:rPr>
      </w:pPr>
      <w:r>
        <w:rPr>
          <w:rFonts w:hint="eastAsia"/>
          <w:b/>
          <w:bCs/>
          <w:u w:val="single"/>
          <w:shd w:val="clear"/>
        </w:rPr>
        <w:t>（三）拍卖成交且买受人支付完毕全部价款、提交身份材料</w:t>
      </w:r>
      <w:r>
        <w:rPr>
          <w:rFonts w:hint="eastAsia"/>
          <w:b/>
          <w:bCs/>
          <w:u w:val="single"/>
          <w:shd w:val="clear"/>
          <w:lang w:val="en-US" w:eastAsia="zh-CN"/>
        </w:rPr>
        <w:t>以</w:t>
      </w:r>
      <w:r>
        <w:rPr>
          <w:rFonts w:hint="eastAsia"/>
          <w:b/>
          <w:bCs/>
          <w:u w:val="single"/>
          <w:shd w:val="clear"/>
        </w:rPr>
        <w:t>后，管</w:t>
      </w:r>
      <w:r>
        <w:rPr>
          <w:rFonts w:hint="eastAsia"/>
          <w:b/>
          <w:bCs/>
          <w:u w:val="single"/>
        </w:rPr>
        <w:t>理人将申请法院出具《民事裁定书》给买受人。买受人必须在其</w:t>
      </w:r>
      <w:r>
        <w:rPr>
          <w:rFonts w:hint="eastAsia"/>
          <w:b/>
          <w:bCs/>
          <w:u w:val="single"/>
          <w:lang w:val="en-US" w:eastAsia="zh-CN"/>
        </w:rPr>
        <w:t>收到法院出具的《民事裁定书》</w:t>
      </w:r>
      <w:r>
        <w:rPr>
          <w:rFonts w:hint="eastAsia"/>
          <w:b/>
          <w:bCs/>
          <w:u w:val="single"/>
        </w:rPr>
        <w:t>之日起30日内自行到相关主管部门办理相关过户手续及其他税费缴交事宜，管理人将给予必要的协助，但拍卖标的的过户风险由买受人自行承担。</w:t>
      </w:r>
    </w:p>
    <w:p w14:paraId="10B880A6">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14:paraId="467DB2B2">
      <w:pPr>
        <w:pStyle w:val="6"/>
        <w:numPr>
          <w:ilvl w:val="255"/>
          <w:numId w:val="0"/>
        </w:numPr>
        <w:shd w:val="clear" w:color="auto" w:fill="FFFFFF"/>
        <w:spacing w:before="0" w:beforeAutospacing="0" w:after="0" w:afterAutospacing="0" w:line="480" w:lineRule="exact"/>
        <w:ind w:firstLine="480" w:firstLineChars="200"/>
        <w:jc w:val="both"/>
        <w:rPr>
          <w:lang w:eastAsia="zh-Hans"/>
        </w:rPr>
      </w:pPr>
      <w:r>
        <w:rPr>
          <w:rFonts w:hint="eastAsia"/>
          <w:lang w:eastAsia="zh-Hans"/>
        </w:rPr>
        <w:t>拍卖方（管理人）未授权或指定任何特定的机构对本次拍卖活动提供相关金融服务，买受人与相关金融机构之间的权利义务、纠纷由买受人自行和金融机构处理，与管理人无关。</w:t>
      </w:r>
    </w:p>
    <w:p w14:paraId="7ED2DB44">
      <w:pPr>
        <w:pStyle w:val="6"/>
        <w:numPr>
          <w:ilvl w:val="255"/>
          <w:numId w:val="0"/>
        </w:numPr>
        <w:shd w:val="clear" w:color="auto" w:fill="FFFFFF"/>
        <w:spacing w:before="0" w:beforeAutospacing="0" w:after="0" w:afterAutospacing="0" w:line="480" w:lineRule="exact"/>
        <w:ind w:firstLine="480" w:firstLineChars="200"/>
        <w:jc w:val="both"/>
        <w:rPr>
          <w:rFonts w:hint="eastAsia" w:ascii="宋体" w:hAnsi="宋体" w:eastAsia="宋体" w:cs="宋体"/>
          <w:b/>
          <w:bCs/>
          <w:sz w:val="24"/>
          <w:szCs w:val="24"/>
          <w:lang w:eastAsia="zh-Hans"/>
        </w:rPr>
      </w:pPr>
      <w:r>
        <w:rPr>
          <w:rFonts w:hint="eastAsia"/>
          <w:lang w:eastAsia="zh-Hans"/>
        </w:rPr>
        <w:t>除本公告外，其他风险提示和特别说明部分内容详见《竞拍须知》。</w:t>
      </w:r>
    </w:p>
    <w:p w14:paraId="05198E43">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157" w:beforeLines="50" w:beforeAutospacing="0" w:after="0" w:afterAutospacing="0" w:line="480" w:lineRule="exact"/>
        <w:ind w:left="0" w:leftChars="0" w:firstLine="480" w:firstLineChars="200"/>
        <w:jc w:val="both"/>
        <w:textAlignment w:val="auto"/>
        <w:rPr>
          <w:rFonts w:hint="eastAsia"/>
          <w:b/>
          <w:bCs/>
          <w:u w:val="none"/>
        </w:rPr>
      </w:pPr>
      <w:r>
        <w:rPr>
          <w:rFonts w:hint="eastAsia"/>
          <w:u w:val="none"/>
        </w:rPr>
        <w:t>竞买人在参与此次竞价活动前，请认真阅读本公告、《竞拍须知》及所有附件内容，以及相关法律、法规、规章及规范性文件的规定，并安排必要的尽职调查。</w:t>
      </w:r>
      <w:r>
        <w:rPr>
          <w:rFonts w:hint="eastAsia"/>
          <w:b/>
          <w:bCs/>
          <w:u w:val="none"/>
        </w:rPr>
        <w:t>竞买人支付竞买保证金，即视为其已对拍卖标的实施了审慎、充分的尽职调查，已充分了解拍卖文件及相关规定的内容及要求，并承诺自行承担法律责任。</w:t>
      </w:r>
    </w:p>
    <w:p w14:paraId="6349F6D4">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rPr>
      </w:pPr>
      <w:r>
        <w:rPr>
          <w:rFonts w:hint="eastAsia"/>
          <w:b/>
          <w:bCs/>
        </w:rPr>
        <w:t>为便于买受人及时收到相关的法律文书及通知，竞买人应在本次竞价活动前如实向京东拍卖平台提供准确的送达地址或主动与管理人联系提供送达地址。如需更改地址，买受人应及时与京东拍卖平台、管理人联系确认更改。因提供的送达地址不准确，或未及时告知变更地址，导致有关法律文书及通知无法送达的，视为已有效送达，由竞买人自行承担由此产生的法律后果。</w:t>
      </w:r>
    </w:p>
    <w:p w14:paraId="026809DD">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14:paraId="5535DD91">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咨询电话：152-5926-4753（张</w:t>
      </w:r>
      <w:r>
        <w:rPr>
          <w:rFonts w:hint="eastAsia" w:cs="宋体"/>
          <w:sz w:val="24"/>
          <w:szCs w:val="24"/>
          <w:lang w:val="en-US" w:eastAsia="zh-CN"/>
        </w:rPr>
        <w:t>女士</w:t>
      </w:r>
      <w:r>
        <w:rPr>
          <w:rFonts w:hint="eastAsia" w:ascii="宋体" w:hAnsi="宋体" w:eastAsia="宋体" w:cs="宋体"/>
          <w:sz w:val="24"/>
          <w:szCs w:val="24"/>
        </w:rPr>
        <w:t>）</w:t>
      </w:r>
    </w:p>
    <w:p w14:paraId="097CB2BA">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w:t>
      </w:r>
      <w:r>
        <w:rPr>
          <w:rFonts w:hint="eastAsia" w:cs="宋体"/>
          <w:sz w:val="24"/>
          <w:szCs w:val="24"/>
          <w:lang w:val="en-US" w:eastAsia="zh-CN"/>
        </w:rPr>
        <w:t>27</w:t>
      </w:r>
      <w:r>
        <w:rPr>
          <w:rFonts w:hint="eastAsia" w:ascii="宋体" w:hAnsi="宋体" w:eastAsia="宋体" w:cs="宋体"/>
          <w:sz w:val="24"/>
          <w:szCs w:val="24"/>
          <w:lang w:eastAsia="zh-Hans"/>
        </w:rPr>
        <w:t>层 福建天衡联合律师事务所</w:t>
      </w:r>
    </w:p>
    <w:p w14:paraId="40810152">
      <w:pPr>
        <w:pStyle w:val="6"/>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rPr>
        <w:t>京东技术咨询电话：4006229586</w:t>
      </w:r>
    </w:p>
    <w:p w14:paraId="221C34EA">
      <w:pPr>
        <w:pStyle w:val="6"/>
        <w:shd w:val="clear" w:color="auto" w:fill="FFFFFF"/>
        <w:spacing w:before="0" w:beforeAutospacing="0" w:after="0" w:afterAutospacing="0" w:line="360" w:lineRule="auto"/>
        <w:ind w:firstLine="480" w:firstLineChars="200"/>
        <w:jc w:val="both"/>
      </w:pPr>
      <w:r>
        <w:rPr>
          <w:rFonts w:hint="eastAsia"/>
        </w:rPr>
        <w:t>此公告将在“京东拍卖”上进行发布，请各竞买人自行关注，网址为:https://auction.jd.com/bankrupt.html。</w:t>
      </w:r>
    </w:p>
    <w:p w14:paraId="41E62CC3">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p>
    <w:p w14:paraId="00E262A0">
      <w:pPr>
        <w:pStyle w:val="6"/>
        <w:keepNext w:val="0"/>
        <w:keepLines w:val="0"/>
        <w:pageBreakBefore w:val="0"/>
        <w:shd w:val="clear" w:color="auto" w:fill="FFFFFF"/>
        <w:kinsoku/>
        <w:wordWrap/>
        <w:overflowPunct/>
        <w:topLinePunct w:val="0"/>
        <w:autoSpaceDE/>
        <w:autoSpaceDN/>
        <w:bidi w:val="0"/>
        <w:adjustRightInd/>
        <w:snapToGrid/>
        <w:spacing w:before="156" w:beforeLines="50" w:beforeAutospacing="0" w:after="0" w:afterAutospacing="0" w:line="480" w:lineRule="exact"/>
        <w:jc w:val="right"/>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厦门诚毅地产投资管理有限公司</w:t>
      </w:r>
      <w:r>
        <w:rPr>
          <w:rFonts w:hint="eastAsia" w:ascii="宋体" w:hAnsi="宋体" w:eastAsia="宋体" w:cs="宋体"/>
          <w:b/>
          <w:bCs/>
          <w:sz w:val="24"/>
          <w:szCs w:val="24"/>
        </w:rPr>
        <w:t>管理人</w:t>
      </w:r>
    </w:p>
    <w:p w14:paraId="710B6C98">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b/>
          <w:bCs/>
          <w:sz w:val="24"/>
          <w:szCs w:val="24"/>
          <w:lang w:eastAsia="zh-Hans"/>
        </w:rPr>
        <w:t xml:space="preserve">                   </w:t>
      </w:r>
      <w:r>
        <w:rPr>
          <w:rFonts w:hint="eastAsia" w:ascii="宋体" w:hAnsi="宋体" w:eastAsia="宋体" w:cs="宋体"/>
          <w:b/>
          <w:bCs/>
          <w:sz w:val="24"/>
          <w:szCs w:val="24"/>
          <w:lang w:val="en-US" w:eastAsia="zh-CN"/>
        </w:rPr>
        <w:t xml:space="preserve">            </w:t>
      </w:r>
      <w:r>
        <w:rPr>
          <w:rFonts w:hint="eastAsia" w:cs="宋体"/>
          <w:b/>
          <w:bCs/>
          <w:sz w:val="24"/>
          <w:szCs w:val="24"/>
          <w:lang w:val="en-US" w:eastAsia="zh-CN"/>
        </w:rPr>
        <w:t xml:space="preserve">  </w:t>
      </w:r>
      <w:r>
        <w:rPr>
          <w:rFonts w:hint="eastAsia" w:ascii="宋体" w:hAnsi="宋体" w:eastAsia="宋体" w:cs="宋体"/>
          <w:b/>
          <w:bCs/>
          <w:sz w:val="24"/>
          <w:szCs w:val="24"/>
          <w:lang w:eastAsia="zh-Hans"/>
        </w:rPr>
        <w:t xml:space="preserve"> 202</w:t>
      </w:r>
      <w:r>
        <w:rPr>
          <w:rFonts w:hint="eastAsia" w:cs="宋体"/>
          <w:b/>
          <w:bCs/>
          <w:sz w:val="24"/>
          <w:szCs w:val="24"/>
          <w:lang w:val="en-US" w:eastAsia="zh-CN"/>
        </w:rPr>
        <w:t>5</w:t>
      </w:r>
      <w:r>
        <w:rPr>
          <w:rFonts w:hint="eastAsia" w:ascii="宋体" w:hAnsi="宋体" w:eastAsia="宋体" w:cs="宋体"/>
          <w:b/>
          <w:bCs/>
          <w:sz w:val="24"/>
          <w:szCs w:val="24"/>
          <w:lang w:eastAsia="zh-Hans"/>
        </w:rPr>
        <w:t>年</w:t>
      </w:r>
      <w:r>
        <w:rPr>
          <w:rFonts w:hint="eastAsia" w:cs="宋体"/>
          <w:b/>
          <w:bCs/>
          <w:sz w:val="24"/>
          <w:szCs w:val="24"/>
          <w:lang w:val="en-US" w:eastAsia="zh-CN"/>
        </w:rPr>
        <w:t>6</w:t>
      </w:r>
      <w:r>
        <w:rPr>
          <w:rFonts w:hint="eastAsia" w:ascii="宋体" w:hAnsi="宋体" w:eastAsia="宋体" w:cs="宋体"/>
          <w:b/>
          <w:bCs/>
          <w:sz w:val="24"/>
          <w:szCs w:val="24"/>
          <w:lang w:eastAsia="zh-Hans"/>
        </w:rPr>
        <w:t>月</w:t>
      </w:r>
      <w:r>
        <w:rPr>
          <w:rFonts w:hint="eastAsia" w:cs="宋体"/>
          <w:b/>
          <w:bCs/>
          <w:sz w:val="24"/>
          <w:szCs w:val="24"/>
          <w:lang w:val="en-US" w:eastAsia="zh-CN"/>
        </w:rPr>
        <w:t>30</w:t>
      </w:r>
      <w:r>
        <w:rPr>
          <w:rFonts w:hint="eastAsia" w:ascii="宋体" w:hAnsi="宋体" w:eastAsia="宋体" w:cs="宋体"/>
          <w:b/>
          <w:bCs/>
          <w:sz w:val="24"/>
          <w:szCs w:val="24"/>
          <w:lang w:eastAsia="zh-Hans"/>
        </w:rPr>
        <w:t>日</w:t>
      </w:r>
      <w:r>
        <w:rPr>
          <w:rFonts w:hint="eastAsia" w:ascii="宋体" w:hAnsi="宋体" w:eastAsia="宋体" w:cs="宋体"/>
          <w:b/>
          <w:bCs/>
          <w:sz w:val="24"/>
          <w:szCs w:val="24"/>
        </w:rPr>
        <w:t xml:space="preserve">                    </w:t>
      </w:r>
      <w:r>
        <w:rPr>
          <w:rFonts w:hint="eastAsia" w:ascii="宋体" w:hAnsi="宋体" w:eastAsia="宋体" w:cs="宋体"/>
          <w:sz w:val="24"/>
          <w:szCs w:val="24"/>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jaVu Sans">
    <w:altName w:val="苹方-简"/>
    <w:panose1 w:val="02020603050405020304"/>
    <w:charset w:val="00"/>
    <w:family w:val="roman"/>
    <w:pitch w:val="default"/>
    <w:sig w:usb0="00000000" w:usb1="00000000" w:usb2="00000008" w:usb3="00000000" w:csb0="000001F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F015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8688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848688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E185C"/>
    <w:multiLevelType w:val="singleLevel"/>
    <w:tmpl w:val="AFEE185C"/>
    <w:lvl w:ilvl="0" w:tentative="0">
      <w:start w:val="2"/>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A9A6"/>
    <w:multiLevelType w:val="singleLevel"/>
    <w:tmpl w:val="6162A9A6"/>
    <w:lvl w:ilvl="0" w:tentative="0">
      <w:start w:val="8"/>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D7E76BDA"/>
    <w:rsid w:val="00066E9D"/>
    <w:rsid w:val="000E459D"/>
    <w:rsid w:val="00137CBA"/>
    <w:rsid w:val="00143E6E"/>
    <w:rsid w:val="00155C71"/>
    <w:rsid w:val="0015615A"/>
    <w:rsid w:val="0018266E"/>
    <w:rsid w:val="001E2594"/>
    <w:rsid w:val="002220A9"/>
    <w:rsid w:val="00284E7F"/>
    <w:rsid w:val="002D7A08"/>
    <w:rsid w:val="00355F9D"/>
    <w:rsid w:val="00366871"/>
    <w:rsid w:val="003C6D91"/>
    <w:rsid w:val="00456E2E"/>
    <w:rsid w:val="004F0537"/>
    <w:rsid w:val="00520131"/>
    <w:rsid w:val="0052142A"/>
    <w:rsid w:val="00526020"/>
    <w:rsid w:val="006053B9"/>
    <w:rsid w:val="00607351"/>
    <w:rsid w:val="00652376"/>
    <w:rsid w:val="006742CE"/>
    <w:rsid w:val="00693C51"/>
    <w:rsid w:val="00731243"/>
    <w:rsid w:val="00733D87"/>
    <w:rsid w:val="00743090"/>
    <w:rsid w:val="00786A68"/>
    <w:rsid w:val="007E1776"/>
    <w:rsid w:val="00836A71"/>
    <w:rsid w:val="00893C16"/>
    <w:rsid w:val="008C53C7"/>
    <w:rsid w:val="00924FD3"/>
    <w:rsid w:val="009579D9"/>
    <w:rsid w:val="009714C8"/>
    <w:rsid w:val="009E15FC"/>
    <w:rsid w:val="009E426D"/>
    <w:rsid w:val="00A00205"/>
    <w:rsid w:val="00A14258"/>
    <w:rsid w:val="00A53A5E"/>
    <w:rsid w:val="00A7195B"/>
    <w:rsid w:val="00AB3E63"/>
    <w:rsid w:val="00B160F1"/>
    <w:rsid w:val="00B26C2E"/>
    <w:rsid w:val="00B90558"/>
    <w:rsid w:val="00BC21CE"/>
    <w:rsid w:val="00BC5A6C"/>
    <w:rsid w:val="00C2652A"/>
    <w:rsid w:val="00C72727"/>
    <w:rsid w:val="00C970B0"/>
    <w:rsid w:val="00D93B2D"/>
    <w:rsid w:val="00DF3AF7"/>
    <w:rsid w:val="00E62A34"/>
    <w:rsid w:val="00EC4434"/>
    <w:rsid w:val="00EF1AAC"/>
    <w:rsid w:val="00F20EB9"/>
    <w:rsid w:val="0F1FD510"/>
    <w:rsid w:val="147FC9DE"/>
    <w:rsid w:val="1DFF2DB6"/>
    <w:rsid w:val="1E3FBCAD"/>
    <w:rsid w:val="1EFB953A"/>
    <w:rsid w:val="1FFFE394"/>
    <w:rsid w:val="27EBA437"/>
    <w:rsid w:val="33D838CD"/>
    <w:rsid w:val="33FF934B"/>
    <w:rsid w:val="3656589A"/>
    <w:rsid w:val="36FC55E5"/>
    <w:rsid w:val="373E2EBB"/>
    <w:rsid w:val="373FC7EB"/>
    <w:rsid w:val="375DBAE9"/>
    <w:rsid w:val="37A3CA99"/>
    <w:rsid w:val="37FF0F28"/>
    <w:rsid w:val="3BEF72D5"/>
    <w:rsid w:val="3BF446EB"/>
    <w:rsid w:val="3BFE294F"/>
    <w:rsid w:val="3DA5B3C0"/>
    <w:rsid w:val="3ED956A0"/>
    <w:rsid w:val="3F3B6E6A"/>
    <w:rsid w:val="3F9BEFAC"/>
    <w:rsid w:val="3FD75090"/>
    <w:rsid w:val="4BBF0A0E"/>
    <w:rsid w:val="4BFFCB49"/>
    <w:rsid w:val="4F7723A1"/>
    <w:rsid w:val="567BE45E"/>
    <w:rsid w:val="5E6FAB8F"/>
    <w:rsid w:val="5F7F143E"/>
    <w:rsid w:val="5FFF0337"/>
    <w:rsid w:val="6247CE55"/>
    <w:rsid w:val="63DFF43E"/>
    <w:rsid w:val="64BE382A"/>
    <w:rsid w:val="67458C6F"/>
    <w:rsid w:val="67B6AAA0"/>
    <w:rsid w:val="67F314C7"/>
    <w:rsid w:val="6A43417C"/>
    <w:rsid w:val="6BFB83ED"/>
    <w:rsid w:val="6D5F580B"/>
    <w:rsid w:val="6FFE096E"/>
    <w:rsid w:val="706F28DE"/>
    <w:rsid w:val="755CD439"/>
    <w:rsid w:val="75BEE139"/>
    <w:rsid w:val="75DEAED2"/>
    <w:rsid w:val="76672FC8"/>
    <w:rsid w:val="76F73798"/>
    <w:rsid w:val="776F27B3"/>
    <w:rsid w:val="77FF5472"/>
    <w:rsid w:val="7A6780C2"/>
    <w:rsid w:val="7AF38EBD"/>
    <w:rsid w:val="7B9EB0A9"/>
    <w:rsid w:val="7BBEABE4"/>
    <w:rsid w:val="7BBF0930"/>
    <w:rsid w:val="7BDBAA11"/>
    <w:rsid w:val="7BF7958D"/>
    <w:rsid w:val="7BFDFF41"/>
    <w:rsid w:val="7BFF22CE"/>
    <w:rsid w:val="7DD7168B"/>
    <w:rsid w:val="7DDB960C"/>
    <w:rsid w:val="7DEF3C36"/>
    <w:rsid w:val="7E1FA71B"/>
    <w:rsid w:val="7EAF4417"/>
    <w:rsid w:val="7EBFF193"/>
    <w:rsid w:val="7EEF2C4B"/>
    <w:rsid w:val="7EEF92EE"/>
    <w:rsid w:val="7EFFCA9E"/>
    <w:rsid w:val="7F7A0243"/>
    <w:rsid w:val="7FA7E382"/>
    <w:rsid w:val="7FAF12F2"/>
    <w:rsid w:val="7FB33F5B"/>
    <w:rsid w:val="7FB5DEB8"/>
    <w:rsid w:val="7FBB27DA"/>
    <w:rsid w:val="7FDEE7F4"/>
    <w:rsid w:val="7FE978E1"/>
    <w:rsid w:val="7FF3A0EA"/>
    <w:rsid w:val="7FF7DD3A"/>
    <w:rsid w:val="7FF7E49E"/>
    <w:rsid w:val="7FFB31BF"/>
    <w:rsid w:val="7FFD379C"/>
    <w:rsid w:val="91BF8C99"/>
    <w:rsid w:val="9E55A06A"/>
    <w:rsid w:val="A4FF9C5D"/>
    <w:rsid w:val="A77F7700"/>
    <w:rsid w:val="ABBEA1D5"/>
    <w:rsid w:val="ADF7AC2C"/>
    <w:rsid w:val="B57F2AAC"/>
    <w:rsid w:val="B585C3CC"/>
    <w:rsid w:val="B5FE910C"/>
    <w:rsid w:val="B8DBDD6B"/>
    <w:rsid w:val="B9AFBF52"/>
    <w:rsid w:val="B9EF6C00"/>
    <w:rsid w:val="B9FE6E45"/>
    <w:rsid w:val="BB3F0A90"/>
    <w:rsid w:val="BCFDF526"/>
    <w:rsid w:val="BDFB263A"/>
    <w:rsid w:val="BFBB8328"/>
    <w:rsid w:val="BFBF023C"/>
    <w:rsid w:val="BFFB2BE0"/>
    <w:rsid w:val="BFFDEAA8"/>
    <w:rsid w:val="C3CEB63D"/>
    <w:rsid w:val="CBFFF971"/>
    <w:rsid w:val="CEE5F206"/>
    <w:rsid w:val="CF35AED6"/>
    <w:rsid w:val="CFFDEA9C"/>
    <w:rsid w:val="D06D587E"/>
    <w:rsid w:val="D4F93073"/>
    <w:rsid w:val="D7E76BDA"/>
    <w:rsid w:val="D947571A"/>
    <w:rsid w:val="D9777041"/>
    <w:rsid w:val="DBFDB0F5"/>
    <w:rsid w:val="DCFFF554"/>
    <w:rsid w:val="DF7AE07B"/>
    <w:rsid w:val="DFF98CB1"/>
    <w:rsid w:val="DFFD9688"/>
    <w:rsid w:val="E37C35FA"/>
    <w:rsid w:val="E37F34C5"/>
    <w:rsid w:val="E7FF86BD"/>
    <w:rsid w:val="EEBFE07B"/>
    <w:rsid w:val="EECD1A5F"/>
    <w:rsid w:val="F3F332AC"/>
    <w:rsid w:val="F4760623"/>
    <w:rsid w:val="F4DFE589"/>
    <w:rsid w:val="F4F78382"/>
    <w:rsid w:val="F67A289D"/>
    <w:rsid w:val="F761043B"/>
    <w:rsid w:val="F7DFB540"/>
    <w:rsid w:val="F7E7C085"/>
    <w:rsid w:val="F85AA150"/>
    <w:rsid w:val="F9FBEF7F"/>
    <w:rsid w:val="FB4F4AB0"/>
    <w:rsid w:val="FB6DBBE9"/>
    <w:rsid w:val="FBBBDCF7"/>
    <w:rsid w:val="FBD3A07F"/>
    <w:rsid w:val="FBF96EAB"/>
    <w:rsid w:val="FC3FBF46"/>
    <w:rsid w:val="FD77A459"/>
    <w:rsid w:val="FDBBE4F1"/>
    <w:rsid w:val="FDD73015"/>
    <w:rsid w:val="FDDD2E1B"/>
    <w:rsid w:val="FDF908FE"/>
    <w:rsid w:val="FE77023C"/>
    <w:rsid w:val="FE979775"/>
    <w:rsid w:val="FEDFD793"/>
    <w:rsid w:val="FEEBAC06"/>
    <w:rsid w:val="FF7F1971"/>
    <w:rsid w:val="FFA33B13"/>
    <w:rsid w:val="FFAF8028"/>
    <w:rsid w:val="FFDDB6EE"/>
    <w:rsid w:val="FFFFC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8"/>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2"/>
    <w:next w:val="2"/>
    <w:link w:val="14"/>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列表段落1"/>
    <w:basedOn w:val="1"/>
    <w:qFormat/>
    <w:uiPriority w:val="34"/>
    <w:pPr>
      <w:ind w:firstLine="420" w:firstLineChars="200"/>
    </w:pPr>
  </w:style>
  <w:style w:type="character" w:customStyle="1" w:styleId="13">
    <w:name w:val="批注文字 字符"/>
    <w:basedOn w:val="10"/>
    <w:link w:val="2"/>
    <w:qFormat/>
    <w:uiPriority w:val="0"/>
    <w:rPr>
      <w:kern w:val="2"/>
      <w:sz w:val="21"/>
      <w:szCs w:val="24"/>
    </w:rPr>
  </w:style>
  <w:style w:type="character" w:customStyle="1" w:styleId="14">
    <w:name w:val="批注主题 字符"/>
    <w:basedOn w:val="13"/>
    <w:link w:val="7"/>
    <w:qFormat/>
    <w:uiPriority w:val="0"/>
    <w:rPr>
      <w:b/>
      <w:bCs/>
      <w:kern w:val="2"/>
      <w:sz w:val="21"/>
      <w:szCs w:val="24"/>
    </w:rPr>
  </w:style>
  <w:style w:type="paragraph" w:customStyle="1" w:styleId="15">
    <w:name w:val="列表段落2"/>
    <w:basedOn w:val="1"/>
    <w:qFormat/>
    <w:uiPriority w:val="99"/>
    <w:pPr>
      <w:ind w:firstLine="420" w:firstLineChars="200"/>
    </w:pPr>
  </w:style>
  <w:style w:type="paragraph" w:customStyle="1" w:styleId="16">
    <w:name w:val="列表段落3"/>
    <w:basedOn w:val="1"/>
    <w:qFormat/>
    <w:uiPriority w:val="99"/>
    <w:pPr>
      <w:ind w:firstLine="420" w:firstLineChars="200"/>
    </w:pPr>
  </w:style>
  <w:style w:type="paragraph" w:customStyle="1" w:styleId="17">
    <w:name w:val="doc-a"/>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8">
    <w:name w:val="批注框文本 字符"/>
    <w:basedOn w:val="10"/>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2519</Words>
  <Characters>2741</Characters>
  <Lines>27</Lines>
  <Paragraphs>7</Paragraphs>
  <TotalTime>24</TotalTime>
  <ScaleCrop>false</ScaleCrop>
  <LinksUpToDate>false</LinksUpToDate>
  <CharactersWithSpaces>2841</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2021-11-28T06:55:00Z</dcterms:created>
  <dc:creator>zxq</dc:creator>
  <cp:lastModifiedBy>zxq</cp:lastModifiedBy>
  <dcterms:modified xsi:type="dcterms:W3CDTF">2025-06-23T15:16:50Z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E3D1FED48A07FE3239E3A6626343DABD</vt:lpwstr>
  </property>
  <property fmtid="{D5CDD505-2E9C-101B-9397-08002B2CF9AE}" pid="4" name="KSOTemplateDocerSaveRecord">
    <vt:lpwstr>eyJoZGlkIjoiNzY2YTFjMjg3ODY4MGE0YWRiNTQ2NTU4ODAwNjJlN2YiLCJ1c2VySWQiOiI0MDU4NjUyNzkifQ==</vt:lpwstr>
  </property>
</Properties>
</file>