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53131">
      <w:pPr>
        <w:spacing w:line="360" w:lineRule="auto"/>
        <w:jc w:val="center"/>
        <w:rPr>
          <w:rFonts w:asciiTheme="minorEastAsia" w:hAnsiTheme="minorEastAsia"/>
          <w:b/>
          <w:sz w:val="36"/>
          <w:szCs w:val="36"/>
        </w:rPr>
      </w:pPr>
      <w:bookmarkStart w:id="1" w:name="_GoBack"/>
      <w:r>
        <w:rPr>
          <w:rFonts w:hint="eastAsia" w:asciiTheme="minorEastAsia" w:hAnsiTheme="minorEastAsia"/>
          <w:b/>
          <w:sz w:val="36"/>
          <w:szCs w:val="36"/>
        </w:rPr>
        <w:t>关于雷克萨斯牌小型越野客车一辆（不带牌、不带指标）的竞买公告</w:t>
      </w:r>
    </w:p>
    <w:p w14:paraId="32E1E05C">
      <w:pPr>
        <w:spacing w:line="360" w:lineRule="auto"/>
        <w:jc w:val="center"/>
        <w:rPr>
          <w:rFonts w:asciiTheme="minorEastAsia" w:hAnsiTheme="minorEastAsia"/>
          <w:sz w:val="24"/>
          <w:szCs w:val="24"/>
        </w:rPr>
      </w:pPr>
    </w:p>
    <w:p w14:paraId="02C7B81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北京博美华龙玻璃仪器有限公司（以下简称“博美华龙”）清算组将于</w:t>
      </w:r>
      <w:r>
        <w:rPr>
          <w:rFonts w:asciiTheme="minorEastAsia" w:hAnsiTheme="minorEastAsia"/>
          <w:sz w:val="24"/>
          <w:szCs w:val="24"/>
        </w:rPr>
        <w:t>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6月28日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6月29日</w:t>
      </w:r>
      <w:r>
        <w:rPr>
          <w:rFonts w:asciiTheme="minorEastAsia" w:hAnsiTheme="minorEastAsia"/>
          <w:sz w:val="24"/>
          <w:szCs w:val="24"/>
        </w:rPr>
        <w:t>10时</w:t>
      </w:r>
      <w:r>
        <w:rPr>
          <w:rFonts w:hint="eastAsia" w:asciiTheme="minorEastAsia" w:hAnsiTheme="minorEastAsia"/>
          <w:sz w:val="24"/>
          <w:szCs w:val="24"/>
        </w:rPr>
        <w:t>止（延时的除外）在阿里资产·破产网络平台上（网址：</w:t>
      </w:r>
      <w:r>
        <w:rPr>
          <w:rFonts w:asciiTheme="minorEastAsia" w:hAnsiTheme="minorEastAsia"/>
          <w:sz w:val="24"/>
          <w:szCs w:val="24"/>
        </w:rPr>
        <w:t>https://susong.taobao.com/</w:t>
      </w:r>
      <w:r>
        <w:rPr>
          <w:rFonts w:hint="eastAsia" w:asciiTheme="minorEastAsia" w:hAnsiTheme="minorEastAsia"/>
          <w:sz w:val="24"/>
          <w:szCs w:val="24"/>
        </w:rPr>
        <w:t>）进行公开拍卖活动，现公告如下：</w:t>
      </w:r>
    </w:p>
    <w:p w14:paraId="599CA636">
      <w:pPr>
        <w:numPr>
          <w:ilvl w:val="0"/>
          <w:numId w:val="1"/>
        </w:num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拍卖标的物情况简介</w:t>
      </w:r>
    </w:p>
    <w:p w14:paraId="2F4768F2">
      <w:pPr>
        <w:spacing w:line="360" w:lineRule="auto"/>
        <w:ind w:left="482"/>
        <w:rPr>
          <w:rFonts w:asciiTheme="minorEastAsia" w:hAnsiTheme="minorEastAsia"/>
          <w:b/>
          <w:sz w:val="24"/>
          <w:szCs w:val="24"/>
        </w:rPr>
      </w:pPr>
      <w:r>
        <w:rPr>
          <w:rFonts w:hint="eastAsia" w:asciiTheme="minorEastAsia" w:hAnsiTheme="minorEastAsia"/>
          <w:b/>
          <w:sz w:val="24"/>
          <w:szCs w:val="24"/>
        </w:rPr>
        <w:t>标的物存放地址：北京市朝阳区豆各庄地区豆各庄西路甲4号</w:t>
      </w:r>
    </w:p>
    <w:p w14:paraId="0421CC60">
      <w:pPr>
        <w:spacing w:line="360" w:lineRule="auto"/>
        <w:ind w:firstLine="482" w:firstLineChars="20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b/>
          <w:bCs/>
          <w:sz w:val="24"/>
          <w:szCs w:val="24"/>
        </w:rPr>
        <w:t>标的物名称</w:t>
      </w:r>
      <w:r>
        <w:rPr>
          <w:rFonts w:hint="eastAsia" w:asciiTheme="minorEastAsia" w:hAnsiTheme="minorEastAsia"/>
          <w:sz w:val="24"/>
          <w:szCs w:val="24"/>
        </w:rPr>
        <w:t>：</w:t>
      </w:r>
      <w:r>
        <w:rPr>
          <w:rFonts w:hint="eastAsia" w:asciiTheme="minorEastAsia" w:hAnsiTheme="minorEastAsia"/>
          <w:color w:val="000000" w:themeColor="text1"/>
          <w:sz w:val="24"/>
          <w:szCs w:val="24"/>
          <w14:textFill>
            <w14:solidFill>
              <w14:schemeClr w14:val="tx1"/>
            </w14:solidFill>
          </w14:textFill>
        </w:rPr>
        <w:t>雷克萨斯牌小型越野客车一辆（不带牌、不带指标）</w:t>
      </w:r>
    </w:p>
    <w:p w14:paraId="57AE4D45">
      <w:pPr>
        <w:spacing w:line="360" w:lineRule="auto"/>
        <w:ind w:firstLine="482" w:firstLineChars="200"/>
        <w:rPr>
          <w:rFonts w:asciiTheme="minorEastAsia" w:hAnsiTheme="minorEastAsia"/>
          <w:sz w:val="24"/>
          <w:szCs w:val="24"/>
        </w:rPr>
      </w:pPr>
      <w:r>
        <w:rPr>
          <w:rFonts w:hint="eastAsia" w:asciiTheme="minorEastAsia" w:hAnsiTheme="minorEastAsia"/>
          <w:b/>
          <w:bCs/>
          <w:sz w:val="24"/>
          <w:szCs w:val="24"/>
        </w:rPr>
        <w:t>起拍价</w:t>
      </w:r>
      <w:r>
        <w:rPr>
          <w:rFonts w:hint="eastAsia" w:asciiTheme="minorEastAsia" w:hAnsiTheme="minorEastAsia"/>
          <w:sz w:val="24"/>
          <w:szCs w:val="24"/>
        </w:rPr>
        <w:t>：</w:t>
      </w:r>
      <w:r>
        <w:rPr>
          <w:rFonts w:hint="eastAsia" w:asciiTheme="minorEastAsia" w:hAnsiTheme="minorEastAsia"/>
          <w:b/>
          <w:bCs/>
          <w:color w:val="FF0000"/>
          <w:sz w:val="24"/>
          <w:szCs w:val="24"/>
        </w:rPr>
        <w:t>32,255.4</w:t>
      </w:r>
      <w:r>
        <w:rPr>
          <w:rFonts w:hint="eastAsia" w:asciiTheme="minorEastAsia" w:hAnsiTheme="minorEastAsia"/>
          <w:sz w:val="24"/>
          <w:szCs w:val="24"/>
        </w:rPr>
        <w:t>元，保证金：</w:t>
      </w:r>
      <w:r>
        <w:rPr>
          <w:rFonts w:hint="eastAsia" w:asciiTheme="minorEastAsia" w:hAnsiTheme="minorEastAsia"/>
          <w:b/>
          <w:bCs/>
          <w:color w:val="FF0000"/>
          <w:sz w:val="24"/>
          <w:szCs w:val="24"/>
        </w:rPr>
        <w:t>3,225.54</w:t>
      </w:r>
      <w:r>
        <w:rPr>
          <w:rFonts w:hint="eastAsia" w:asciiTheme="minorEastAsia" w:hAnsiTheme="minorEastAsia"/>
          <w:sz w:val="24"/>
          <w:szCs w:val="24"/>
        </w:rPr>
        <w:t>元，增价幅度：</w:t>
      </w:r>
      <w:r>
        <w:rPr>
          <w:rFonts w:hint="eastAsia" w:asciiTheme="minorEastAsia" w:hAnsiTheme="minorEastAsia"/>
          <w:b/>
          <w:bCs/>
          <w:color w:val="FF0000"/>
          <w:sz w:val="24"/>
          <w:szCs w:val="24"/>
        </w:rPr>
        <w:t>500</w:t>
      </w:r>
      <w:r>
        <w:rPr>
          <w:rFonts w:hint="eastAsia" w:asciiTheme="minorEastAsia" w:hAnsiTheme="minorEastAsia"/>
          <w:sz w:val="24"/>
          <w:szCs w:val="24"/>
        </w:rPr>
        <w:t>元(或整倍数)。</w:t>
      </w:r>
    </w:p>
    <w:p w14:paraId="0296A01A">
      <w:pPr>
        <w:spacing w:line="360" w:lineRule="auto"/>
        <w:ind w:firstLine="422" w:firstLineChars="200"/>
        <w:rPr>
          <w:rFonts w:ascii="Helvetica" w:hAnsi="Helvetica"/>
          <w:b/>
          <w:bCs/>
          <w:color w:val="FF0000"/>
        </w:rPr>
      </w:pPr>
      <w:r>
        <w:rPr>
          <w:rFonts w:ascii="Helvetica" w:hAnsi="Helvetica"/>
          <w:b/>
          <w:bCs/>
          <w:color w:val="FF0000"/>
        </w:rPr>
        <w:t>标的物特别情况说明：</w:t>
      </w:r>
    </w:p>
    <w:p w14:paraId="7514C8A8">
      <w:pPr>
        <w:spacing w:line="360" w:lineRule="auto"/>
        <w:ind w:firstLine="422" w:firstLineChars="200"/>
        <w:rPr>
          <w:rFonts w:asciiTheme="minorEastAsia" w:hAnsiTheme="minorEastAsia"/>
          <w:b/>
          <w:color w:val="FF0000"/>
          <w:sz w:val="24"/>
          <w:szCs w:val="24"/>
        </w:rPr>
      </w:pPr>
      <w:r>
        <w:rPr>
          <w:rFonts w:hint="eastAsia" w:ascii="Helvetica" w:hAnsi="Helvetica"/>
          <w:b/>
          <w:bCs/>
          <w:color w:val="FF0000"/>
        </w:rPr>
        <w:t>车辆处于闲置状态且停放时间过长，维护保养情况一般，使用状况不详。</w:t>
      </w:r>
    </w:p>
    <w:p w14:paraId="049CFD66">
      <w:pPr>
        <w:tabs>
          <w:tab w:val="center" w:pos="4394"/>
        </w:tabs>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重要提示：</w:t>
      </w:r>
      <w:r>
        <w:rPr>
          <w:rFonts w:asciiTheme="minorEastAsia" w:hAnsiTheme="minorEastAsia"/>
          <w:b/>
          <w:color w:val="FF0000"/>
          <w:sz w:val="24"/>
          <w:szCs w:val="24"/>
        </w:rPr>
        <w:tab/>
      </w:r>
    </w:p>
    <w:p w14:paraId="6414896A">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1、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由买受人自行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清算组对此不负责任。</w:t>
      </w:r>
    </w:p>
    <w:p w14:paraId="043AC7FB">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2、车辆保险情况、车辆事故信息、车辆违章信息不详，故此车辆原违章记录由买受人自行负责处理，交通罚单、欠缴的车船税、滞纳金、未投保交强险的罚款，以及可能产生的涉及车辆的其他罚款、税费、停车费、过户、单证补换，均由买受人自行核实、所涉及的一切费用均由买受人承担。车辆逾期未检验的，由买受人自行办理车辆检验手续。</w:t>
      </w:r>
    </w:p>
    <w:p w14:paraId="40FF2A90">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3、关于本车辆涉及的过户、机动车迁出、迁入，牌照指标申请、配置、更新，环保、排放标准等规定，竞买人应在竞拍前自行向当地相关职能部门了解，并自行承担因上述问题产生的车辆不能上牌的后果和一切风险。因上述问题发生费用及造成的车辆不能上牌的风险由买受人自行承担</w:t>
      </w:r>
    </w:p>
    <w:p w14:paraId="7D237594">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4、该标的物实际车款式请竞买人自行核实，公告中的车辆款式仅供参考，可能会出现与实际车辆款式不符合的情况，标的物交付以实际车辆为准。该标的物的里程数不详，标的物以实际现状为准。清算组及拍卖辅助机构对标的物数量、质量问题、外观、结构调整、型号及使用状态（损坏）等不作任何担保，由买受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样的竞买人视为对本标的物实物现状的确认。请慎重决定竞买行为，竞买人一旦作出竞买决定，即表明已完全了解，并接受标的物交割时的现状和一切已知及未知的瑕疵。</w:t>
      </w:r>
    </w:p>
    <w:p w14:paraId="46DAD211">
      <w:pPr>
        <w:spacing w:line="360" w:lineRule="auto"/>
        <w:ind w:firstLine="480" w:firstLineChars="200"/>
        <w:rPr>
          <w:rFonts w:asciiTheme="minorEastAsia" w:hAnsiTheme="minorEastAsia"/>
          <w:bCs/>
          <w:color w:val="000000" w:themeColor="text1"/>
          <w:sz w:val="24"/>
          <w:szCs w:val="24"/>
          <w14:textFill>
            <w14:solidFill>
              <w14:schemeClr w14:val="tx1"/>
            </w14:solidFill>
          </w14:textFill>
        </w:rPr>
      </w:pPr>
      <w:r>
        <w:rPr>
          <w:rFonts w:hint="eastAsia" w:asciiTheme="minorEastAsia" w:hAnsiTheme="minorEastAsia"/>
          <w:bCs/>
          <w:color w:val="000000" w:themeColor="text1"/>
          <w:sz w:val="24"/>
          <w:szCs w:val="24"/>
          <w14:textFill>
            <w14:solidFill>
              <w14:schemeClr w14:val="tx1"/>
            </w14:solidFill>
          </w14:textFill>
        </w:rPr>
        <w:t>5、其他未尽事宜由买受人自行了解。</w:t>
      </w:r>
    </w:p>
    <w:p w14:paraId="3E03C7BF">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二、咨询、展示、看样的时间与方式</w:t>
      </w:r>
    </w:p>
    <w:p w14:paraId="3D672CE5">
      <w:pPr>
        <w:spacing w:line="360" w:lineRule="auto"/>
        <w:ind w:firstLine="480" w:firstLineChars="200"/>
        <w:rPr>
          <w:rFonts w:asciiTheme="minorEastAsia" w:hAnsiTheme="minorEastAsia"/>
          <w:b/>
          <w:color w:val="FF0000"/>
          <w:sz w:val="24"/>
          <w:szCs w:val="24"/>
        </w:rPr>
      </w:pPr>
      <w:r>
        <w:rPr>
          <w:rFonts w:hint="eastAsia" w:asciiTheme="minorEastAsia" w:hAnsiTheme="minorEastAsia"/>
          <w:sz w:val="24"/>
          <w:szCs w:val="24"/>
        </w:rPr>
        <w:t>自公告之日起至</w:t>
      </w:r>
      <w:r>
        <w:rPr>
          <w:rFonts w:asciiTheme="minorEastAsia" w:hAnsiTheme="minorEastAsia"/>
          <w:sz w:val="24"/>
          <w:szCs w:val="24"/>
        </w:rPr>
        <w:t>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6月29日</w:t>
      </w:r>
      <w:r>
        <w:rPr>
          <w:rFonts w:asciiTheme="minorEastAsia" w:hAnsiTheme="minorEastAsia"/>
          <w:sz w:val="24"/>
          <w:szCs w:val="24"/>
        </w:rPr>
        <w:t>10时</w:t>
      </w:r>
      <w:r>
        <w:rPr>
          <w:rFonts w:hint="eastAsia" w:asciiTheme="minorEastAsia" w:hAnsiTheme="minorEastAsia"/>
          <w:sz w:val="24"/>
          <w:szCs w:val="24"/>
        </w:rPr>
        <w:t>止接受咨询（工作时间内），统一安排现场看样。本清算组已委托北京嘉运亨通拍卖有限公司协助办理咨询、预展事务，有意者请与联系（联系电话：尹先生 15910861984， 刘先生：16601111018）。</w:t>
      </w:r>
      <w:r>
        <w:rPr>
          <w:rFonts w:hint="eastAsia" w:asciiTheme="minorEastAsia" w:hAnsiTheme="minorEastAsia"/>
          <w:b/>
          <w:color w:val="FF0000"/>
          <w:sz w:val="24"/>
          <w:szCs w:val="24"/>
        </w:rPr>
        <w:t>有意者请亲自实地看样，详细情况可向相关部门了解或自行进行调查，未看样的竞买人视为对本标的物实物现状的确认，责任自负。请谨慎参拍。竞买人一旦作出竞买决定，即表明已完全了解，并接受标的物的现状和一切已知及未知的瑕疵。</w:t>
      </w:r>
    </w:p>
    <w:p w14:paraId="251C8C9C">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24F698F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地方法规、规章和司法解释对竞买人/买受人资格或者条件有特殊规定的，竞买人应当具备规定的资格或者条件。竞买人应自行到相关部门了解法律、行政法规、地方法规、规章司法解释对买受人资格或者条件有特殊规定的限制。因不符合条件参加竞买的，由竞买人自行承担相应的法律责任。</w:t>
      </w:r>
    </w:p>
    <w:p w14:paraId="294DE2A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清算组沟通办理委托手续；竞买成功后，竞买人（公民、法人和其他组织）或其委托代理人应到清算组处办理交付或权属转移手续。如委托手续不全，竞买活动认定为委托代理人的个人行为。因不符合条件参加竞买的，由竞买人自行承担相应的法律责任。</w:t>
      </w:r>
    </w:p>
    <w:p w14:paraId="25963C9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3、负责承办本案件的人民法院、企业清算组、网络服务提供者、承担拍卖辅助工作的社会机构或者组织的工作人员及其近亲属不得参与竞买，并不得委托他人代为竞买与其行为相关的拍卖标的物。</w:t>
      </w:r>
    </w:p>
    <w:p w14:paraId="74174BF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66546582">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0F1AFD7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271494B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优先购买权人应于本公告发布之日起3日内向清算组联系，提供相关证明材料，办理相关手续。逾期未提供材料或办理手续者，视为自动放弃优先购买权。</w:t>
      </w:r>
    </w:p>
    <w:p w14:paraId="7179EEE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清算组提交合法有效的证明，经清算组确认资格及顺位后才能参与竞买，逾期不提交的，视为放弃对标的物享有优先购买权。清算组在正式拍卖日前将经确认的优先权购买人资格和顺位信息，审报网络平台技术部门，录入平台系统。</w:t>
      </w:r>
    </w:p>
    <w:p w14:paraId="6489424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3E0C713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清算组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4D6062C">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五、拍卖延时</w:t>
      </w:r>
    </w:p>
    <w:p w14:paraId="1110E42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本次拍卖活动设置延时出价功能，在拍卖活动结束前，每最后5分钟如果有竞买人出价，就自动延迟5分钟。</w:t>
      </w:r>
    </w:p>
    <w:p w14:paraId="024A923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六、拍卖方式</w:t>
      </w:r>
    </w:p>
    <w:p w14:paraId="6043B426">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本次拍卖采取有保留价的增价拍卖方式，保留价即为起拍价，至少一人报名且出价不低于起拍价，方可成交。无人报名或出价的，竞价会流拍。</w:t>
      </w:r>
    </w:p>
    <w:p w14:paraId="3A936E77">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七、税费及其他费用承担</w:t>
      </w:r>
    </w:p>
    <w:p w14:paraId="173F126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计价货币为人民币。本次拍卖成交价不含税费及其他费用。因标的物转让权属发生变更买卖双方所涉及的一切税、费(包括但不限于所得税、交易手续费、违章费用、罚款、年检费、修车费、拖车费、拍卖费用及其他费用等等，具体费用以相关部门最终核定为准)和可能需要补交的相关税、费等根据法律确定承担承担。如未明确缴费义务人的费用由买受人承担。买受人在竞买前应向所涉税务局部门确认成交后应缴纳的税费标准。</w:t>
      </w:r>
    </w:p>
    <w:p w14:paraId="745527FD">
      <w:pPr>
        <w:spacing w:line="360" w:lineRule="auto"/>
        <w:ind w:firstLine="482"/>
        <w:rPr>
          <w:rFonts w:cs="宋体" w:asciiTheme="minorEastAsia" w:hAnsiTheme="minorEastAsia"/>
          <w:b/>
          <w:sz w:val="24"/>
        </w:rPr>
      </w:pPr>
      <w:r>
        <w:rPr>
          <w:rFonts w:cs="宋体" w:asciiTheme="minorEastAsia" w:hAnsiTheme="minorEastAsia"/>
          <w:b/>
          <w:sz w:val="24"/>
        </w:rPr>
        <w:t>八、签署成交文件</w:t>
      </w:r>
    </w:p>
    <w:p w14:paraId="1B0A21D7">
      <w:pPr>
        <w:spacing w:line="360" w:lineRule="auto"/>
        <w:ind w:firstLine="482"/>
        <w:rPr>
          <w:rFonts w:cs="宋体" w:asciiTheme="minorEastAsia" w:hAnsiTheme="minorEastAsia"/>
          <w:bCs/>
          <w:sz w:val="24"/>
        </w:rPr>
      </w:pPr>
      <w:r>
        <w:rPr>
          <w:rFonts w:cs="宋体" w:asciiTheme="minorEastAsia" w:hAnsiTheme="minorEastAsia"/>
          <w:bCs/>
          <w:sz w:val="24"/>
        </w:rPr>
        <w:t>买受人须在拍卖成交之日起三日内（遇节假日顺延）凭缴纳拍卖保证金平台生成的竞买号及相关身份材料到清算组处签署拍卖成交确认文件。</w:t>
      </w:r>
    </w:p>
    <w:p w14:paraId="171627F0">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九、保证金和余款支付</w:t>
      </w:r>
    </w:p>
    <w:p w14:paraId="7B09FFF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下同）后</w:t>
      </w:r>
      <w:r>
        <w:rPr>
          <w:rFonts w:asciiTheme="minorEastAsia" w:hAnsiTheme="minorEastAsia"/>
          <w:b/>
          <w:color w:val="FF0000"/>
          <w:sz w:val="24"/>
          <w:szCs w:val="24"/>
        </w:rPr>
        <w:t>5</w:t>
      </w:r>
      <w:r>
        <w:rPr>
          <w:rFonts w:hint="eastAsia" w:asciiTheme="minorEastAsia" w:hAnsiTheme="minorEastAsia"/>
          <w:b/>
          <w:bCs/>
          <w:color w:val="FF0000"/>
          <w:sz w:val="24"/>
          <w:szCs w:val="24"/>
        </w:rPr>
        <w:t>日</w:t>
      </w:r>
      <w:r>
        <w:rPr>
          <w:rFonts w:hint="eastAsia" w:asciiTheme="minorEastAsia" w:hAnsiTheme="minorEastAsia"/>
          <w:sz w:val="24"/>
          <w:szCs w:val="24"/>
        </w:rPr>
        <w:t>内缴纳至清算组指定账户：</w:t>
      </w:r>
    </w:p>
    <w:p w14:paraId="02BAD28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名：北京博美华龙玻璃仪器有限公司清算组</w:t>
      </w:r>
    </w:p>
    <w:p w14:paraId="6CB38599">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开户行：8110701013102902838</w:t>
      </w:r>
    </w:p>
    <w:p w14:paraId="02211554">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户：中信银行北京三元桥支行</w:t>
      </w:r>
    </w:p>
    <w:p w14:paraId="064DA40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2、支付宝网上付款方式：登录我的淘宝-我的拍卖支付，付款教程：https://www.taobao.com/market/paimai/sf-helpcenter.php?path=sf-hc-right-content5#q8）</w:t>
      </w:r>
    </w:p>
    <w:p w14:paraId="2ED8FE1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2EE458D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拍卖成交后买受人悔拍（包括但不限于买受人未在拍卖成交后五日内将拍卖成交全部余款缴入指定账户，以及买受人明示或暗示其悔拍等情形）的，清算组可重新委托拍卖，买受人交纳的保证金不予退还，计入债务人财产。保证金数额不足以弥补拍卖费用损失以及重新拍卖价款低于原拍卖价款的差价的，清算组可向悔拍人追索。重新拍卖时，原买受人不得参加竞买。</w:t>
      </w:r>
    </w:p>
    <w:p w14:paraId="2DF8A2C2">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1002892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五日内将综合服务费汇款至北京嘉运亨通拍卖有限公司指定账户【户名：北京嘉运亨通拍卖有限公司；开户行：招商银行股份有限公司北京崇文门支行；账号：110945693810201；以到账时间为准】。</w:t>
      </w:r>
    </w:p>
    <w:p w14:paraId="29D8030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五日内通过线上完成相应费用的支付后，保证金将转为部分成交价款转至清算组的支付宝账户。</w:t>
      </w:r>
    </w:p>
    <w:p w14:paraId="4ABE499B">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436899BE">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十、拍品交付</w:t>
      </w:r>
    </w:p>
    <w:p w14:paraId="2F4507D5">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1、买受人在缴纳完全部拍卖款项后，持有效身份证明及签署好的拍卖成交文件前往标的物存放地办理车辆过户手续，并于缴纳尾款后15个工作日内完成车辆过户，</w:t>
      </w:r>
      <w:r>
        <w:rPr>
          <w:rFonts w:hint="eastAsia" w:asciiTheme="minorEastAsia" w:hAnsiTheme="minorEastAsia"/>
          <w:b/>
          <w:sz w:val="24"/>
          <w:szCs w:val="24"/>
          <w:u w:val="single"/>
        </w:rPr>
        <w:t>清算组给予必要的配合</w:t>
      </w:r>
      <w:r>
        <w:rPr>
          <w:rFonts w:hint="eastAsia" w:asciiTheme="minorEastAsia" w:hAnsiTheme="minorEastAsia"/>
          <w:b/>
          <w:bCs/>
          <w:sz w:val="24"/>
          <w:szCs w:val="24"/>
          <w:u w:val="single"/>
        </w:rPr>
        <w:t>。未按照前述期限内办理车辆过户手续的，由此产生的全部责任、损失和风险（包括但不限于支付场地费、保管费、标的物损毁或灭失等）由买受人自行负责。</w:t>
      </w:r>
    </w:p>
    <w:p w14:paraId="449285FC">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2、如本次拍卖标的物由于不确定因素或自然灾害等不可抗力因素或清算组未能掌握的情形等原因致使拍卖标的物不能如期交付的，清算组和拍卖辅助机构不承担任何责任。</w:t>
      </w:r>
    </w:p>
    <w:p w14:paraId="32954605">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2ADEE002">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十二、</w:t>
      </w:r>
      <w:r>
        <w:rPr>
          <w:rFonts w:hint="eastAsia" w:asciiTheme="minorEastAsia" w:hAnsiTheme="minorEastAsia"/>
          <w:sz w:val="24"/>
          <w:szCs w:val="24"/>
        </w:rPr>
        <w:t>竞买人在拍卖竞价前请务必再仔细阅读《竞买须知》、《拍卖标的物调查情况表》。本《竞买公告》其他未尽事宜，请向清算组咨询；拍卖标的物详情请咨询清算组。</w:t>
      </w:r>
    </w:p>
    <w:p w14:paraId="174365EB">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十三、</w:t>
      </w:r>
      <w:r>
        <w:rPr>
          <w:rFonts w:hint="eastAsia" w:asciiTheme="minorEastAsia" w:hAnsiTheme="minorEastAsia"/>
          <w:bCs/>
          <w:sz w:val="24"/>
          <w:szCs w:val="24"/>
        </w:rPr>
        <w:t>破产案件监督单位：北京市第一中级人民法院;</w:t>
      </w:r>
    </w:p>
    <w:p w14:paraId="365C0697">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咨询电话：尹先生 15910861984， 刘先生：16601111018；</w:t>
      </w:r>
    </w:p>
    <w:p w14:paraId="37445C9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146F863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6D1FFC58">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本次拍卖活动最终解释权归北京博美华龙玻璃仪器有限公司清算组所有。</w:t>
      </w:r>
    </w:p>
    <w:p w14:paraId="0D95232D">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0A104D06">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北京博美华龙玻璃仪器有限公司清算组</w:t>
      </w:r>
    </w:p>
    <w:p w14:paraId="58DEC07D">
      <w:pPr>
        <w:spacing w:line="360" w:lineRule="auto"/>
        <w:ind w:firstLine="480" w:firstLineChars="200"/>
        <w:jc w:val="right"/>
        <w:rPr>
          <w:rFonts w:asciiTheme="minorEastAsia" w:hAnsiTheme="minorEastAsia"/>
          <w:sz w:val="24"/>
          <w:szCs w:val="24"/>
        </w:rPr>
      </w:pPr>
    </w:p>
    <w:p w14:paraId="01320AF9">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二〇二五年六月二十日</w:t>
      </w:r>
    </w:p>
    <w:p w14:paraId="2F1E8586">
      <w:pPr>
        <w:spacing w:line="360" w:lineRule="auto"/>
        <w:rPr>
          <w:rFonts w:asciiTheme="minorEastAsia" w:hAnsiTheme="minorEastAsia"/>
          <w:sz w:val="24"/>
          <w:szCs w:val="24"/>
        </w:rPr>
      </w:pPr>
    </w:p>
    <w:p w14:paraId="54F06A62">
      <w:pPr>
        <w:spacing w:line="360" w:lineRule="auto"/>
        <w:jc w:val="center"/>
        <w:rPr>
          <w:rFonts w:asciiTheme="minorEastAsia" w:hAnsiTheme="minorEastAsia"/>
          <w:b/>
          <w:sz w:val="44"/>
          <w:szCs w:val="44"/>
        </w:rPr>
      </w:pPr>
    </w:p>
    <w:p w14:paraId="46EC5515">
      <w:pPr>
        <w:spacing w:line="360" w:lineRule="auto"/>
        <w:jc w:val="center"/>
        <w:rPr>
          <w:rFonts w:asciiTheme="minorEastAsia" w:hAnsiTheme="minorEastAsia"/>
          <w:b/>
          <w:sz w:val="44"/>
          <w:szCs w:val="44"/>
        </w:rPr>
      </w:pPr>
    </w:p>
    <w:p w14:paraId="7097A85C">
      <w:pPr>
        <w:spacing w:line="360" w:lineRule="auto"/>
        <w:jc w:val="center"/>
        <w:rPr>
          <w:rFonts w:asciiTheme="minorEastAsia" w:hAnsiTheme="minorEastAsia"/>
          <w:b/>
          <w:sz w:val="44"/>
          <w:szCs w:val="44"/>
        </w:rPr>
      </w:pPr>
      <w:r>
        <w:rPr>
          <w:rFonts w:hint="eastAsia" w:asciiTheme="minorEastAsia" w:hAnsiTheme="minorEastAsia"/>
          <w:b/>
          <w:sz w:val="44"/>
          <w:szCs w:val="44"/>
        </w:rPr>
        <w:t>竞 买 须 知</w:t>
      </w:r>
    </w:p>
    <w:p w14:paraId="1C82DE89">
      <w:pPr>
        <w:spacing w:line="360" w:lineRule="auto"/>
        <w:ind w:firstLine="480" w:firstLineChars="200"/>
        <w:rPr>
          <w:rFonts w:asciiTheme="minorEastAsia" w:hAnsiTheme="minorEastAsia"/>
          <w:sz w:val="24"/>
          <w:szCs w:val="24"/>
        </w:rPr>
      </w:pPr>
      <w:r>
        <w:rPr>
          <w:rFonts w:asciiTheme="minorEastAsia" w:hAnsiTheme="minorEastAsia"/>
          <w:sz w:val="24"/>
          <w:szCs w:val="24"/>
        </w:rPr>
        <w:t xml:space="preserve"> </w:t>
      </w:r>
    </w:p>
    <w:p w14:paraId="2246ECD0">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北京博美华龙玻璃仪器有限公司清算组将于2</w:t>
      </w:r>
      <w:r>
        <w:rPr>
          <w:rFonts w:asciiTheme="minorEastAsia" w:hAnsiTheme="minorEastAsia"/>
          <w:sz w:val="24"/>
          <w:szCs w:val="24"/>
        </w:rPr>
        <w:t>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6月28日</w:t>
      </w:r>
      <w:r>
        <w:rPr>
          <w:rFonts w:asciiTheme="minorEastAsia" w:hAnsiTheme="minorEastAsia"/>
          <w:sz w:val="24"/>
          <w:szCs w:val="24"/>
        </w:rPr>
        <w:t>10时至20</w:t>
      </w:r>
      <w:r>
        <w:rPr>
          <w:rFonts w:hint="eastAsia" w:asciiTheme="minorEastAsia" w:hAnsiTheme="minorEastAsia"/>
          <w:sz w:val="24"/>
          <w:szCs w:val="24"/>
        </w:rPr>
        <w:t>25</w:t>
      </w:r>
      <w:r>
        <w:rPr>
          <w:rFonts w:asciiTheme="minorEastAsia" w:hAnsiTheme="minorEastAsia"/>
          <w:sz w:val="24"/>
          <w:szCs w:val="24"/>
        </w:rPr>
        <w:t>年</w:t>
      </w:r>
      <w:r>
        <w:rPr>
          <w:rFonts w:hint="eastAsia" w:asciiTheme="minorEastAsia" w:hAnsiTheme="minorEastAsia"/>
          <w:sz w:val="24"/>
          <w:szCs w:val="24"/>
        </w:rPr>
        <w:t>6月29日</w:t>
      </w:r>
      <w:r>
        <w:rPr>
          <w:rFonts w:asciiTheme="minorEastAsia" w:hAnsiTheme="minorEastAsia"/>
          <w:sz w:val="24"/>
          <w:szCs w:val="24"/>
        </w:rPr>
        <w:t>10时</w:t>
      </w:r>
      <w:r>
        <w:rPr>
          <w:rFonts w:hint="eastAsia" w:asciiTheme="minorEastAsia" w:hAnsiTheme="minorEastAsia"/>
          <w:sz w:val="24"/>
          <w:szCs w:val="24"/>
        </w:rPr>
        <w:t>止（延时除外）在阿里资产·破产网络拍卖平台进行公开拍卖活动，（网址：</w:t>
      </w:r>
      <w:r>
        <w:rPr>
          <w:rFonts w:asciiTheme="minorEastAsia" w:hAnsiTheme="minorEastAsia"/>
          <w:sz w:val="24"/>
          <w:szCs w:val="24"/>
        </w:rPr>
        <w:t>https://susong.taobao.com/</w:t>
      </w:r>
      <w:r>
        <w:rPr>
          <w:rFonts w:hint="eastAsia" w:asciiTheme="minorEastAsia" w:hAnsiTheme="minorEastAsia"/>
          <w:sz w:val="24"/>
          <w:szCs w:val="24"/>
        </w:rPr>
        <w:t>）现就网上拍卖有关事宜敬告各位竞买人：</w:t>
      </w:r>
    </w:p>
    <w:p w14:paraId="461F4408">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一、</w:t>
      </w:r>
      <w:r>
        <w:rPr>
          <w:rFonts w:hint="eastAsia" w:asciiTheme="minorEastAsia" w:hAnsiTheme="minor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449D348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二、</w:t>
      </w:r>
      <w:r>
        <w:rPr>
          <w:rFonts w:hint="eastAsia" w:asciiTheme="minorEastAsia" w:hAnsiTheme="minorEastAsia"/>
          <w:sz w:val="24"/>
          <w:szCs w:val="24"/>
        </w:rPr>
        <w:t>本次拍卖活动遵循“公开、公平、公正、诚实守信”的原则，拍卖活动具备法律效力。参加本次拍卖活动的当事人和竞买人必须遵守本须知的各项条款，并对自己的行为承担法律责任。</w:t>
      </w:r>
    </w:p>
    <w:p w14:paraId="3D035B38">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三、竞买人条件</w:t>
      </w:r>
    </w:p>
    <w:p w14:paraId="10BDE8A4">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7C94B6D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color w:val="000000" w:themeColor="text1"/>
          <w:sz w:val="24"/>
          <w:szCs w:val="24"/>
          <w14:textFill>
            <w14:solidFill>
              <w14:schemeClr w14:val="tx1"/>
            </w14:solidFill>
          </w14:textFill>
        </w:rPr>
        <w:t>竞买人（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）可委托他人（</w:t>
      </w:r>
      <w:r>
        <w:rPr>
          <w:rFonts w:hint="eastAsia" w:asciiTheme="minorEastAsia" w:hAnsiTheme="minorEastAsia"/>
          <w:sz w:val="24"/>
          <w:szCs w:val="24"/>
        </w:rPr>
        <w:t>公民、法人和其他组织</w:t>
      </w:r>
      <w:r>
        <w:rPr>
          <w:rFonts w:hint="eastAsia" w:asciiTheme="minorEastAsia" w:hAnsiTheme="minorEastAsia"/>
          <w:color w:val="000000" w:themeColor="text1"/>
          <w:sz w:val="24"/>
          <w:szCs w:val="24"/>
          <w14:textFill>
            <w14:solidFill>
              <w14:schemeClr w14:val="tx1"/>
            </w14:solidFill>
          </w14:textFill>
        </w:rPr>
        <w:t>）参与拍卖。</w:t>
      </w:r>
      <w:r>
        <w:rPr>
          <w:rFonts w:hint="eastAsia" w:asciiTheme="minorEastAsia" w:hAnsiTheme="minorEastAsia"/>
          <w:sz w:val="24"/>
          <w:szCs w:val="24"/>
        </w:rPr>
        <w:t>但须在拍卖开始日的</w:t>
      </w:r>
      <w:r>
        <w:rPr>
          <w:rFonts w:hint="eastAsia" w:asciiTheme="minorEastAsia" w:hAnsiTheme="minorEastAsia"/>
          <w:color w:val="000000" w:themeColor="text1"/>
          <w:sz w:val="24"/>
          <w:szCs w:val="24"/>
          <w14:textFill>
            <w14:solidFill>
              <w14:schemeClr w14:val="tx1"/>
            </w14:solidFill>
          </w14:textFill>
        </w:rPr>
        <w:t>两日</w:t>
      </w:r>
      <w:r>
        <w:rPr>
          <w:rFonts w:hint="eastAsia" w:asciiTheme="minorEastAsia" w:hAnsiTheme="minorEastAsia"/>
          <w:sz w:val="24"/>
          <w:szCs w:val="24"/>
        </w:rPr>
        <w:t>前与清算组沟通办理委托手续；竞买成功后，竞买人（公民、法人和其他组织）或其委托代理人应到清算组处办理交付或权属转移手续。如委托手续不全，竞买活动认定为委托代理人的个人行为。因不符合条件参加竞买的，由竞买人自行承担相应的法律责任。</w:t>
      </w:r>
    </w:p>
    <w:p w14:paraId="1260F69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3、负责承办本案件的人民法院、企业清算组、网络服务提供者、承担拍卖辅助工作的社会机构或者组织的工作人员及其近亲属不得参与竞买，并不得委托他人代为竞买与其行为相关的拍卖标的物。</w:t>
      </w:r>
    </w:p>
    <w:p w14:paraId="4461754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4、因不符合条件参加竞买的，由竞买人/买受人自行承担相应的法律责任。</w:t>
      </w:r>
    </w:p>
    <w:p w14:paraId="06CEA041">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四、优先购买权人</w:t>
      </w:r>
    </w:p>
    <w:p w14:paraId="281AB7AE">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1、本标的物优先购买权人：</w:t>
      </w:r>
    </w:p>
    <w:p w14:paraId="328F351C">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优先购买权人应于本公告发布之日起3日内向清算组联系，提供相关证明材料，办理相关手续。逾期未提供材料或办理手续者，视为自动放弃优先购买权。</w:t>
      </w:r>
    </w:p>
    <w:p w14:paraId="24866AB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优先购买权人参加竞买的，应向清算组提交合法有效的证明，经清算组确认资格及顺位后才能参与竞买，逾期不提交的，视为放弃对标的物享有优先购买权。清算组在正式拍卖日前将经确认的优先权购买人资格和顺位信息，审报网络平台技术部门，录入平台系统。</w:t>
      </w:r>
    </w:p>
    <w:p w14:paraId="034356F5">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3、优先购买权人参与竞买的，与其他竞买人以相同的价格出价，没有更高出价的，标的物由优先购买权人竞得。</w:t>
      </w:r>
    </w:p>
    <w:p w14:paraId="286C68EA">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顺序不同的优先购买权人申请参与竞买的，清算组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A33FDA8">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五、</w:t>
      </w:r>
      <w:r>
        <w:rPr>
          <w:rFonts w:hint="eastAsia" w:asciiTheme="minorEastAsia" w:hAnsiTheme="minorEastAsia"/>
          <w:sz w:val="24"/>
          <w:szCs w:val="24"/>
        </w:rPr>
        <w:t>与本标的物有利害关系的当事人可参加竞拍，不参加竞拍的请关注本次拍卖活动的整个过程。</w:t>
      </w:r>
    </w:p>
    <w:p w14:paraId="2569B181">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六、</w:t>
      </w:r>
      <w:r>
        <w:rPr>
          <w:rFonts w:hint="eastAsia" w:asciiTheme="minorEastAsia" w:hAnsiTheme="minorEastAsia"/>
          <w:sz w:val="24"/>
          <w:szCs w:val="24"/>
        </w:rPr>
        <w:t>本次拍卖活动设置延时出价功能，在拍卖活动结束前，每最后5分钟如果有竞买人出价，就自动延迟5分钟。</w:t>
      </w:r>
    </w:p>
    <w:p w14:paraId="4410DADE">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七、</w:t>
      </w:r>
      <w:r>
        <w:rPr>
          <w:rFonts w:hint="eastAsia" w:asciiTheme="minorEastAsia" w:hAnsiTheme="minorEastAsia"/>
          <w:sz w:val="24"/>
          <w:szCs w:val="24"/>
        </w:rPr>
        <w:t>竞拍前竞买人应通过支付宝账户缴纳足额的拍卖保证金。竞买人在对拍卖标的物第一次确认出价竞拍前，按破产强清平台系统提示报名缴纳保证金，系统会自动锁定该笔款项。拍卖成交的，买受人锁定的保证金将在买受人支付软件服务费后24小时以内自动转入本清算组指定账户，其他竞买人的保证金在拍卖结束以后24小时以内自动解锁。保证金锁定期间不计利息。</w:t>
      </w:r>
    </w:p>
    <w:p w14:paraId="1E6A9B5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保证金支付帮助：https://www.taobao.com/market/paimai/sf-helpcenter.php?path=sf-hc-right-content5#q1。</w:t>
      </w:r>
    </w:p>
    <w:p w14:paraId="6BCADA90">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八、</w:t>
      </w:r>
      <w:bookmarkStart w:id="0" w:name="_Hlk90236605"/>
      <w:r>
        <w:rPr>
          <w:rFonts w:hint="eastAsia" w:asciiTheme="minorEastAsia" w:hAnsiTheme="minorEastAsia"/>
          <w:bCs/>
          <w:sz w:val="24"/>
          <w:szCs w:val="24"/>
        </w:rPr>
        <w:t>本次拍卖是经法定公告期和展示期后才举行的，就拍卖标的物已知及可能存在的瑕疵已在本次拍卖资料中作了详尽的说明。清算组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物实物现状的确认。请慎重决定竞买行为，竞买人一旦做出竞买决定，即表明已完全了解，并接受标的物交割时的现状和一切已知及未知的瑕疵。</w:t>
      </w:r>
    </w:p>
    <w:p w14:paraId="11C10744">
      <w:pPr>
        <w:spacing w:line="360" w:lineRule="auto"/>
        <w:ind w:firstLine="482" w:firstLineChars="200"/>
        <w:rPr>
          <w:rFonts w:asciiTheme="minorEastAsia" w:hAnsiTheme="minorEastAsia"/>
          <w:b/>
          <w:sz w:val="24"/>
          <w:szCs w:val="24"/>
        </w:rPr>
      </w:pPr>
      <w:r>
        <w:rPr>
          <w:rFonts w:hint="eastAsia" w:asciiTheme="minorEastAsia" w:hAnsiTheme="minorEastAsia"/>
          <w:b/>
          <w:sz w:val="24"/>
          <w:szCs w:val="24"/>
        </w:rPr>
        <w:t>九、签署成交文件</w:t>
      </w:r>
    </w:p>
    <w:p w14:paraId="41444F72">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买受人须在拍卖成交之日起三日内（遇节假日顺延）凭缴纳拍卖保证金平台生成的竞买号及相关身份材料到清算组处签署拍卖成交确认文件。</w:t>
      </w:r>
    </w:p>
    <w:bookmarkEnd w:id="0"/>
    <w:p w14:paraId="0A0D92AA">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w:t>
      </w:r>
      <w:r>
        <w:rPr>
          <w:rFonts w:hint="eastAsia" w:asciiTheme="minorEastAsia" w:hAnsiTheme="minorEastAsia"/>
          <w:sz w:val="24"/>
          <w:szCs w:val="24"/>
        </w:rPr>
        <w:t>买受人应在拍卖成交（即竞价成功日）后</w:t>
      </w:r>
      <w:r>
        <w:rPr>
          <w:rFonts w:asciiTheme="minorEastAsia" w:hAnsiTheme="minorEastAsia"/>
          <w:b/>
          <w:color w:val="FF0000"/>
          <w:sz w:val="24"/>
          <w:szCs w:val="24"/>
        </w:rPr>
        <w:t>5</w:t>
      </w:r>
      <w:r>
        <w:rPr>
          <w:rFonts w:hint="eastAsia" w:asciiTheme="minorEastAsia" w:hAnsiTheme="minorEastAsia"/>
          <w:b/>
          <w:color w:val="FF0000"/>
          <w:sz w:val="24"/>
          <w:szCs w:val="24"/>
        </w:rPr>
        <w:t>日</w:t>
      </w:r>
      <w:r>
        <w:rPr>
          <w:rFonts w:hint="eastAsia" w:asciiTheme="minorEastAsia" w:hAnsiTheme="minorEastAsia"/>
          <w:sz w:val="24"/>
          <w:szCs w:val="24"/>
        </w:rPr>
        <w:t>内将拍卖成交价余款（扣除保证金后的余款）缴纳至清算组指定账户:</w:t>
      </w:r>
    </w:p>
    <w:p w14:paraId="4AC2E3DD">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户  名：北京博美华龙玻璃仪器有限公司清算组</w:t>
      </w:r>
    </w:p>
    <w:p w14:paraId="12162067">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开户行：8110701013102902838</w:t>
      </w:r>
    </w:p>
    <w:p w14:paraId="6E3BA816">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账  户：中信银行北京三元桥支行</w:t>
      </w:r>
    </w:p>
    <w:p w14:paraId="2830A388">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特别注意：依照相关法律规定，竞买人成功竞得网拍标的物后，淘宝网拍平台将生成相应《网络竞价成功确认书》,该材料仅为竞价成功确认书，载明实际买受人姓名、网拍竞买号信息，非《拍卖成交确认书》。】</w:t>
      </w:r>
    </w:p>
    <w:p w14:paraId="7BC4A55C">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十一、</w:t>
      </w:r>
      <w:r>
        <w:rPr>
          <w:rFonts w:hint="eastAsia" w:asciiTheme="minorEastAsia" w:hAnsiTheme="minorEastAsia"/>
          <w:sz w:val="24"/>
          <w:szCs w:val="24"/>
        </w:rPr>
        <w:t>拍卖成交后买受人悔拍（包括但不限于买受人未在拍卖成交后五日内将拍卖成交全部余款缴入指定账户，以及买受人明示或暗示其悔拍等情形）的，清算组可重新委托拍卖，买受人交纳的保证金不予退还，计入债务人财产。保证金数额不足以弥补拍卖费用损失以及重新拍卖价款低于原拍卖价款的差价的，清算组可向悔拍人追索。重新拍卖时，原买受人不得参加竞买。</w:t>
      </w:r>
    </w:p>
    <w:p w14:paraId="6851E641">
      <w:pPr>
        <w:spacing w:line="360" w:lineRule="auto"/>
        <w:ind w:firstLine="482" w:firstLineChars="200"/>
        <w:rPr>
          <w:rFonts w:asciiTheme="minorEastAsia" w:hAnsiTheme="minorEastAsia"/>
          <w:b/>
          <w:sz w:val="24"/>
          <w:szCs w:val="24"/>
        </w:rPr>
      </w:pPr>
      <w:r>
        <w:rPr>
          <w:rFonts w:hint="eastAsia" w:asciiTheme="minorEastAsia" w:hAnsiTheme="minorEastAsia"/>
          <w:b/>
          <w:color w:val="FF0000"/>
          <w:sz w:val="24"/>
          <w:szCs w:val="24"/>
        </w:rPr>
        <w:t>十二、拍品交付</w:t>
      </w:r>
    </w:p>
    <w:p w14:paraId="28CCFC69">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1、买受人在缴纳完全部拍卖款项后，持有效身份证明及签署好的拍卖成交文件前往标的物存放地办理车辆过户手续，并于缴纳尾款后15个工作日内完成车辆过户，</w:t>
      </w:r>
      <w:r>
        <w:rPr>
          <w:rFonts w:hint="eastAsia" w:asciiTheme="minorEastAsia" w:hAnsiTheme="minorEastAsia"/>
          <w:b/>
          <w:sz w:val="24"/>
          <w:szCs w:val="24"/>
          <w:u w:val="single"/>
        </w:rPr>
        <w:t>清算组给予必要的配合</w:t>
      </w:r>
      <w:r>
        <w:rPr>
          <w:rFonts w:hint="eastAsia" w:asciiTheme="minorEastAsia" w:hAnsiTheme="minorEastAsia"/>
          <w:b/>
          <w:bCs/>
          <w:sz w:val="24"/>
          <w:szCs w:val="24"/>
          <w:u w:val="single"/>
        </w:rPr>
        <w:t>。未按照前述期限内办理车辆过户手续的，由此产生的全部责任、损失和风险（包括但不限于支付场地费、保管费、标的物损毁或灭失等）由买受人自行负责。</w:t>
      </w:r>
    </w:p>
    <w:p w14:paraId="4F891D79">
      <w:pPr>
        <w:spacing w:line="360" w:lineRule="auto"/>
        <w:ind w:firstLine="482" w:firstLineChars="200"/>
        <w:rPr>
          <w:rFonts w:asciiTheme="minorEastAsia" w:hAnsiTheme="minorEastAsia"/>
          <w:b/>
          <w:bCs/>
          <w:sz w:val="24"/>
          <w:szCs w:val="24"/>
          <w:u w:val="single"/>
        </w:rPr>
      </w:pPr>
      <w:r>
        <w:rPr>
          <w:rFonts w:hint="eastAsia" w:asciiTheme="minorEastAsia" w:hAnsiTheme="minorEastAsia"/>
          <w:b/>
          <w:bCs/>
          <w:sz w:val="24"/>
          <w:szCs w:val="24"/>
          <w:u w:val="single"/>
        </w:rPr>
        <w:t>2、如本次拍卖标的物由于不确定因素或自然灾害等不可抗力因素或清算组未能掌握的情形等原因致使拍卖标的物不能如期交付的，清算组和拍卖辅助机构不承担任何责任。</w:t>
      </w:r>
    </w:p>
    <w:p w14:paraId="4802A9CF">
      <w:pPr>
        <w:spacing w:line="360" w:lineRule="auto"/>
        <w:ind w:firstLine="482" w:firstLineChars="200"/>
        <w:rPr>
          <w:rFonts w:asciiTheme="minorEastAsia" w:hAnsiTheme="minorEastAsia"/>
          <w:b/>
          <w:color w:val="FF0000"/>
          <w:sz w:val="24"/>
          <w:szCs w:val="24"/>
        </w:rPr>
      </w:pPr>
      <w:r>
        <w:rPr>
          <w:rFonts w:hint="eastAsia" w:asciiTheme="minorEastAsia" w:hAnsiTheme="minorEastAsia"/>
          <w:b/>
          <w:sz w:val="24"/>
          <w:szCs w:val="24"/>
        </w:rPr>
        <w:t>十三、</w:t>
      </w:r>
      <w:r>
        <w:rPr>
          <w:rFonts w:hint="eastAsia" w:asciiTheme="minorEastAsia" w:hAnsiTheme="minorEastAsia"/>
          <w:b/>
          <w:color w:val="FF0000"/>
          <w:sz w:val="24"/>
          <w:szCs w:val="24"/>
        </w:rPr>
        <w:t>本次拍卖活动计价货币为人民币。本次拍卖成交价不含税费及其他费用。因标的物转让权属发生变更所涉及的一切税、费(包括但不限于所得税、交易手续费、违章费用、罚款、年检费、修车费、拖车费、拍卖费用及其他费用等等，具体费用以相关部门最终核定为准)和可能需要补交的相关税、费等根据法律确定承担。如未明确缴费义务人的费用由买受人承担。买受人在竞买前应向所涉税务局部门确认成交后应缴纳的税费标准。</w:t>
      </w:r>
    </w:p>
    <w:p w14:paraId="5C5043B5">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特别提示：</w:t>
      </w:r>
    </w:p>
    <w:p w14:paraId="47192851">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综合服务费由拍卖辅助机构收取（按照成交价格的2%计算，封顶不超过200万元）买受人需在成交之后五日内将综合服务费汇款至北京嘉运亨通拍卖有限公司指定账户【户名：北京嘉运亨通拍卖有限公司；开户行：招商银行股份有限公司北京崇文门支行；账号：110945693810201；以到账时间为准】。</w:t>
      </w:r>
    </w:p>
    <w:p w14:paraId="1F5D852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软件服务费由阿里拍卖平台收取，付费方式及软件服务费金额等请详见《阿里拍卖平台破产资产处置频道收费规则》。买受人须于成交后五日内通过线上完成相应费用的支付后，保证金将转为部分成交价款转至清算组的支付宝账户。</w:t>
      </w:r>
    </w:p>
    <w:p w14:paraId="0F134BDF">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上述综合服务费和软件服务费，买受人逾期未全额缴纳的，阿里拍卖平台和拍卖辅助机构可对其进行依法追缴。买受人缴纳相关费用后如需索取发票的，买受人可与拍卖辅助机构联系开具或在阿里支付系统中查看已完成支付的软件服务费记录并点击申请开票。</w:t>
      </w:r>
    </w:p>
    <w:p w14:paraId="42A768F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十四、</w:t>
      </w:r>
      <w:r>
        <w:rPr>
          <w:rFonts w:hint="eastAsia" w:asciiTheme="minorEastAsia" w:hAnsiTheme="minor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68C7BB9">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十五、</w:t>
      </w:r>
      <w:r>
        <w:rPr>
          <w:rFonts w:hint="eastAsia" w:asciiTheme="minorEastAsia" w:hAnsiTheme="minorEastAsia"/>
          <w:sz w:val="24"/>
          <w:szCs w:val="24"/>
        </w:rPr>
        <w:t>拍卖人根据法律规定有权在拍卖结束前中止拍卖或撤回拍卖。因网络或其他不可抗力导致拍卖无法正常进行的，拍卖人待以上因素消除后视情况决定重新拍卖，并不承担因此造成的损失。</w:t>
      </w:r>
    </w:p>
    <w:p w14:paraId="3A7FB887">
      <w:pPr>
        <w:spacing w:line="360" w:lineRule="auto"/>
        <w:ind w:firstLine="482" w:firstLineChars="200"/>
        <w:rPr>
          <w:rFonts w:asciiTheme="minorEastAsia" w:hAnsiTheme="minorEastAsia"/>
          <w:sz w:val="24"/>
          <w:szCs w:val="24"/>
        </w:rPr>
      </w:pPr>
      <w:r>
        <w:rPr>
          <w:rFonts w:hint="eastAsia" w:asciiTheme="minorEastAsia" w:hAnsiTheme="minorEastAsia"/>
          <w:b/>
          <w:sz w:val="24"/>
          <w:szCs w:val="24"/>
        </w:rPr>
        <w:t>十六、</w:t>
      </w:r>
      <w:r>
        <w:rPr>
          <w:rFonts w:hint="eastAsia" w:asciiTheme="minorEastAsia" w:hAnsiTheme="minorEastAsia"/>
          <w:sz w:val="24"/>
          <w:szCs w:val="24"/>
        </w:rPr>
        <w:t>为便于买受人及时收到拍卖相关的文书，竞买人在拍卖竞价前如实向阿里资产·破产网络拍卖平台提供确切的送达地址，上述地址确认为邮寄地址，如需更改，买受人应在拍卖活动结束时与清算组联系确认更改。如果提供的送达地址不确切，或不及时告知变更后的地址，使有关法律文书无法送达或未能及时送达的，竞买人自行承担由此可能产生的法律后果。</w:t>
      </w:r>
    </w:p>
    <w:p w14:paraId="3FC52D56">
      <w:pPr>
        <w:spacing w:line="360" w:lineRule="auto"/>
        <w:ind w:firstLine="482" w:firstLineChars="200"/>
        <w:rPr>
          <w:rFonts w:asciiTheme="minorEastAsia" w:hAnsiTheme="minorEastAsia"/>
          <w:bCs/>
          <w:sz w:val="24"/>
          <w:szCs w:val="24"/>
        </w:rPr>
      </w:pPr>
      <w:r>
        <w:rPr>
          <w:rFonts w:hint="eastAsia" w:asciiTheme="minorEastAsia" w:hAnsiTheme="minorEastAsia"/>
          <w:b/>
          <w:sz w:val="24"/>
          <w:szCs w:val="24"/>
        </w:rPr>
        <w:t>十七、</w:t>
      </w:r>
      <w:r>
        <w:rPr>
          <w:rFonts w:hint="eastAsia" w:asciiTheme="minorEastAsia" w:hAnsiTheme="minorEastAsia"/>
          <w:bCs/>
          <w:sz w:val="24"/>
          <w:szCs w:val="24"/>
        </w:rPr>
        <w:t>破产案件监督单位：北京市第一中级人民法院;</w:t>
      </w:r>
    </w:p>
    <w:p w14:paraId="6F288D1D">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咨询电话：尹先生 15910861984， 刘先生：16601111018；</w:t>
      </w:r>
    </w:p>
    <w:p w14:paraId="4991A939">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淘宝技术咨询：400-822-2870；</w:t>
      </w:r>
    </w:p>
    <w:p w14:paraId="52F1A463">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法院监督电话：010-68639038。</w:t>
      </w:r>
    </w:p>
    <w:p w14:paraId="3D39A9D0">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本次拍卖活动最终解释权归北京博美华龙玻璃仪器有限公司清算组所有。</w:t>
      </w:r>
    </w:p>
    <w:p w14:paraId="2A5CAF43">
      <w:pPr>
        <w:spacing w:line="360" w:lineRule="auto"/>
        <w:ind w:firstLine="480" w:firstLineChars="200"/>
        <w:rPr>
          <w:rFonts w:asciiTheme="minorEastAsia" w:hAnsiTheme="minorEastAsia"/>
          <w:sz w:val="24"/>
          <w:szCs w:val="24"/>
        </w:rPr>
      </w:pPr>
    </w:p>
    <w:p w14:paraId="17035A74">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北京博美华龙玻璃仪器有限公司清算组</w:t>
      </w:r>
    </w:p>
    <w:p w14:paraId="32CBE5E1">
      <w:pPr>
        <w:spacing w:line="360" w:lineRule="auto"/>
        <w:ind w:firstLine="480" w:firstLineChars="200"/>
        <w:jc w:val="right"/>
        <w:rPr>
          <w:rFonts w:asciiTheme="minorEastAsia" w:hAnsiTheme="minorEastAsia"/>
          <w:sz w:val="24"/>
          <w:szCs w:val="24"/>
        </w:rPr>
      </w:pPr>
    </w:p>
    <w:p w14:paraId="35468D02">
      <w:pPr>
        <w:spacing w:line="360" w:lineRule="auto"/>
        <w:ind w:firstLine="480" w:firstLineChars="200"/>
        <w:jc w:val="right"/>
        <w:rPr>
          <w:rFonts w:asciiTheme="minorEastAsia" w:hAnsiTheme="minorEastAsia"/>
          <w:sz w:val="24"/>
          <w:szCs w:val="24"/>
        </w:rPr>
      </w:pPr>
      <w:r>
        <w:rPr>
          <w:rFonts w:hint="eastAsia" w:asciiTheme="minorEastAsia" w:hAnsiTheme="minorEastAsia"/>
          <w:sz w:val="24"/>
          <w:szCs w:val="24"/>
        </w:rPr>
        <w:t>二〇二五年六月二十日</w:t>
      </w:r>
    </w:p>
    <w:p w14:paraId="17B073A0">
      <w:pPr>
        <w:spacing w:line="360" w:lineRule="auto"/>
        <w:ind w:firstLine="480" w:firstLineChars="200"/>
        <w:jc w:val="right"/>
        <w:rPr>
          <w:rFonts w:asciiTheme="minorEastAsia" w:hAnsiTheme="minorEastAsia"/>
          <w:sz w:val="24"/>
          <w:szCs w:val="24"/>
        </w:rPr>
      </w:pPr>
    </w:p>
    <w:p w14:paraId="0F49E166">
      <w:pPr>
        <w:spacing w:line="360" w:lineRule="auto"/>
        <w:ind w:firstLine="480" w:firstLineChars="200"/>
        <w:jc w:val="right"/>
        <w:rPr>
          <w:rFonts w:asciiTheme="minorEastAsia" w:hAnsiTheme="minorEastAsia"/>
          <w:sz w:val="24"/>
          <w:szCs w:val="24"/>
        </w:rPr>
      </w:pPr>
    </w:p>
    <w:p w14:paraId="371ABE52">
      <w:pPr>
        <w:spacing w:line="360" w:lineRule="auto"/>
        <w:ind w:firstLine="480" w:firstLineChars="200"/>
        <w:jc w:val="right"/>
        <w:rPr>
          <w:rFonts w:asciiTheme="minorEastAsia" w:hAnsiTheme="minorEastAsia"/>
          <w:sz w:val="24"/>
          <w:szCs w:val="24"/>
        </w:rPr>
      </w:pPr>
    </w:p>
    <w:tbl>
      <w:tblPr>
        <w:tblStyle w:val="7"/>
        <w:tblpPr w:leftFromText="180" w:rightFromText="180" w:vertAnchor="text" w:horzAnchor="margin" w:tblpX="-670" w:tblpY="46"/>
        <w:tblW w:w="10163" w:type="dxa"/>
        <w:tblInd w:w="0" w:type="dxa"/>
        <w:tblLayout w:type="autofit"/>
        <w:tblCellMar>
          <w:top w:w="0" w:type="dxa"/>
          <w:left w:w="108" w:type="dxa"/>
          <w:bottom w:w="0" w:type="dxa"/>
          <w:right w:w="108" w:type="dxa"/>
        </w:tblCellMar>
      </w:tblPr>
      <w:tblGrid>
        <w:gridCol w:w="1986"/>
        <w:gridCol w:w="2375"/>
        <w:gridCol w:w="1984"/>
        <w:gridCol w:w="2268"/>
        <w:gridCol w:w="1550"/>
      </w:tblGrid>
      <w:tr w14:paraId="4C3BC8BA">
        <w:tblPrEx>
          <w:tblCellMar>
            <w:top w:w="0" w:type="dxa"/>
            <w:left w:w="108" w:type="dxa"/>
            <w:bottom w:w="0" w:type="dxa"/>
            <w:right w:w="108" w:type="dxa"/>
          </w:tblCellMar>
        </w:tblPrEx>
        <w:trPr>
          <w:trHeight w:val="315" w:hRule="atLeast"/>
        </w:trPr>
        <w:tc>
          <w:tcPr>
            <w:tcW w:w="10163" w:type="dxa"/>
            <w:gridSpan w:val="5"/>
            <w:tcBorders>
              <w:top w:val="single" w:color="auto" w:sz="4" w:space="0"/>
              <w:left w:val="single" w:color="auto" w:sz="4" w:space="0"/>
              <w:bottom w:val="single" w:color="auto" w:sz="4" w:space="0"/>
              <w:right w:val="single" w:color="auto" w:sz="4" w:space="0"/>
            </w:tcBorders>
            <w:shd w:val="clear" w:color="auto" w:fill="auto"/>
            <w:noWrap/>
            <w:vAlign w:val="bottom"/>
          </w:tcPr>
          <w:p w14:paraId="0127B360">
            <w:pPr>
              <w:widowControl/>
              <w:spacing w:line="360" w:lineRule="auto"/>
              <w:ind w:firstLine="200"/>
              <w:jc w:val="center"/>
              <w:rPr>
                <w:rFonts w:cs="宋体" w:asciiTheme="minorEastAsia" w:hAnsiTheme="minorEastAsia"/>
                <w:b/>
                <w:bCs/>
                <w:color w:val="000000"/>
                <w:kern w:val="0"/>
                <w:sz w:val="24"/>
                <w:szCs w:val="24"/>
              </w:rPr>
            </w:pPr>
            <w:r>
              <w:rPr>
                <w:rFonts w:hint="eastAsia" w:cs="宋体" w:asciiTheme="minorEastAsia" w:hAnsiTheme="minorEastAsia"/>
                <w:b/>
                <w:bCs/>
                <w:color w:val="000000"/>
                <w:kern w:val="0"/>
                <w:sz w:val="24"/>
                <w:szCs w:val="24"/>
              </w:rPr>
              <w:t>标的物调查情况表</w:t>
            </w:r>
          </w:p>
        </w:tc>
      </w:tr>
      <w:tr w14:paraId="6B9B911B">
        <w:tblPrEx>
          <w:tblCellMar>
            <w:top w:w="0" w:type="dxa"/>
            <w:left w:w="108" w:type="dxa"/>
            <w:bottom w:w="0" w:type="dxa"/>
            <w:right w:w="108" w:type="dxa"/>
          </w:tblCellMar>
        </w:tblPrEx>
        <w:trPr>
          <w:trHeight w:val="315" w:hRule="atLeast"/>
        </w:trPr>
        <w:tc>
          <w:tcPr>
            <w:tcW w:w="1986" w:type="dxa"/>
            <w:tcBorders>
              <w:top w:val="nil"/>
              <w:left w:val="single" w:color="auto" w:sz="4" w:space="0"/>
              <w:bottom w:val="single" w:color="auto" w:sz="4" w:space="0"/>
              <w:right w:val="single" w:color="auto" w:sz="4" w:space="0"/>
            </w:tcBorders>
            <w:shd w:val="clear" w:color="auto" w:fill="auto"/>
            <w:vAlign w:val="center"/>
          </w:tcPr>
          <w:p w14:paraId="79F0B303">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标的物名称</w:t>
            </w:r>
          </w:p>
        </w:tc>
        <w:tc>
          <w:tcPr>
            <w:tcW w:w="8177" w:type="dxa"/>
            <w:gridSpan w:val="4"/>
            <w:tcBorders>
              <w:top w:val="single" w:color="auto" w:sz="4" w:space="0"/>
              <w:left w:val="nil"/>
              <w:bottom w:val="single" w:color="auto" w:sz="4" w:space="0"/>
              <w:right w:val="single" w:color="auto" w:sz="4" w:space="0"/>
            </w:tcBorders>
            <w:shd w:val="clear" w:color="auto" w:fill="auto"/>
            <w:vAlign w:val="center"/>
          </w:tcPr>
          <w:p w14:paraId="43C7D329">
            <w:pPr>
              <w:widowControl/>
              <w:spacing w:line="360" w:lineRule="auto"/>
              <w:ind w:firstLine="200"/>
              <w:jc w:val="left"/>
              <w:rPr>
                <w:rFonts w:cs="宋体" w:asciiTheme="minorEastAsia" w:hAnsiTheme="minorEastAsia"/>
                <w:color w:val="000000"/>
                <w:kern w:val="0"/>
                <w:sz w:val="24"/>
                <w:szCs w:val="24"/>
              </w:rPr>
            </w:pPr>
            <w:r>
              <w:rPr>
                <w:rFonts w:hint="eastAsia" w:asciiTheme="minorEastAsia" w:hAnsiTheme="minorEastAsia"/>
                <w:sz w:val="24"/>
                <w:szCs w:val="24"/>
              </w:rPr>
              <w:t>雷克萨斯牌小型越野客车一辆（不带牌、不带指标）</w:t>
            </w:r>
          </w:p>
        </w:tc>
      </w:tr>
      <w:tr w14:paraId="63FD18C7">
        <w:tblPrEx>
          <w:tblCellMar>
            <w:top w:w="0" w:type="dxa"/>
            <w:left w:w="108" w:type="dxa"/>
            <w:bottom w:w="0" w:type="dxa"/>
            <w:right w:w="108" w:type="dxa"/>
          </w:tblCellMar>
        </w:tblPrEx>
        <w:trPr>
          <w:trHeight w:val="315" w:hRule="atLeast"/>
        </w:trPr>
        <w:tc>
          <w:tcPr>
            <w:tcW w:w="1986" w:type="dxa"/>
            <w:tcBorders>
              <w:top w:val="nil"/>
              <w:left w:val="single" w:color="auto" w:sz="4" w:space="0"/>
              <w:bottom w:val="single" w:color="auto" w:sz="4" w:space="0"/>
              <w:right w:val="single" w:color="auto" w:sz="4" w:space="0"/>
            </w:tcBorders>
            <w:shd w:val="clear" w:color="auto" w:fill="auto"/>
            <w:vAlign w:val="center"/>
          </w:tcPr>
          <w:p w14:paraId="726298FC">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标的物所有人</w:t>
            </w:r>
          </w:p>
        </w:tc>
        <w:tc>
          <w:tcPr>
            <w:tcW w:w="8177" w:type="dxa"/>
            <w:gridSpan w:val="4"/>
            <w:tcBorders>
              <w:top w:val="single" w:color="auto" w:sz="4" w:space="0"/>
              <w:left w:val="nil"/>
              <w:bottom w:val="single" w:color="auto" w:sz="4" w:space="0"/>
              <w:right w:val="single" w:color="auto" w:sz="4" w:space="0"/>
            </w:tcBorders>
            <w:shd w:val="clear" w:color="auto" w:fill="auto"/>
            <w:vAlign w:val="center"/>
          </w:tcPr>
          <w:p w14:paraId="2E0C819B">
            <w:pPr>
              <w:widowControl/>
              <w:spacing w:line="360" w:lineRule="auto"/>
              <w:ind w:firstLine="200"/>
              <w:jc w:val="left"/>
              <w:rPr>
                <w:rFonts w:cs="宋体" w:asciiTheme="minorEastAsia" w:hAnsiTheme="minorEastAsia"/>
                <w:color w:val="000000"/>
                <w:kern w:val="0"/>
                <w:sz w:val="24"/>
                <w:szCs w:val="24"/>
              </w:rPr>
            </w:pPr>
            <w:r>
              <w:rPr>
                <w:rFonts w:hint="eastAsia" w:asciiTheme="minorEastAsia" w:hAnsiTheme="minorEastAsia"/>
                <w:sz w:val="24"/>
                <w:szCs w:val="24"/>
              </w:rPr>
              <w:t>北京博美华龙玻璃仪器有限公司</w:t>
            </w:r>
          </w:p>
        </w:tc>
      </w:tr>
      <w:tr w14:paraId="3593647B">
        <w:tblPrEx>
          <w:tblCellMar>
            <w:top w:w="0" w:type="dxa"/>
            <w:left w:w="108" w:type="dxa"/>
            <w:bottom w:w="0" w:type="dxa"/>
            <w:right w:w="108" w:type="dxa"/>
          </w:tblCellMar>
        </w:tblPrEx>
        <w:trPr>
          <w:trHeight w:val="315" w:hRule="atLeast"/>
        </w:trPr>
        <w:tc>
          <w:tcPr>
            <w:tcW w:w="1986" w:type="dxa"/>
            <w:vMerge w:val="restart"/>
            <w:tcBorders>
              <w:top w:val="nil"/>
              <w:left w:val="single" w:color="auto" w:sz="4" w:space="0"/>
              <w:bottom w:val="single" w:color="auto" w:sz="4" w:space="0"/>
              <w:right w:val="single" w:color="auto" w:sz="4" w:space="0"/>
            </w:tcBorders>
            <w:shd w:val="clear" w:color="auto" w:fill="auto"/>
            <w:vAlign w:val="center"/>
          </w:tcPr>
          <w:p w14:paraId="48014159">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标的物现状</w:t>
            </w:r>
          </w:p>
        </w:tc>
        <w:tc>
          <w:tcPr>
            <w:tcW w:w="2375" w:type="dxa"/>
            <w:tcBorders>
              <w:top w:val="nil"/>
              <w:left w:val="nil"/>
              <w:bottom w:val="single" w:color="auto" w:sz="4" w:space="0"/>
              <w:right w:val="single" w:color="auto" w:sz="4" w:space="0"/>
            </w:tcBorders>
            <w:shd w:val="clear" w:color="auto" w:fill="auto"/>
            <w:vAlign w:val="center"/>
          </w:tcPr>
          <w:p w14:paraId="56FE31D3">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使用性质</w:t>
            </w:r>
          </w:p>
        </w:tc>
        <w:tc>
          <w:tcPr>
            <w:tcW w:w="5802" w:type="dxa"/>
            <w:gridSpan w:val="3"/>
            <w:tcBorders>
              <w:top w:val="single" w:color="auto" w:sz="4" w:space="0"/>
              <w:left w:val="nil"/>
              <w:bottom w:val="single" w:color="auto" w:sz="4" w:space="0"/>
              <w:right w:val="single" w:color="auto" w:sz="4" w:space="0"/>
            </w:tcBorders>
            <w:shd w:val="clear" w:color="auto" w:fill="auto"/>
            <w:vAlign w:val="center"/>
          </w:tcPr>
          <w:p w14:paraId="240E5F53">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非营运</w:t>
            </w:r>
          </w:p>
        </w:tc>
      </w:tr>
      <w:tr w14:paraId="1F120D21">
        <w:tblPrEx>
          <w:tblCellMar>
            <w:top w:w="0" w:type="dxa"/>
            <w:left w:w="108" w:type="dxa"/>
            <w:bottom w:w="0" w:type="dxa"/>
            <w:right w:w="108" w:type="dxa"/>
          </w:tblCellMar>
        </w:tblPrEx>
        <w:trPr>
          <w:trHeight w:val="315" w:hRule="atLeast"/>
        </w:trPr>
        <w:tc>
          <w:tcPr>
            <w:tcW w:w="1986" w:type="dxa"/>
            <w:vMerge w:val="continue"/>
            <w:tcBorders>
              <w:top w:val="nil"/>
              <w:left w:val="single" w:color="auto" w:sz="4" w:space="0"/>
              <w:bottom w:val="single" w:color="auto" w:sz="4" w:space="0"/>
              <w:right w:val="single" w:color="auto" w:sz="4" w:space="0"/>
            </w:tcBorders>
            <w:vAlign w:val="center"/>
          </w:tcPr>
          <w:p w14:paraId="4E41C219">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7AB5952C">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钥匙</w:t>
            </w:r>
          </w:p>
        </w:tc>
        <w:tc>
          <w:tcPr>
            <w:tcW w:w="5802" w:type="dxa"/>
            <w:gridSpan w:val="3"/>
            <w:tcBorders>
              <w:top w:val="single" w:color="auto" w:sz="4" w:space="0"/>
              <w:left w:val="nil"/>
              <w:bottom w:val="single" w:color="auto" w:sz="4" w:space="0"/>
              <w:right w:val="single" w:color="auto" w:sz="4" w:space="0"/>
            </w:tcBorders>
            <w:shd w:val="clear" w:color="auto" w:fill="auto"/>
            <w:vAlign w:val="center"/>
          </w:tcPr>
          <w:p w14:paraId="7D77DF39">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有</w:t>
            </w:r>
          </w:p>
        </w:tc>
      </w:tr>
      <w:tr w14:paraId="586F7B71">
        <w:tblPrEx>
          <w:tblCellMar>
            <w:top w:w="0" w:type="dxa"/>
            <w:left w:w="108" w:type="dxa"/>
            <w:bottom w:w="0" w:type="dxa"/>
            <w:right w:w="108" w:type="dxa"/>
          </w:tblCellMar>
        </w:tblPrEx>
        <w:trPr>
          <w:trHeight w:val="315" w:hRule="atLeast"/>
        </w:trPr>
        <w:tc>
          <w:tcPr>
            <w:tcW w:w="1986" w:type="dxa"/>
            <w:vMerge w:val="continue"/>
            <w:tcBorders>
              <w:top w:val="nil"/>
              <w:left w:val="single" w:color="auto" w:sz="4" w:space="0"/>
              <w:bottom w:val="single" w:color="auto" w:sz="4" w:space="0"/>
              <w:right w:val="single" w:color="auto" w:sz="4" w:space="0"/>
            </w:tcBorders>
            <w:vAlign w:val="center"/>
          </w:tcPr>
          <w:p w14:paraId="6868FD01">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33F1A37D">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存放地</w:t>
            </w:r>
          </w:p>
        </w:tc>
        <w:tc>
          <w:tcPr>
            <w:tcW w:w="5802" w:type="dxa"/>
            <w:gridSpan w:val="3"/>
            <w:tcBorders>
              <w:top w:val="single" w:color="auto" w:sz="4" w:space="0"/>
              <w:left w:val="nil"/>
              <w:bottom w:val="single" w:color="auto" w:sz="4" w:space="0"/>
              <w:right w:val="single" w:color="auto" w:sz="4" w:space="0"/>
            </w:tcBorders>
            <w:shd w:val="clear" w:color="auto" w:fill="auto"/>
            <w:vAlign w:val="center"/>
          </w:tcPr>
          <w:p w14:paraId="4654C89C">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北京市朝阳区豆各庄地区豆各庄西路甲4号</w:t>
            </w:r>
          </w:p>
        </w:tc>
      </w:tr>
      <w:tr w14:paraId="74AD2792">
        <w:tblPrEx>
          <w:tblCellMar>
            <w:top w:w="0" w:type="dxa"/>
            <w:left w:w="108" w:type="dxa"/>
            <w:bottom w:w="0" w:type="dxa"/>
            <w:right w:w="108" w:type="dxa"/>
          </w:tblCellMar>
        </w:tblPrEx>
        <w:trPr>
          <w:trHeight w:val="420" w:hRule="atLeast"/>
        </w:trPr>
        <w:tc>
          <w:tcPr>
            <w:tcW w:w="1986" w:type="dxa"/>
            <w:vMerge w:val="continue"/>
            <w:tcBorders>
              <w:top w:val="nil"/>
              <w:left w:val="single" w:color="auto" w:sz="4" w:space="0"/>
              <w:bottom w:val="single" w:color="auto" w:sz="4" w:space="0"/>
              <w:right w:val="single" w:color="auto" w:sz="4" w:space="0"/>
            </w:tcBorders>
            <w:vAlign w:val="center"/>
          </w:tcPr>
          <w:p w14:paraId="05910E75">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5A3C8092">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车辆初次登记日期</w:t>
            </w:r>
          </w:p>
        </w:tc>
        <w:tc>
          <w:tcPr>
            <w:tcW w:w="1984" w:type="dxa"/>
            <w:tcBorders>
              <w:top w:val="nil"/>
              <w:left w:val="nil"/>
              <w:bottom w:val="single" w:color="auto" w:sz="4" w:space="0"/>
              <w:right w:val="single" w:color="auto" w:sz="4" w:space="0"/>
            </w:tcBorders>
            <w:shd w:val="clear" w:color="auto" w:fill="auto"/>
            <w:vAlign w:val="center"/>
          </w:tcPr>
          <w:p w14:paraId="559BC751">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2009-9-17</w:t>
            </w:r>
          </w:p>
        </w:tc>
        <w:tc>
          <w:tcPr>
            <w:tcW w:w="2268" w:type="dxa"/>
            <w:tcBorders>
              <w:top w:val="nil"/>
              <w:left w:val="nil"/>
              <w:bottom w:val="single" w:color="auto" w:sz="4" w:space="0"/>
              <w:right w:val="single" w:color="auto" w:sz="4" w:space="0"/>
            </w:tcBorders>
            <w:shd w:val="clear" w:color="auto" w:fill="auto"/>
            <w:vAlign w:val="center"/>
          </w:tcPr>
          <w:p w14:paraId="4BDEECE5">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检验有效期止日期</w:t>
            </w:r>
          </w:p>
        </w:tc>
        <w:tc>
          <w:tcPr>
            <w:tcW w:w="1550" w:type="dxa"/>
            <w:tcBorders>
              <w:top w:val="nil"/>
              <w:left w:val="nil"/>
              <w:bottom w:val="single" w:color="auto" w:sz="4" w:space="0"/>
              <w:right w:val="single" w:color="auto" w:sz="4" w:space="0"/>
            </w:tcBorders>
            <w:shd w:val="clear" w:color="auto" w:fill="auto"/>
            <w:vAlign w:val="center"/>
          </w:tcPr>
          <w:p w14:paraId="36596555">
            <w:pPr>
              <w:widowControl/>
              <w:spacing w:line="360" w:lineRule="auto"/>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2025-9-30</w:t>
            </w:r>
          </w:p>
        </w:tc>
      </w:tr>
      <w:tr w14:paraId="711C6971">
        <w:tblPrEx>
          <w:tblCellMar>
            <w:top w:w="0" w:type="dxa"/>
            <w:left w:w="108" w:type="dxa"/>
            <w:bottom w:w="0" w:type="dxa"/>
            <w:right w:w="108" w:type="dxa"/>
          </w:tblCellMar>
        </w:tblPrEx>
        <w:trPr>
          <w:trHeight w:val="501" w:hRule="atLeast"/>
        </w:trPr>
        <w:tc>
          <w:tcPr>
            <w:tcW w:w="1986" w:type="dxa"/>
            <w:vMerge w:val="continue"/>
            <w:tcBorders>
              <w:top w:val="nil"/>
              <w:left w:val="single" w:color="auto" w:sz="4" w:space="0"/>
              <w:bottom w:val="single" w:color="auto" w:sz="4" w:space="0"/>
              <w:right w:val="single" w:color="auto" w:sz="4" w:space="0"/>
            </w:tcBorders>
            <w:vAlign w:val="center"/>
          </w:tcPr>
          <w:p w14:paraId="13EEB8B5">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06779590">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行车里程</w:t>
            </w:r>
          </w:p>
        </w:tc>
        <w:tc>
          <w:tcPr>
            <w:tcW w:w="5802" w:type="dxa"/>
            <w:gridSpan w:val="3"/>
            <w:tcBorders>
              <w:top w:val="nil"/>
              <w:left w:val="nil"/>
              <w:bottom w:val="single" w:color="auto" w:sz="4" w:space="0"/>
              <w:right w:val="single" w:color="auto" w:sz="4" w:space="0"/>
            </w:tcBorders>
            <w:shd w:val="clear" w:color="auto" w:fill="auto"/>
            <w:vAlign w:val="center"/>
          </w:tcPr>
          <w:p w14:paraId="790BCF41">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228850km</w:t>
            </w:r>
          </w:p>
        </w:tc>
      </w:tr>
      <w:tr w14:paraId="11AE5CFC">
        <w:tblPrEx>
          <w:tblCellMar>
            <w:top w:w="0" w:type="dxa"/>
            <w:left w:w="108" w:type="dxa"/>
            <w:bottom w:w="0" w:type="dxa"/>
            <w:right w:w="108" w:type="dxa"/>
          </w:tblCellMar>
        </w:tblPrEx>
        <w:trPr>
          <w:trHeight w:val="315" w:hRule="atLeast"/>
        </w:trPr>
        <w:tc>
          <w:tcPr>
            <w:tcW w:w="1986" w:type="dxa"/>
            <w:vMerge w:val="continue"/>
            <w:tcBorders>
              <w:top w:val="nil"/>
              <w:left w:val="single" w:color="auto" w:sz="4" w:space="0"/>
              <w:bottom w:val="single" w:color="auto" w:sz="4" w:space="0"/>
              <w:right w:val="single" w:color="auto" w:sz="4" w:space="0"/>
            </w:tcBorders>
            <w:vAlign w:val="center"/>
          </w:tcPr>
          <w:p w14:paraId="43BB2DA7">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0F0BF252">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品牌车型</w:t>
            </w:r>
          </w:p>
        </w:tc>
        <w:tc>
          <w:tcPr>
            <w:tcW w:w="5802" w:type="dxa"/>
            <w:gridSpan w:val="3"/>
            <w:tcBorders>
              <w:top w:val="nil"/>
              <w:left w:val="nil"/>
              <w:bottom w:val="single" w:color="auto" w:sz="4" w:space="0"/>
              <w:right w:val="single" w:color="auto" w:sz="4" w:space="0"/>
            </w:tcBorders>
            <w:shd w:val="clear" w:color="auto" w:fill="auto"/>
            <w:vAlign w:val="center"/>
          </w:tcPr>
          <w:p w14:paraId="00D497CA">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雷克萨斯JTJBK11A</w:t>
            </w:r>
          </w:p>
        </w:tc>
      </w:tr>
      <w:tr w14:paraId="2A1C0EB1">
        <w:tblPrEx>
          <w:tblCellMar>
            <w:top w:w="0" w:type="dxa"/>
            <w:left w:w="108" w:type="dxa"/>
            <w:bottom w:w="0" w:type="dxa"/>
            <w:right w:w="108" w:type="dxa"/>
          </w:tblCellMar>
        </w:tblPrEx>
        <w:trPr>
          <w:trHeight w:val="315" w:hRule="atLeast"/>
        </w:trPr>
        <w:tc>
          <w:tcPr>
            <w:tcW w:w="1986" w:type="dxa"/>
            <w:vMerge w:val="continue"/>
            <w:tcBorders>
              <w:top w:val="nil"/>
              <w:left w:val="single" w:color="auto" w:sz="4" w:space="0"/>
              <w:bottom w:val="single" w:color="auto" w:sz="4" w:space="0"/>
              <w:right w:val="single" w:color="auto" w:sz="4" w:space="0"/>
            </w:tcBorders>
            <w:vAlign w:val="center"/>
          </w:tcPr>
          <w:p w14:paraId="267C4D72">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0BB44D57">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车辆类型</w:t>
            </w:r>
          </w:p>
        </w:tc>
        <w:tc>
          <w:tcPr>
            <w:tcW w:w="5802" w:type="dxa"/>
            <w:gridSpan w:val="3"/>
            <w:tcBorders>
              <w:top w:val="nil"/>
              <w:left w:val="nil"/>
              <w:bottom w:val="single" w:color="auto" w:sz="4" w:space="0"/>
              <w:right w:val="single" w:color="auto" w:sz="4" w:space="0"/>
            </w:tcBorders>
            <w:shd w:val="clear" w:color="auto" w:fill="auto"/>
            <w:vAlign w:val="center"/>
          </w:tcPr>
          <w:p w14:paraId="654E8811">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小型越野客车</w:t>
            </w:r>
          </w:p>
        </w:tc>
      </w:tr>
      <w:tr w14:paraId="40F69EDB">
        <w:tblPrEx>
          <w:tblCellMar>
            <w:top w:w="0" w:type="dxa"/>
            <w:left w:w="108" w:type="dxa"/>
            <w:bottom w:w="0" w:type="dxa"/>
            <w:right w:w="108" w:type="dxa"/>
          </w:tblCellMar>
        </w:tblPrEx>
        <w:trPr>
          <w:trHeight w:val="315" w:hRule="atLeast"/>
        </w:trPr>
        <w:tc>
          <w:tcPr>
            <w:tcW w:w="1986" w:type="dxa"/>
            <w:vMerge w:val="continue"/>
            <w:tcBorders>
              <w:top w:val="nil"/>
              <w:left w:val="single" w:color="auto" w:sz="4" w:space="0"/>
              <w:bottom w:val="single" w:color="auto" w:sz="4" w:space="0"/>
              <w:right w:val="single" w:color="auto" w:sz="4" w:space="0"/>
            </w:tcBorders>
            <w:vAlign w:val="center"/>
          </w:tcPr>
          <w:p w14:paraId="2ED6F1E6">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0DC3641C">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发动机号</w:t>
            </w:r>
          </w:p>
        </w:tc>
        <w:tc>
          <w:tcPr>
            <w:tcW w:w="5802" w:type="dxa"/>
            <w:gridSpan w:val="3"/>
            <w:tcBorders>
              <w:top w:val="nil"/>
              <w:left w:val="nil"/>
              <w:bottom w:val="single" w:color="auto" w:sz="4" w:space="0"/>
              <w:right w:val="single" w:color="auto" w:sz="4" w:space="0"/>
            </w:tcBorders>
            <w:shd w:val="clear" w:color="auto" w:fill="auto"/>
            <w:vAlign w:val="center"/>
          </w:tcPr>
          <w:p w14:paraId="52DA3C71">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2GRJ124444</w:t>
            </w:r>
          </w:p>
        </w:tc>
      </w:tr>
      <w:tr w14:paraId="5F2C89B0">
        <w:tblPrEx>
          <w:tblCellMar>
            <w:top w:w="0" w:type="dxa"/>
            <w:left w:w="108" w:type="dxa"/>
            <w:bottom w:w="0" w:type="dxa"/>
            <w:right w:w="108" w:type="dxa"/>
          </w:tblCellMar>
        </w:tblPrEx>
        <w:trPr>
          <w:trHeight w:val="315" w:hRule="atLeast"/>
        </w:trPr>
        <w:tc>
          <w:tcPr>
            <w:tcW w:w="1986" w:type="dxa"/>
            <w:vMerge w:val="continue"/>
            <w:tcBorders>
              <w:top w:val="nil"/>
              <w:left w:val="single" w:color="auto" w:sz="4" w:space="0"/>
              <w:bottom w:val="single" w:color="auto" w:sz="4" w:space="0"/>
              <w:right w:val="single" w:color="auto" w:sz="4" w:space="0"/>
            </w:tcBorders>
            <w:vAlign w:val="center"/>
          </w:tcPr>
          <w:p w14:paraId="0B35A7E7">
            <w:pPr>
              <w:widowControl/>
              <w:spacing w:line="360" w:lineRule="auto"/>
              <w:ind w:firstLine="200"/>
              <w:jc w:val="left"/>
              <w:rPr>
                <w:rFonts w:cs="宋体" w:asciiTheme="minorEastAsia" w:hAnsiTheme="minorEastAsia"/>
                <w:color w:val="000000"/>
                <w:kern w:val="0"/>
                <w:sz w:val="24"/>
                <w:szCs w:val="24"/>
              </w:rPr>
            </w:pPr>
          </w:p>
        </w:tc>
        <w:tc>
          <w:tcPr>
            <w:tcW w:w="2375" w:type="dxa"/>
            <w:tcBorders>
              <w:top w:val="nil"/>
              <w:left w:val="nil"/>
              <w:bottom w:val="single" w:color="auto" w:sz="4" w:space="0"/>
              <w:right w:val="single" w:color="auto" w:sz="4" w:space="0"/>
            </w:tcBorders>
            <w:shd w:val="clear" w:color="auto" w:fill="auto"/>
            <w:vAlign w:val="center"/>
          </w:tcPr>
          <w:p w14:paraId="730B249E">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车身颜色</w:t>
            </w:r>
          </w:p>
        </w:tc>
        <w:tc>
          <w:tcPr>
            <w:tcW w:w="5802" w:type="dxa"/>
            <w:gridSpan w:val="3"/>
            <w:tcBorders>
              <w:top w:val="nil"/>
              <w:left w:val="nil"/>
              <w:bottom w:val="single" w:color="auto" w:sz="4" w:space="0"/>
              <w:right w:val="single" w:color="auto" w:sz="4" w:space="0"/>
            </w:tcBorders>
            <w:shd w:val="clear" w:color="auto" w:fill="auto"/>
            <w:vAlign w:val="center"/>
          </w:tcPr>
          <w:p w14:paraId="1A42B010">
            <w:pPr>
              <w:widowControl/>
              <w:spacing w:line="360" w:lineRule="auto"/>
              <w:ind w:firstLine="200"/>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白</w:t>
            </w:r>
          </w:p>
        </w:tc>
      </w:tr>
      <w:tr w14:paraId="04950E17">
        <w:tblPrEx>
          <w:tblCellMar>
            <w:top w:w="0" w:type="dxa"/>
            <w:left w:w="108" w:type="dxa"/>
            <w:bottom w:w="0" w:type="dxa"/>
            <w:right w:w="108" w:type="dxa"/>
          </w:tblCellMar>
        </w:tblPrEx>
        <w:trPr>
          <w:trHeight w:val="315" w:hRule="atLeast"/>
        </w:trPr>
        <w:tc>
          <w:tcPr>
            <w:tcW w:w="1016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2247F16">
            <w:pPr>
              <w:spacing w:line="360" w:lineRule="auto"/>
              <w:ind w:firstLine="422" w:firstLineChars="200"/>
              <w:rPr>
                <w:rFonts w:ascii="Helvetica" w:hAnsi="Helvetica"/>
                <w:b/>
                <w:bCs/>
                <w:color w:val="FF0000"/>
              </w:rPr>
            </w:pPr>
            <w:r>
              <w:rPr>
                <w:rFonts w:ascii="Helvetica" w:hAnsi="Helvetica"/>
                <w:b/>
                <w:bCs/>
                <w:color w:val="FF0000"/>
              </w:rPr>
              <w:t>标的物特别情况说明：</w:t>
            </w:r>
          </w:p>
          <w:p w14:paraId="6801CED9">
            <w:pPr>
              <w:spacing w:line="360" w:lineRule="auto"/>
              <w:ind w:firstLine="422" w:firstLineChars="200"/>
              <w:rPr>
                <w:rFonts w:asciiTheme="minorEastAsia" w:hAnsiTheme="minorEastAsia"/>
                <w:b/>
                <w:color w:val="FF0000"/>
                <w:sz w:val="24"/>
                <w:szCs w:val="24"/>
              </w:rPr>
            </w:pPr>
            <w:r>
              <w:rPr>
                <w:rFonts w:hint="eastAsia" w:ascii="Helvetica" w:hAnsi="Helvetica"/>
                <w:b/>
                <w:bCs/>
                <w:color w:val="FF0000"/>
              </w:rPr>
              <w:t>车辆处于闲置状态且停放时间过长，维护保养情况一般，使用状况不详。</w:t>
            </w:r>
          </w:p>
          <w:p w14:paraId="1F68F0F5">
            <w:pPr>
              <w:spacing w:line="360" w:lineRule="auto"/>
              <w:ind w:firstLine="482" w:firstLineChars="200"/>
              <w:rPr>
                <w:rFonts w:asciiTheme="minorEastAsia" w:hAnsiTheme="minorEastAsia"/>
                <w:b/>
                <w:color w:val="FF0000"/>
                <w:sz w:val="24"/>
                <w:szCs w:val="24"/>
              </w:rPr>
            </w:pPr>
            <w:r>
              <w:rPr>
                <w:rFonts w:hint="eastAsia" w:asciiTheme="minorEastAsia" w:hAnsiTheme="minorEastAsia"/>
                <w:b/>
                <w:color w:val="FF0000"/>
                <w:sz w:val="24"/>
                <w:szCs w:val="24"/>
              </w:rPr>
              <w:t>重要提示：</w:t>
            </w:r>
          </w:p>
          <w:p w14:paraId="5FE27C14">
            <w:pPr>
              <w:widowControl/>
              <w:spacing w:line="360" w:lineRule="auto"/>
              <w:ind w:firstLine="200"/>
              <w:jc w:val="left"/>
              <w:rPr>
                <w:rFonts w:cs="宋体" w:asciiTheme="minorEastAsia" w:hAnsiTheme="minorEastAsia"/>
                <w:b/>
                <w:bCs/>
                <w:color w:val="FF0000"/>
                <w:kern w:val="0"/>
                <w:sz w:val="24"/>
                <w:szCs w:val="24"/>
              </w:rPr>
            </w:pPr>
            <w:r>
              <w:rPr>
                <w:rFonts w:hint="eastAsia" w:cs="宋体" w:asciiTheme="minorEastAsia" w:hAnsiTheme="minorEastAsia"/>
                <w:b/>
                <w:bCs/>
                <w:color w:val="FF0000"/>
                <w:kern w:val="0"/>
                <w:sz w:val="24"/>
                <w:szCs w:val="24"/>
              </w:rPr>
              <w:t>1、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由买受人自行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清算组对此不负责任。</w:t>
            </w:r>
          </w:p>
          <w:p w14:paraId="6D949FB8">
            <w:pPr>
              <w:widowControl/>
              <w:spacing w:line="360" w:lineRule="auto"/>
              <w:ind w:firstLine="200"/>
              <w:jc w:val="left"/>
              <w:rPr>
                <w:rFonts w:cs="宋体" w:asciiTheme="minorEastAsia" w:hAnsiTheme="minorEastAsia"/>
                <w:b/>
                <w:bCs/>
                <w:color w:val="FF0000"/>
                <w:kern w:val="0"/>
                <w:sz w:val="24"/>
                <w:szCs w:val="24"/>
              </w:rPr>
            </w:pPr>
            <w:r>
              <w:rPr>
                <w:rFonts w:hint="eastAsia" w:cs="宋体" w:asciiTheme="minorEastAsia" w:hAnsiTheme="minorEastAsia"/>
                <w:b/>
                <w:bCs/>
                <w:color w:val="FF0000"/>
                <w:kern w:val="0"/>
                <w:sz w:val="24"/>
                <w:szCs w:val="24"/>
              </w:rPr>
              <w:t>2、车辆保险情况、车辆事故信息、车辆违章信息不详，故此车辆原违章记录由买受人自行负责处理，交通罚单、欠缴的车船税、滞纳金、未投保交强险的罚款，以及可能产生的涉及车辆的其他罚款、税费、停车费、过户、单证补换，均由买受人自行核实、所涉及的一切费用均由买受人承担。车辆逾期未检验的，由买受人自行办理车辆检验手续。</w:t>
            </w:r>
          </w:p>
          <w:p w14:paraId="4CC43CC8">
            <w:pPr>
              <w:widowControl/>
              <w:spacing w:line="360" w:lineRule="auto"/>
              <w:ind w:firstLine="200"/>
              <w:jc w:val="left"/>
              <w:rPr>
                <w:rFonts w:cs="宋体" w:asciiTheme="minorEastAsia" w:hAnsiTheme="minorEastAsia"/>
                <w:b/>
                <w:bCs/>
                <w:color w:val="FF0000"/>
                <w:kern w:val="0"/>
                <w:sz w:val="24"/>
                <w:szCs w:val="24"/>
              </w:rPr>
            </w:pPr>
            <w:r>
              <w:rPr>
                <w:rFonts w:hint="eastAsia" w:cs="宋体" w:asciiTheme="minorEastAsia" w:hAnsiTheme="minorEastAsia"/>
                <w:b/>
                <w:bCs/>
                <w:color w:val="FF0000"/>
                <w:kern w:val="0"/>
                <w:sz w:val="24"/>
                <w:szCs w:val="24"/>
              </w:rPr>
              <w:t>3、关于本车辆涉及的过户、机动车迁出、迁入，牌照指标申请、配置、更新，环保、排放标准等规定，竞买人应在竞拍前自行向当地相关职能部门了解，并自行承担因上述问题产生的车辆不能上牌的后果和一切风险。因上述问题发生费用及造成的车辆不能上牌的风险由买受人自行承担</w:t>
            </w:r>
          </w:p>
          <w:p w14:paraId="364349B8">
            <w:pPr>
              <w:widowControl/>
              <w:spacing w:line="360" w:lineRule="auto"/>
              <w:ind w:firstLine="200"/>
              <w:jc w:val="left"/>
              <w:rPr>
                <w:rFonts w:cs="宋体" w:asciiTheme="minorEastAsia" w:hAnsiTheme="minorEastAsia"/>
                <w:b/>
                <w:bCs/>
                <w:color w:val="FF0000"/>
                <w:kern w:val="0"/>
                <w:sz w:val="24"/>
                <w:szCs w:val="24"/>
              </w:rPr>
            </w:pPr>
            <w:r>
              <w:rPr>
                <w:rFonts w:hint="eastAsia" w:cs="宋体" w:asciiTheme="minorEastAsia" w:hAnsiTheme="minorEastAsia"/>
                <w:b/>
                <w:bCs/>
                <w:color w:val="FF0000"/>
                <w:kern w:val="0"/>
                <w:sz w:val="24"/>
                <w:szCs w:val="24"/>
              </w:rPr>
              <w:t>4、该标的物实际车款请竞买人自行核实，公告中的车辆款式仅供参考，可能会出现与实际车辆款式不符合的情况，标的物交付以实际车辆为准。该标的物的里程数仅供参考，标的物以实际现状为准。清算组及拍卖辅助机构对标的物数量、质量问题、外观、结构调整、型号及使用状态（损坏）等不作任何担保，由买受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样的竞买人视为对本标的物实物现状的确认。请慎重决定竞买行为，竞买人一旦作出竞买决定，即表明已完全了解，并接受标的物交割时的现状和一切已知及未知的瑕疵。</w:t>
            </w:r>
          </w:p>
          <w:p w14:paraId="6E6F8660">
            <w:pPr>
              <w:widowControl/>
              <w:spacing w:line="360" w:lineRule="auto"/>
              <w:ind w:firstLine="200"/>
              <w:jc w:val="left"/>
              <w:rPr>
                <w:rFonts w:cs="宋体" w:asciiTheme="minorEastAsia" w:hAnsiTheme="minorEastAsia"/>
                <w:b/>
                <w:bCs/>
                <w:color w:val="FF0000"/>
                <w:kern w:val="0"/>
                <w:sz w:val="24"/>
                <w:szCs w:val="24"/>
              </w:rPr>
            </w:pPr>
            <w:r>
              <w:rPr>
                <w:rFonts w:hint="eastAsia" w:cs="宋体" w:asciiTheme="minorEastAsia" w:hAnsiTheme="minorEastAsia"/>
                <w:b/>
                <w:bCs/>
                <w:color w:val="FF0000"/>
                <w:kern w:val="0"/>
                <w:sz w:val="24"/>
                <w:szCs w:val="24"/>
              </w:rPr>
              <w:t>5、其他未尽事宜由买受人自行了解。</w:t>
            </w:r>
          </w:p>
        </w:tc>
      </w:tr>
      <w:tr w14:paraId="12D87E44">
        <w:tblPrEx>
          <w:tblCellMar>
            <w:top w:w="0" w:type="dxa"/>
            <w:left w:w="108" w:type="dxa"/>
            <w:bottom w:w="0" w:type="dxa"/>
            <w:right w:w="108" w:type="dxa"/>
          </w:tblCellMar>
        </w:tblPrEx>
        <w:trPr>
          <w:trHeight w:val="315" w:hRule="atLeast"/>
        </w:trPr>
        <w:tc>
          <w:tcPr>
            <w:tcW w:w="10163"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BC61207">
            <w:pPr>
              <w:widowControl/>
              <w:spacing w:line="360" w:lineRule="auto"/>
              <w:ind w:firstLine="200"/>
              <w:jc w:val="center"/>
              <w:rPr>
                <w:rFonts w:cs="宋体" w:asciiTheme="minorEastAsia" w:hAnsiTheme="minorEastAsia"/>
                <w:color w:val="000000"/>
                <w:kern w:val="0"/>
                <w:sz w:val="24"/>
                <w:szCs w:val="24"/>
              </w:rPr>
            </w:pPr>
            <w:r>
              <w:rPr>
                <w:rFonts w:hint="eastAsia" w:cs="宋体" w:asciiTheme="minorEastAsia" w:hAnsiTheme="minorEastAsia"/>
                <w:b/>
                <w:bCs/>
                <w:color w:val="FF0000"/>
                <w:kern w:val="0"/>
                <w:sz w:val="24"/>
                <w:szCs w:val="24"/>
              </w:rPr>
              <w:t>清算组所展示的拍卖文件仅作参考，具体以实物现状为准，请竞买人自行前往看样。</w:t>
            </w:r>
          </w:p>
        </w:tc>
      </w:tr>
    </w:tbl>
    <w:p w14:paraId="5AF1EE5C">
      <w:pPr>
        <w:spacing w:line="360" w:lineRule="auto"/>
        <w:jc w:val="left"/>
        <w:rPr>
          <w:rFonts w:asciiTheme="minorEastAsia" w:hAnsiTheme="minorEastAsia"/>
          <w:sz w:val="24"/>
          <w:szCs w:val="24"/>
        </w:rPr>
      </w:pPr>
    </w:p>
    <w:p w14:paraId="3C1FA8FD">
      <w:pPr>
        <w:spacing w:line="360" w:lineRule="auto"/>
        <w:ind w:firstLine="480" w:firstLineChars="200"/>
        <w:jc w:val="right"/>
        <w:rPr>
          <w:rFonts w:asciiTheme="minorEastAsia" w:hAnsiTheme="minorEastAsia"/>
          <w:sz w:val="24"/>
          <w:szCs w:val="24"/>
        </w:rPr>
      </w:pPr>
    </w:p>
    <w:p w14:paraId="1819E4F2">
      <w:pPr>
        <w:spacing w:line="360" w:lineRule="auto"/>
        <w:ind w:firstLine="480" w:firstLineChars="200"/>
        <w:jc w:val="right"/>
        <w:rPr>
          <w:rFonts w:asciiTheme="minorEastAsia" w:hAnsiTheme="minorEastAsia"/>
          <w:sz w:val="24"/>
          <w:szCs w:val="24"/>
        </w:rPr>
      </w:pPr>
    </w:p>
    <w:p w14:paraId="59F2B8AC">
      <w:pPr>
        <w:spacing w:line="360" w:lineRule="auto"/>
        <w:jc w:val="left"/>
        <w:rPr>
          <w:rFonts w:asciiTheme="minorEastAsia" w:hAnsiTheme="minorEastAsia"/>
          <w:sz w:val="24"/>
          <w:szCs w:val="24"/>
        </w:rPr>
      </w:pPr>
      <w:r>
        <w:rPr>
          <w:rFonts w:hint="eastAsia" w:asciiTheme="minorEastAsia" w:hAnsiTheme="minorEastAsia"/>
          <w:sz w:val="24"/>
          <w:szCs w:val="24"/>
        </w:rPr>
        <w:t>照片：</w:t>
      </w:r>
    </w:p>
    <w:p w14:paraId="7C9551A9">
      <w:pPr>
        <w:spacing w:line="360" w:lineRule="auto"/>
        <w:jc w:val="left"/>
        <w:rPr>
          <w:rFonts w:asciiTheme="minorEastAsia" w:hAnsiTheme="minorEastAsia"/>
          <w:sz w:val="24"/>
          <w:szCs w:val="24"/>
        </w:rPr>
      </w:pPr>
    </w:p>
    <w:p w14:paraId="1355D2C9">
      <w:pPr>
        <w:spacing w:line="360" w:lineRule="auto"/>
        <w:jc w:val="left"/>
        <w:rPr>
          <w:rFonts w:asciiTheme="minorEastAsia" w:hAnsiTheme="minorEastAsia"/>
          <w:sz w:val="24"/>
          <w:szCs w:val="24"/>
        </w:rPr>
      </w:pPr>
    </w:p>
    <w:bookmarkEnd w:id="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2808A5"/>
    <w:multiLevelType w:val="singleLevel"/>
    <w:tmpl w:val="332808A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mNTAxYTA0NTllZTU0OWY5NWY0MWNlMzBjNGU2OTYifQ=="/>
  </w:docVars>
  <w:rsids>
    <w:rsidRoot w:val="006705CC"/>
    <w:rsid w:val="0001736A"/>
    <w:rsid w:val="0002393B"/>
    <w:rsid w:val="000345F8"/>
    <w:rsid w:val="000505EB"/>
    <w:rsid w:val="00051E02"/>
    <w:rsid w:val="0005677F"/>
    <w:rsid w:val="00061D2E"/>
    <w:rsid w:val="00087E11"/>
    <w:rsid w:val="0009418A"/>
    <w:rsid w:val="000A0642"/>
    <w:rsid w:val="000A1637"/>
    <w:rsid w:val="000A33CA"/>
    <w:rsid w:val="000A527A"/>
    <w:rsid w:val="000D5FB3"/>
    <w:rsid w:val="000D639B"/>
    <w:rsid w:val="000F2ABA"/>
    <w:rsid w:val="001001D5"/>
    <w:rsid w:val="00105812"/>
    <w:rsid w:val="001153F8"/>
    <w:rsid w:val="001206E4"/>
    <w:rsid w:val="00122E94"/>
    <w:rsid w:val="00124AF9"/>
    <w:rsid w:val="0013557F"/>
    <w:rsid w:val="00136E59"/>
    <w:rsid w:val="00142839"/>
    <w:rsid w:val="00151626"/>
    <w:rsid w:val="0019197F"/>
    <w:rsid w:val="00195DF3"/>
    <w:rsid w:val="001B706C"/>
    <w:rsid w:val="001D61D2"/>
    <w:rsid w:val="001D7A05"/>
    <w:rsid w:val="001F18A4"/>
    <w:rsid w:val="001F3529"/>
    <w:rsid w:val="001F53A3"/>
    <w:rsid w:val="00207C62"/>
    <w:rsid w:val="0021232E"/>
    <w:rsid w:val="00224C38"/>
    <w:rsid w:val="002450C9"/>
    <w:rsid w:val="002556C1"/>
    <w:rsid w:val="00256C9F"/>
    <w:rsid w:val="002576D5"/>
    <w:rsid w:val="00266827"/>
    <w:rsid w:val="002749EF"/>
    <w:rsid w:val="00286172"/>
    <w:rsid w:val="00294F47"/>
    <w:rsid w:val="002B6F1B"/>
    <w:rsid w:val="002C2F87"/>
    <w:rsid w:val="002D4EE0"/>
    <w:rsid w:val="002E4FD4"/>
    <w:rsid w:val="002F1E29"/>
    <w:rsid w:val="002F77EC"/>
    <w:rsid w:val="00305174"/>
    <w:rsid w:val="0031208A"/>
    <w:rsid w:val="003159B6"/>
    <w:rsid w:val="00316388"/>
    <w:rsid w:val="003242AB"/>
    <w:rsid w:val="00325429"/>
    <w:rsid w:val="00326BBB"/>
    <w:rsid w:val="00326FEE"/>
    <w:rsid w:val="00335A03"/>
    <w:rsid w:val="003571DB"/>
    <w:rsid w:val="00360706"/>
    <w:rsid w:val="00365E3C"/>
    <w:rsid w:val="00387D3D"/>
    <w:rsid w:val="0039012C"/>
    <w:rsid w:val="003A6E3E"/>
    <w:rsid w:val="003B0D10"/>
    <w:rsid w:val="003B2C57"/>
    <w:rsid w:val="003B3810"/>
    <w:rsid w:val="003C2DB3"/>
    <w:rsid w:val="003C3D69"/>
    <w:rsid w:val="003C40CA"/>
    <w:rsid w:val="003C6B6C"/>
    <w:rsid w:val="003E0A6E"/>
    <w:rsid w:val="003E3A56"/>
    <w:rsid w:val="003F06E4"/>
    <w:rsid w:val="00422112"/>
    <w:rsid w:val="00426B1C"/>
    <w:rsid w:val="00432721"/>
    <w:rsid w:val="004405BB"/>
    <w:rsid w:val="00447E03"/>
    <w:rsid w:val="0045159C"/>
    <w:rsid w:val="004562F8"/>
    <w:rsid w:val="00460443"/>
    <w:rsid w:val="00460D94"/>
    <w:rsid w:val="00462220"/>
    <w:rsid w:val="00482372"/>
    <w:rsid w:val="0049611D"/>
    <w:rsid w:val="004A1BD2"/>
    <w:rsid w:val="004D4809"/>
    <w:rsid w:val="004F1B49"/>
    <w:rsid w:val="004F49D6"/>
    <w:rsid w:val="00500AEE"/>
    <w:rsid w:val="0050228E"/>
    <w:rsid w:val="00503173"/>
    <w:rsid w:val="00515436"/>
    <w:rsid w:val="005246DB"/>
    <w:rsid w:val="00542384"/>
    <w:rsid w:val="005425B1"/>
    <w:rsid w:val="005427B3"/>
    <w:rsid w:val="005545E2"/>
    <w:rsid w:val="0055574E"/>
    <w:rsid w:val="00566AEA"/>
    <w:rsid w:val="00572BF7"/>
    <w:rsid w:val="00573892"/>
    <w:rsid w:val="005A10DA"/>
    <w:rsid w:val="005A6E8D"/>
    <w:rsid w:val="005B0D5B"/>
    <w:rsid w:val="005C6CF4"/>
    <w:rsid w:val="005D0597"/>
    <w:rsid w:val="005D0905"/>
    <w:rsid w:val="005D6FFF"/>
    <w:rsid w:val="005E0389"/>
    <w:rsid w:val="005E1744"/>
    <w:rsid w:val="005F6202"/>
    <w:rsid w:val="00602FC9"/>
    <w:rsid w:val="00607854"/>
    <w:rsid w:val="00614ADA"/>
    <w:rsid w:val="00624041"/>
    <w:rsid w:val="00625958"/>
    <w:rsid w:val="00634749"/>
    <w:rsid w:val="00640E85"/>
    <w:rsid w:val="00642EF7"/>
    <w:rsid w:val="00647971"/>
    <w:rsid w:val="00660A2C"/>
    <w:rsid w:val="00660E79"/>
    <w:rsid w:val="006705CC"/>
    <w:rsid w:val="00680607"/>
    <w:rsid w:val="00681EB6"/>
    <w:rsid w:val="006B063E"/>
    <w:rsid w:val="006C09AB"/>
    <w:rsid w:val="006C4FC7"/>
    <w:rsid w:val="006D518E"/>
    <w:rsid w:val="006F3AD1"/>
    <w:rsid w:val="006F786B"/>
    <w:rsid w:val="00712119"/>
    <w:rsid w:val="00722D29"/>
    <w:rsid w:val="00725E01"/>
    <w:rsid w:val="0072644F"/>
    <w:rsid w:val="00733587"/>
    <w:rsid w:val="00752568"/>
    <w:rsid w:val="00771872"/>
    <w:rsid w:val="0077240D"/>
    <w:rsid w:val="00785D6A"/>
    <w:rsid w:val="00797413"/>
    <w:rsid w:val="007A44B8"/>
    <w:rsid w:val="007A6F25"/>
    <w:rsid w:val="007B0CB7"/>
    <w:rsid w:val="007B4810"/>
    <w:rsid w:val="007B5604"/>
    <w:rsid w:val="007B7150"/>
    <w:rsid w:val="007C456C"/>
    <w:rsid w:val="007C50E6"/>
    <w:rsid w:val="007E5167"/>
    <w:rsid w:val="007F1380"/>
    <w:rsid w:val="007F6DE8"/>
    <w:rsid w:val="008032D6"/>
    <w:rsid w:val="008075C1"/>
    <w:rsid w:val="00826999"/>
    <w:rsid w:val="0083065D"/>
    <w:rsid w:val="00842B8B"/>
    <w:rsid w:val="00844C08"/>
    <w:rsid w:val="00855563"/>
    <w:rsid w:val="00865D20"/>
    <w:rsid w:val="00867981"/>
    <w:rsid w:val="00875907"/>
    <w:rsid w:val="008948BB"/>
    <w:rsid w:val="008B342E"/>
    <w:rsid w:val="008B3C22"/>
    <w:rsid w:val="008B73C2"/>
    <w:rsid w:val="008C7C40"/>
    <w:rsid w:val="008D07BD"/>
    <w:rsid w:val="008D4415"/>
    <w:rsid w:val="008D6C43"/>
    <w:rsid w:val="008F5105"/>
    <w:rsid w:val="009055FB"/>
    <w:rsid w:val="00905E85"/>
    <w:rsid w:val="0091285D"/>
    <w:rsid w:val="00924B2A"/>
    <w:rsid w:val="00925CD2"/>
    <w:rsid w:val="0093506B"/>
    <w:rsid w:val="00945E49"/>
    <w:rsid w:val="009662BA"/>
    <w:rsid w:val="009852F6"/>
    <w:rsid w:val="009A415F"/>
    <w:rsid w:val="009A44B4"/>
    <w:rsid w:val="009A710C"/>
    <w:rsid w:val="009C0090"/>
    <w:rsid w:val="009D493C"/>
    <w:rsid w:val="009E1E20"/>
    <w:rsid w:val="009E432F"/>
    <w:rsid w:val="009E4AD8"/>
    <w:rsid w:val="009F4B58"/>
    <w:rsid w:val="009F7A19"/>
    <w:rsid w:val="00A116C6"/>
    <w:rsid w:val="00A13D27"/>
    <w:rsid w:val="00A56467"/>
    <w:rsid w:val="00A86A9F"/>
    <w:rsid w:val="00A95637"/>
    <w:rsid w:val="00AB1824"/>
    <w:rsid w:val="00AD6809"/>
    <w:rsid w:val="00AE53BD"/>
    <w:rsid w:val="00B0701A"/>
    <w:rsid w:val="00B07021"/>
    <w:rsid w:val="00B13EC3"/>
    <w:rsid w:val="00B16476"/>
    <w:rsid w:val="00B26D27"/>
    <w:rsid w:val="00B30199"/>
    <w:rsid w:val="00B311AC"/>
    <w:rsid w:val="00B50838"/>
    <w:rsid w:val="00B51292"/>
    <w:rsid w:val="00B55EB3"/>
    <w:rsid w:val="00B83D57"/>
    <w:rsid w:val="00B87A8D"/>
    <w:rsid w:val="00BA3FBE"/>
    <w:rsid w:val="00BC3120"/>
    <w:rsid w:val="00BD53F6"/>
    <w:rsid w:val="00BE6F9A"/>
    <w:rsid w:val="00BF6406"/>
    <w:rsid w:val="00C02618"/>
    <w:rsid w:val="00C14E9A"/>
    <w:rsid w:val="00C15F26"/>
    <w:rsid w:val="00C33D08"/>
    <w:rsid w:val="00C42247"/>
    <w:rsid w:val="00C43086"/>
    <w:rsid w:val="00C6555E"/>
    <w:rsid w:val="00C664F4"/>
    <w:rsid w:val="00C93046"/>
    <w:rsid w:val="00CA014A"/>
    <w:rsid w:val="00CA12D9"/>
    <w:rsid w:val="00CB1753"/>
    <w:rsid w:val="00CB1A5E"/>
    <w:rsid w:val="00CB42BA"/>
    <w:rsid w:val="00CC1726"/>
    <w:rsid w:val="00CF00C1"/>
    <w:rsid w:val="00D0736B"/>
    <w:rsid w:val="00D5502D"/>
    <w:rsid w:val="00D67659"/>
    <w:rsid w:val="00D75774"/>
    <w:rsid w:val="00DB2B6D"/>
    <w:rsid w:val="00DB2F04"/>
    <w:rsid w:val="00DB5ECF"/>
    <w:rsid w:val="00DC258F"/>
    <w:rsid w:val="00DC7749"/>
    <w:rsid w:val="00DF4F72"/>
    <w:rsid w:val="00E02644"/>
    <w:rsid w:val="00E03910"/>
    <w:rsid w:val="00E12626"/>
    <w:rsid w:val="00E151E1"/>
    <w:rsid w:val="00E2376C"/>
    <w:rsid w:val="00E42BF5"/>
    <w:rsid w:val="00E517D1"/>
    <w:rsid w:val="00E5365D"/>
    <w:rsid w:val="00E65D57"/>
    <w:rsid w:val="00E663A6"/>
    <w:rsid w:val="00E66B76"/>
    <w:rsid w:val="00E73554"/>
    <w:rsid w:val="00E86080"/>
    <w:rsid w:val="00E87EF0"/>
    <w:rsid w:val="00E912B0"/>
    <w:rsid w:val="00F15297"/>
    <w:rsid w:val="00F17F89"/>
    <w:rsid w:val="00F32F17"/>
    <w:rsid w:val="00F358CB"/>
    <w:rsid w:val="00F42605"/>
    <w:rsid w:val="00F4643F"/>
    <w:rsid w:val="00F5403D"/>
    <w:rsid w:val="00F76566"/>
    <w:rsid w:val="00F87DBF"/>
    <w:rsid w:val="00F910A2"/>
    <w:rsid w:val="00FB17FD"/>
    <w:rsid w:val="00FD13E6"/>
    <w:rsid w:val="00FD420B"/>
    <w:rsid w:val="00FE0B68"/>
    <w:rsid w:val="00FE47B4"/>
    <w:rsid w:val="00FF77F3"/>
    <w:rsid w:val="01286562"/>
    <w:rsid w:val="01311D17"/>
    <w:rsid w:val="01AE5688"/>
    <w:rsid w:val="01E70628"/>
    <w:rsid w:val="03FA6D38"/>
    <w:rsid w:val="0506170D"/>
    <w:rsid w:val="05143FCE"/>
    <w:rsid w:val="057335C1"/>
    <w:rsid w:val="05A62A38"/>
    <w:rsid w:val="065269CA"/>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674693"/>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8C39F6"/>
    <w:rsid w:val="2C9C632F"/>
    <w:rsid w:val="2CE60A95"/>
    <w:rsid w:val="2D546C0A"/>
    <w:rsid w:val="2D915768"/>
    <w:rsid w:val="2DCC71AE"/>
    <w:rsid w:val="2DF76D28"/>
    <w:rsid w:val="2E1450B0"/>
    <w:rsid w:val="2E2B38E3"/>
    <w:rsid w:val="2E352597"/>
    <w:rsid w:val="2EC67693"/>
    <w:rsid w:val="2EDC2A13"/>
    <w:rsid w:val="2F3F11F4"/>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945296"/>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1929C7"/>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824C4C"/>
    <w:rsid w:val="72994DC2"/>
    <w:rsid w:val="72B648F6"/>
    <w:rsid w:val="733F0D8F"/>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autoRedefine/>
    <w:semiHidden/>
    <w:unhideWhenUsed/>
    <w:qFormat/>
    <w:uiPriority w:val="99"/>
    <w:pPr>
      <w:ind w:left="100" w:leftChars="2500"/>
    </w:pPr>
  </w:style>
  <w:style w:type="paragraph" w:styleId="3">
    <w:name w:val="Balloon Text"/>
    <w:basedOn w:val="1"/>
    <w:link w:val="14"/>
    <w:autoRedefine/>
    <w:semiHidden/>
    <w:unhideWhenUsed/>
    <w:qFormat/>
    <w:uiPriority w:val="99"/>
    <w:rPr>
      <w:sz w:val="18"/>
      <w:szCs w:val="18"/>
    </w:rPr>
  </w:style>
  <w:style w:type="paragraph" w:styleId="4">
    <w:name w:val="footer"/>
    <w:basedOn w:val="1"/>
    <w:link w:val="11"/>
    <w:autoRedefine/>
    <w:unhideWhenUsed/>
    <w:qFormat/>
    <w:uiPriority w:val="99"/>
    <w:pPr>
      <w:tabs>
        <w:tab w:val="center" w:pos="4153"/>
        <w:tab w:val="right" w:pos="8306"/>
      </w:tabs>
      <w:snapToGrid w:val="0"/>
      <w:jc w:val="left"/>
    </w:pPr>
    <w:rPr>
      <w:sz w:val="18"/>
      <w:szCs w:val="18"/>
    </w:rPr>
  </w:style>
  <w:style w:type="paragraph" w:styleId="5">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autoRedefine/>
    <w:unhideWhenUsed/>
    <w:qFormat/>
    <w:uiPriority w:val="99"/>
    <w:rPr>
      <w:color w:val="0000FF" w:themeColor="hyperlink"/>
      <w:u w:val="single"/>
      <w14:textFill>
        <w14:solidFill>
          <w14:schemeClr w14:val="hlink"/>
        </w14:solidFill>
      </w14:textFill>
    </w:rPr>
  </w:style>
  <w:style w:type="character" w:customStyle="1" w:styleId="10">
    <w:name w:val="页眉 Char"/>
    <w:basedOn w:val="8"/>
    <w:link w:val="5"/>
    <w:autoRedefine/>
    <w:qFormat/>
    <w:uiPriority w:val="99"/>
    <w:rPr>
      <w:sz w:val="18"/>
      <w:szCs w:val="18"/>
    </w:rPr>
  </w:style>
  <w:style w:type="character" w:customStyle="1" w:styleId="11">
    <w:name w:val="页脚 Char"/>
    <w:basedOn w:val="8"/>
    <w:link w:val="4"/>
    <w:autoRedefine/>
    <w:qFormat/>
    <w:uiPriority w:val="99"/>
    <w:rPr>
      <w:sz w:val="18"/>
      <w:szCs w:val="18"/>
    </w:rPr>
  </w:style>
  <w:style w:type="character" w:customStyle="1" w:styleId="12">
    <w:name w:val="日期 Char"/>
    <w:basedOn w:val="8"/>
    <w:link w:val="2"/>
    <w:autoRedefine/>
    <w:semiHidden/>
    <w:qFormat/>
    <w:uiPriority w:val="99"/>
  </w:style>
  <w:style w:type="paragraph" w:styleId="13">
    <w:name w:val="List Paragraph"/>
    <w:basedOn w:val="1"/>
    <w:autoRedefine/>
    <w:qFormat/>
    <w:uiPriority w:val="99"/>
    <w:pPr>
      <w:ind w:firstLine="420" w:firstLineChars="200"/>
    </w:pPr>
  </w:style>
  <w:style w:type="character" w:customStyle="1" w:styleId="14">
    <w:name w:val="批注框文本 Char"/>
    <w:basedOn w:val="8"/>
    <w:link w:val="3"/>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12</Pages>
  <Words>8410</Words>
  <Characters>8968</Characters>
  <Lines>65</Lines>
  <Paragraphs>18</Paragraphs>
  <TotalTime>90</TotalTime>
  <ScaleCrop>false</ScaleCrop>
  <LinksUpToDate>false</LinksUpToDate>
  <CharactersWithSpaces>9061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2024-04-07T07:27:00Z</dcterms:created>
  <dc:creator>Administrator</dc:creator>
  <cp:lastModifiedBy>李灿</cp:lastModifiedBy>
  <dcterms:modified xsi:type="dcterms:W3CDTF">2025-06-20T08:23:53Z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B7A250AD962D46AAA4043DC6AE03D7F0_13</vt:lpwstr>
  </property>
</Properties>
</file>