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7D0B67">
      <w:pPr>
        <w:spacing w:before="312" w:beforeLines="100" w:line="440" w:lineRule="exact"/>
        <w:jc w:val="center"/>
        <w:rPr>
          <w:rFonts w:ascii="Times New Roman" w:hAnsi="Times New Roman" w:eastAsia="方正小标宋简体" w:cs="Times New Roman"/>
          <w:sz w:val="44"/>
          <w:szCs w:val="44"/>
        </w:rPr>
      </w:pPr>
      <w:bookmarkStart w:id="0" w:name="_Hlk174888140"/>
      <w:bookmarkEnd w:id="0"/>
      <w:bookmarkStart w:id="1" w:name="_Hlk116061071"/>
      <w:bookmarkStart w:id="2" w:name="_Hlk116057349"/>
      <w:bookmarkStart w:id="3" w:name="_Hlk62568964"/>
      <w:bookmarkStart w:id="4" w:name="_Hlk116053315"/>
      <w:r>
        <w:rPr>
          <w:rFonts w:ascii="Times New Roman" w:hAnsi="Times New Roman" w:eastAsia="方正小标宋简体" w:cs="Times New Roman"/>
          <w:color w:val="FF0000"/>
          <w:sz w:val="44"/>
          <w:szCs w:val="44"/>
        </w:rPr>
        <w:t>嘉峪关溥源置业有限责任公司管理人</w:t>
      </w:r>
    </w:p>
    <w:p w14:paraId="492B3959">
      <w:pPr>
        <w:spacing w:before="312" w:beforeLines="100" w:line="400" w:lineRule="exact"/>
        <w:jc w:val="center"/>
        <w:rPr>
          <w:rFonts w:ascii="Times New Roman" w:hAnsi="Times New Roman" w:cs="Times New Roman"/>
          <w:sz w:val="18"/>
          <w:szCs w:val="18"/>
        </w:rPr>
      </w:pPr>
      <w:r>
        <w:rPr>
          <w:rFonts w:ascii="Times New Roman" w:hAnsi="Times New Roman" w:cs="Times New Roman"/>
          <w:b/>
          <w:bCs/>
          <w:sz w:val="18"/>
          <w:szCs w:val="18"/>
        </w:rPr>
        <w:t>办公地址：</w:t>
      </w:r>
      <w:r>
        <w:rPr>
          <w:rFonts w:ascii="Times New Roman" w:hAnsi="Times New Roman" w:cs="Times New Roman"/>
          <w:sz w:val="18"/>
          <w:szCs w:val="18"/>
        </w:rPr>
        <w:t xml:space="preserve">嘉峪关市新华南路111号天诚广场写字楼1101室   </w:t>
      </w:r>
      <w:r>
        <w:rPr>
          <w:rFonts w:ascii="Times New Roman" w:hAnsi="Times New Roman" w:cs="Times New Roman"/>
          <w:b/>
          <w:bCs/>
          <w:sz w:val="18"/>
          <w:szCs w:val="18"/>
        </w:rPr>
        <w:t>联系电话：</w:t>
      </w:r>
      <w:r>
        <w:rPr>
          <w:rFonts w:ascii="Times New Roman" w:hAnsi="Times New Roman" w:cs="Times New Roman"/>
          <w:sz w:val="18"/>
          <w:szCs w:val="18"/>
        </w:rPr>
        <w:t>17793787114</w:t>
      </w:r>
    </w:p>
    <w:p w14:paraId="1A43D763">
      <w:pPr>
        <w:spacing w:line="400" w:lineRule="exact"/>
        <w:jc w:val="center"/>
        <w:rPr>
          <w:rFonts w:ascii="Times New Roman" w:hAnsi="Times New Roman" w:cs="Times New Roman"/>
          <w:sz w:val="18"/>
          <w:szCs w:val="18"/>
        </w:rPr>
      </w:pPr>
      <w:r>
        <w:rPr>
          <w:rFonts w:ascii="Times New Roman" w:hAnsi="Times New Roman" w:cs="Times New Roman"/>
          <w:b/>
          <w:bCs/>
          <w:sz w:val="18"/>
          <w:szCs w:val="18"/>
        </w:rPr>
        <mc:AlternateContent>
          <mc:Choice Requires="wps">
            <w:drawing>
              <wp:anchor distT="0" distB="0" distL="0" distR="0" simplePos="0" relativeHeight="251660288" behindDoc="0" locked="0" layoutInCell="1" allowOverlap="1">
                <wp:simplePos x="0" y="0"/>
                <wp:positionH relativeFrom="column">
                  <wp:posOffset>-79375</wp:posOffset>
                </wp:positionH>
                <wp:positionV relativeFrom="paragraph">
                  <wp:posOffset>337820</wp:posOffset>
                </wp:positionV>
                <wp:extent cx="5229225" cy="18415"/>
                <wp:effectExtent l="0" t="6350" r="4445" b="8255"/>
                <wp:wrapNone/>
                <wp:docPr id="1026" name="直接连接符 1"/>
                <wp:cNvGraphicFramePr/>
                <a:graphic xmlns:a="http://schemas.openxmlformats.org/drawingml/2006/main">
                  <a:graphicData uri="http://schemas.microsoft.com/office/word/2010/wordprocessingShape">
                    <wps:wsp>
                      <wps:cNvCnPr/>
                      <wps:spPr>
                        <a:xfrm flipV="1">
                          <a:off x="0" y="0"/>
                          <a:ext cx="5229225" cy="18415"/>
                        </a:xfrm>
                        <a:prstGeom prst="line">
                          <a:avLst/>
                        </a:prstGeom>
                        <a:ln w="12700" cap="flat" cmpd="sng">
                          <a:solidFill>
                            <a:srgbClr val="000000"/>
                          </a:solidFill>
                          <a:prstDash val="solid"/>
                          <a:miter/>
                        </a:ln>
                      </wps:spPr>
                      <wps:bodyPr/>
                    </wps:wsp>
                  </a:graphicData>
                </a:graphic>
              </wp:anchor>
            </w:drawing>
          </mc:Choice>
          <mc:Fallback>
            <w:pict>
              <v:line id="直接连接符 1" o:spid="_x0000_s1026" o:spt="20" style="position:absolute;left:0pt;flip:y;margin-left:-6.25pt;margin-top:26.6pt;height:1.45pt;width:411.75pt;z-index:251660288;mso-width-relative:page;mso-height-relative:page;" filled="f" stroked="t" coordsize="21600,21600" o:gfxdata="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PYTfiTWAAAACQEAAA8A&#10;AAAAAAAAAQAgAAAAIgAAAGRycy9kb3ducmV2LnhtbFBLAQIUABQAAAAIAIdO4kCGT1MY4AEAAKAD&#10;AAAOAAAAAAAAAAEAIAAAACUBAABkcnMvZTJvRG9jLnhtbFBLBQYAAAAABgAGAFkBAAB3BQAAAAA=&#10;">
                <v:fill on="f" focussize="0,0"/>
                <v:stroke weight="1pt" color="#000000" joinstyle="miter"/>
                <v:imagedata o:title=""/>
                <o:lock v:ext="edit" aspectratio="f"/>
              </v:line>
            </w:pict>
          </mc:Fallback>
        </mc:AlternateContent>
      </w:r>
      <w:r>
        <w:rPr>
          <w:rFonts w:ascii="Times New Roman" w:hAnsi="Times New Roman" w:cs="Times New Roman"/>
          <w:b/>
          <w:bCs/>
          <w:sz w:val="18"/>
          <w:szCs w:val="18"/>
        </w:rPr>
        <w:t>重整计划执行进展公示渠道：</w:t>
      </w:r>
      <w:r>
        <w:rPr>
          <w:rFonts w:ascii="Times New Roman" w:hAnsi="Times New Roman" w:cs="Times New Roman"/>
          <w:sz w:val="18"/>
          <w:szCs w:val="18"/>
        </w:rPr>
        <w:t>全国企业破产重整案件信息网、嘉峪关溥源置业公司管理人公众号</w:t>
      </w:r>
    </w:p>
    <w:bookmarkEnd w:id="1"/>
    <w:bookmarkEnd w:id="2"/>
    <w:bookmarkEnd w:id="3"/>
    <w:bookmarkEnd w:id="4"/>
    <w:p w14:paraId="37AAB274">
      <w:pPr>
        <w:spacing w:line="560" w:lineRule="exact"/>
        <w:rPr>
          <w:rFonts w:ascii="Times New Roman" w:hAnsi="Times New Roman" w:eastAsia="方正小标宋简体" w:cs="Times New Roman"/>
          <w:b/>
          <w:bCs/>
          <w:sz w:val="36"/>
          <w:szCs w:val="36"/>
        </w:rPr>
      </w:pPr>
    </w:p>
    <w:p w14:paraId="2A8CDC8A">
      <w:pPr>
        <w:spacing w:line="540" w:lineRule="exact"/>
        <w:jc w:val="center"/>
        <w:rPr>
          <w:rFonts w:hint="eastAsia" w:ascii="方正小标宋简体" w:hAnsi="方正公文小标宋" w:eastAsia="方正小标宋简体" w:cs="方正公文小标宋"/>
          <w:sz w:val="36"/>
          <w:szCs w:val="36"/>
        </w:rPr>
      </w:pPr>
      <w:r>
        <w:rPr>
          <w:rFonts w:hint="eastAsia" w:ascii="方正小标宋简体" w:hAnsi="方正公文小标宋" w:eastAsia="方正小标宋简体" w:cs="方正公文小标宋"/>
          <w:sz w:val="36"/>
          <w:szCs w:val="36"/>
        </w:rPr>
        <w:t>嘉峪关溥源置业有限责任公司破产重整案</w:t>
      </w:r>
    </w:p>
    <w:p w14:paraId="78F57026">
      <w:pPr>
        <w:spacing w:line="540" w:lineRule="exact"/>
        <w:jc w:val="center"/>
        <w:rPr>
          <w:rFonts w:hint="eastAsia" w:ascii="方正公文小标宋" w:hAnsi="方正公文小标宋" w:eastAsia="方正公文小标宋" w:cs="方正公文小标宋"/>
          <w:sz w:val="36"/>
          <w:szCs w:val="36"/>
        </w:rPr>
      </w:pPr>
      <w:r>
        <w:rPr>
          <w:rFonts w:hint="eastAsia" w:ascii="方正小标宋简体" w:hAnsi="方正公文小标宋" w:eastAsia="方正小标宋简体" w:cs="方正公文小标宋"/>
          <w:sz w:val="36"/>
          <w:szCs w:val="36"/>
        </w:rPr>
        <w:t>重整计划执行阶段共益债投资人招募公告</w:t>
      </w:r>
    </w:p>
    <w:p w14:paraId="7ADC4FB9">
      <w:pPr>
        <w:spacing w:line="520" w:lineRule="exact"/>
        <w:jc w:val="right"/>
        <w:rPr>
          <w:rFonts w:ascii="Times New Roman" w:hAnsi="Times New Roman" w:eastAsia="仿宋" w:cs="Times New Roman"/>
          <w:bCs/>
          <w:sz w:val="30"/>
          <w:szCs w:val="30"/>
        </w:rPr>
      </w:pPr>
    </w:p>
    <w:p w14:paraId="70EB5807">
      <w:pPr>
        <w:spacing w:line="540" w:lineRule="exact"/>
        <w:jc w:val="right"/>
        <w:rPr>
          <w:rFonts w:hint="eastAsia" w:ascii="仿宋" w:hAnsi="仿宋" w:eastAsia="仿宋" w:cs="仿宋"/>
          <w:b/>
          <w:bCs/>
          <w:color w:val="000000"/>
          <w:sz w:val="30"/>
          <w:szCs w:val="30"/>
        </w:rPr>
      </w:pPr>
      <w:r>
        <w:rPr>
          <w:rFonts w:hint="eastAsia" w:ascii="仿宋" w:hAnsi="仿宋" w:eastAsia="仿宋" w:cs="仿宋"/>
          <w:bCs/>
          <w:sz w:val="30"/>
          <w:szCs w:val="30"/>
        </w:rPr>
        <w:t>（2023）溥源重整计划执行（函告）第32号</w:t>
      </w:r>
    </w:p>
    <w:p w14:paraId="0F9CED12">
      <w:pPr>
        <w:spacing w:line="540" w:lineRule="exact"/>
        <w:rPr>
          <w:rFonts w:hint="eastAsia" w:ascii="仿宋" w:hAnsi="仿宋" w:eastAsia="仿宋" w:cs="仿宋"/>
          <w:b/>
          <w:bCs/>
          <w:color w:val="000000"/>
          <w:sz w:val="30"/>
          <w:szCs w:val="30"/>
        </w:rPr>
      </w:pPr>
    </w:p>
    <w:p w14:paraId="123F8E01">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嘉峪关市中级人民法院于2023年12月14日作出（2023）甘02破申2号民事裁定，受理浙江省东阳第三建筑工程有限公司对嘉峪关溥源置业有限责任公司（下称“溥源公司”）的破产重整申请，并于2023年12月18日作出（2023）甘02破1号决定书，指定甘肃资产管理有限公司担任管理人。2024年7月16日，嘉峪关市中级人民法院作出（2023）甘02破1号民事裁定书，依法裁定批准溥源公司重整计划并终止溥源公司重整程序，后续由管理人负责执行重整计划。</w:t>
      </w:r>
    </w:p>
    <w:p w14:paraId="0973F527">
      <w:pPr>
        <w:spacing w:line="540" w:lineRule="exact"/>
        <w:ind w:firstLine="600" w:firstLineChars="200"/>
        <w:rPr>
          <w:rFonts w:hint="eastAsia" w:ascii="仿宋" w:hAnsi="仿宋" w:eastAsia="仿宋" w:cs="仿宋"/>
          <w:color w:val="000000"/>
          <w:sz w:val="30"/>
          <w:szCs w:val="30"/>
        </w:rPr>
      </w:pPr>
      <w:bookmarkStart w:id="5" w:name="_Hlk201175961"/>
      <w:bookmarkStart w:id="6" w:name="_Hlk197373159"/>
      <w:r>
        <w:rPr>
          <w:rFonts w:hint="eastAsia" w:ascii="仿宋" w:hAnsi="仿宋" w:eastAsia="仿宋" w:cs="仿宋"/>
          <w:color w:val="000000"/>
          <w:sz w:val="30"/>
          <w:szCs w:val="30"/>
        </w:rPr>
        <w:t>为依照重整计划有序开展债权清偿工作，管理人根据资产处置和可分配资金情况已安排债权分批清偿。截止目前，管理人已通过全国企业破产重整案件信息网和管理人公众号发布了第一批、第二批债权清偿通知。由于目前房地产市场发生变化，溥源公司商场资产短期内难以处置变现，但购房人、债权人早日获得清偿的愿望非常迫切。为通过多种方式筹集债权清偿款项，保障购房人和债权人利益，依照重整计划早日实现债权清偿，根据《中华人民共和国企业破产法》等相关规定，经报告人民法院，管理人现向社会公开招募共益债投资人，具体如下：</w:t>
      </w:r>
    </w:p>
    <w:bookmarkEnd w:id="5"/>
    <w:p w14:paraId="40907F3B">
      <w:pPr>
        <w:spacing w:line="540" w:lineRule="exact"/>
        <w:ind w:firstLine="600" w:firstLineChars="200"/>
        <w:rPr>
          <w:rFonts w:hint="eastAsia" w:ascii="黑体" w:hAnsi="黑体" w:eastAsia="黑体" w:cs="黑体"/>
          <w:sz w:val="30"/>
          <w:szCs w:val="30"/>
        </w:rPr>
      </w:pPr>
      <w:r>
        <w:rPr>
          <w:rFonts w:hint="eastAsia" w:ascii="黑体" w:hAnsi="黑体" w:eastAsia="黑体" w:cs="黑体"/>
          <w:sz w:val="30"/>
          <w:szCs w:val="30"/>
        </w:rPr>
        <w:t>一、溥源公司基本情况</w:t>
      </w:r>
    </w:p>
    <w:bookmarkEnd w:id="6"/>
    <w:p w14:paraId="4C07C0FF">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嘉峪关溥源置业有限责任公司成立于2010年12月29日，曾用名：嘉峪关新万科商贸有限责任公司（2010年12月至2014年8月）、嘉峪关溥源商贸有限责任公司（2014年8月至2020年12月），统一社会信用代码：91620200566421488H，法定代表人：任玉贵，营业期限：2010年12月29日至2030年12月28日，注册资本：1000万元，企业类型：有限责任公司（自然人投资或控股），登记机关：嘉峪关市市场监督管理局，注册地址：甘肃省嘉峪关市和诚西路1758号，经营范围：房地产开发与销售（以资质证为准）；房屋租赁。</w:t>
      </w:r>
    </w:p>
    <w:p w14:paraId="2AD7787E">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溥源公司开发建设的天诚广场项目位于嘉峪关市新华南路111号，天诚广场于2016年12月试营业，于2018年10月停止经营，停业后因不能为购房人办理不动产权证书、不能为债权人支付相关款项而引发纠纷，后被债权人申请进入破产重整程序。截止目前，天诚广场一直处于停业状态。</w:t>
      </w:r>
    </w:p>
    <w:p w14:paraId="27363126">
      <w:pPr>
        <w:spacing w:line="540" w:lineRule="exact"/>
        <w:ind w:firstLine="600" w:firstLineChars="200"/>
        <w:rPr>
          <w:rFonts w:hint="eastAsia" w:ascii="黑体" w:hAnsi="黑体" w:eastAsia="黑体" w:cs="黑体"/>
          <w:sz w:val="30"/>
          <w:szCs w:val="30"/>
        </w:rPr>
      </w:pPr>
      <w:r>
        <w:rPr>
          <w:rFonts w:hint="eastAsia" w:ascii="黑体" w:hAnsi="黑体" w:eastAsia="黑体" w:cs="黑体"/>
          <w:sz w:val="30"/>
          <w:szCs w:val="30"/>
        </w:rPr>
        <w:t>二、溥源公司资产情况</w:t>
      </w:r>
    </w:p>
    <w:p w14:paraId="65083B32">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截止2023年12月14日人民法院受理溥源公司破产重整日，溥源公司主要资产为天诚广场项目，位于嘉峪关市新华南路111号，总建筑面积126720.40平方米（约12.67万平方米），由地下两层（－1层超市、－2层停车场）、裙楼（1至5层商业）、公寓式酒店（6－20层）、1号写字楼、2号写字楼组成。</w:t>
      </w:r>
    </w:p>
    <w:p w14:paraId="0C935043">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截止目前，管理人根据人民法院裁定批准的重整计划，已依法公开拍卖处置溥源公司公寓式酒店并完成过户登记，已依法向嘉峪关市总工会办理2号写字楼产权证，已依法向1号写字楼破产前已抵顶楼层办理产权过户登记，对1号写字楼剩余楼层已公开挂拍（一拍流拍），正在沟通以1号写字楼剩余楼层抵顶相关优先债权。</w:t>
      </w:r>
    </w:p>
    <w:p w14:paraId="64D66864">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截止目前，溥源公司剩余主要资产为地下两层（－1层超市、－2层停车场）及商业裙楼（1至5层商业未出售面积和购房人退款退回面积）。</w:t>
      </w:r>
    </w:p>
    <w:p w14:paraId="0F8B8103">
      <w:pPr>
        <w:spacing w:line="540" w:lineRule="exact"/>
        <w:ind w:firstLine="600" w:firstLineChars="200"/>
        <w:rPr>
          <w:rFonts w:hint="eastAsia" w:ascii="黑体" w:hAnsi="黑体" w:eastAsia="黑体" w:cs="仿宋"/>
          <w:color w:val="000000"/>
          <w:sz w:val="30"/>
          <w:szCs w:val="30"/>
        </w:rPr>
      </w:pPr>
      <w:r>
        <w:rPr>
          <w:rFonts w:hint="eastAsia" w:ascii="黑体" w:hAnsi="黑体" w:eastAsia="黑体" w:cs="仿宋"/>
          <w:color w:val="000000"/>
          <w:sz w:val="30"/>
          <w:szCs w:val="30"/>
        </w:rPr>
        <w:t>三、溥源公司债权清偿工作</w:t>
      </w:r>
    </w:p>
    <w:p w14:paraId="2D52C5C3">
      <w:pPr>
        <w:spacing w:line="540"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管理人于2025年5月6日通过全国企业破产重整案件信息网和管理人公众号发布了第一批债权清偿通知，已完成第一批职工债权、本金5万元以下的普通债权、本金5万元以下的购房款债权的清偿支付工作。管理人于2025年5月28日发布第二批债权清偿通知，对购房款本金5万元以上选择退房的购房人债权开始登记清偿，本金5万元以上每户购房人应受偿金额为5万元＋剩余购房款本金的52.06%，剩余未清偿债权（包括本金、利息、违约金）不再清偿。</w:t>
      </w:r>
    </w:p>
    <w:p w14:paraId="5B982B4B">
      <w:pPr>
        <w:spacing w:line="540"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根据管理人初步统计，因绝大部分购房人均选择退房，甚至也有办理产权证的购房人再次选择退房，按照每户5万元＋剩余购房款本金的52.06%的清偿条件计算，所需清偿资金较多。由于溥源公司商场资产短期内难以处置变现，目前溥源公司可分配资金无法满足第二批债权的清偿工作，为解决资产处置变现的不确定性和滞后性，实现购房人、债权人的早日清偿，管理人为此公开招募共益债投资人。</w:t>
      </w:r>
    </w:p>
    <w:p w14:paraId="106FBF24">
      <w:pPr>
        <w:spacing w:line="540" w:lineRule="exact"/>
        <w:ind w:firstLine="600" w:firstLineChars="200"/>
        <w:rPr>
          <w:rFonts w:hint="eastAsia" w:ascii="黑体" w:hAnsi="黑体" w:eastAsia="黑体" w:cs="黑体"/>
          <w:sz w:val="30"/>
          <w:szCs w:val="30"/>
        </w:rPr>
      </w:pPr>
      <w:r>
        <w:rPr>
          <w:rFonts w:hint="eastAsia" w:ascii="黑体" w:hAnsi="黑体" w:eastAsia="黑体" w:cs="黑体"/>
          <w:sz w:val="30"/>
          <w:szCs w:val="30"/>
        </w:rPr>
        <w:t>四、共益债借款方案</w:t>
      </w:r>
    </w:p>
    <w:p w14:paraId="2A047064">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共益债借款金额：本次共益债投资为借款性质，由管理人根据债权分批清偿所需资金和重整计划执行情况分批次借入共益债借款资金，符合条件的共益债投资人与管理人签署《最高额共益债借款合同》（适用于多次提款的）或《共益债借款合同》（适用于一次提款的），共益债投资人每人每次出借共益债借款金额不少于人民币500万元，最终以双方签订的共益债借款协议为准。</w:t>
      </w:r>
    </w:p>
    <w:p w14:paraId="07587B88">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2、借款利率：引进共益债借款利率不高于8%/年，由管理人结合共益债借款额度和借款利率等条件协商确定。</w:t>
      </w:r>
    </w:p>
    <w:p w14:paraId="6887C3A8">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计息方式：以实际出借本金为基数从出借资金到达管理人账户时至借款本金还清之日计息，日利率按照年利率除以每年360天确定。每季度末月20日或每半年末月20日结息一次（具体以合同约定为准），如资金充足则正常付息，如资金不足则延期付息，延期付息不计算滞纳金和违约金。利息不能提前扣除，利息不计算复利，除正常约定利息外，不支付任何介绍费、居间费、咨询费、财务费等。</w:t>
      </w:r>
    </w:p>
    <w:p w14:paraId="620D37D2">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4、借款期限：借款期限不少于12个月，如借款期限届满12个月溥源公司资产仍不能处置变现无资金还款的，不计算迟延还款违约金，仍按照正常约定利率计息，直至借款本息还清。</w:t>
      </w:r>
    </w:p>
    <w:p w14:paraId="2600D1FD">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5、借款用途：本次招募共益债借款资金专项用于重整计划执行中向购房人、债权人清偿债权和溥源公司必要的日常经营支出，资金使用受人民法院监督。</w:t>
      </w:r>
    </w:p>
    <w:p w14:paraId="7AEE5A80">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6、借款担保：溥源公司目前处于重整计划执行阶段，本次招募共益债借款由管理人申请人民法院批准确定为共益债，以溥源公司财产优先偿还，故本次招募共益债借款不另行提供保证、抵押、质押等担保措施。</w:t>
      </w:r>
    </w:p>
    <w:p w14:paraId="3B69E729">
      <w:pPr>
        <w:spacing w:line="540" w:lineRule="exact"/>
        <w:ind w:firstLine="600" w:firstLineChars="200"/>
        <w:rPr>
          <w:rFonts w:hint="eastAsia" w:ascii="黑体" w:hAnsi="黑体" w:eastAsia="黑体" w:cs="黑体"/>
          <w:sz w:val="30"/>
          <w:szCs w:val="30"/>
        </w:rPr>
      </w:pPr>
      <w:r>
        <w:rPr>
          <w:rFonts w:hint="eastAsia" w:ascii="黑体" w:hAnsi="黑体" w:eastAsia="黑体" w:cs="黑体"/>
          <w:sz w:val="30"/>
          <w:szCs w:val="30"/>
        </w:rPr>
        <w:t>五、共益债借款优先偿还的保障</w:t>
      </w:r>
    </w:p>
    <w:p w14:paraId="68D5F5A5">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本次招募共益债是在目前短期内难以处置变现资产的情况下多方筹集资金实现购房人、债权人的早日清偿，是为维护全体债权人的共同利益，是为推进重整计划的顺利执行，依照《中华人民共和国企业破产法》第四十二条、《最高人民法院关于适用若干问题的规定(三)》第二条之规定，该借款属于共益债务性质，以溥源公司财产优先偿还。每笔共益债借款在签署共益债借款合同的同时，由管理人向人民法院申请出具确认为优先偿还共益债的法律文书。</w:t>
      </w:r>
    </w:p>
    <w:p w14:paraId="733DAE67">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溥源公司剩余主要资产：-2层面积13693.20㎡，评估值24,985,000.00元；-1层面积13237.58㎡，评估值50,170,400.00元；商业1至5层58446.21㎡（截止人民法院受理溥源公司破产重整之日，溥源公司出售商业面积约14000㎡，现绝大部分购房人选择退房退款，可售商业面积相应增加），评估值675,748,400.00元。以上剩余资产评估值合计750,903,800.00元。根据溥源公司重整计划执行实际情况，大部分购房人选择退房退款，商业1至5层面积正在整体招商出售，鉴于目前市场环境原因，招商出售方案尚未确定。本次招募共益债借款本息后期将以商业整体招商销售资金作为还款来源，以商业资产招商销售资金优先偿还共益债借款本息。</w:t>
      </w:r>
    </w:p>
    <w:p w14:paraId="2058A21A">
      <w:pPr>
        <w:spacing w:line="540" w:lineRule="exact"/>
        <w:ind w:firstLine="600" w:firstLineChars="200"/>
        <w:rPr>
          <w:rFonts w:hint="eastAsia" w:ascii="仿宋" w:hAnsi="仿宋" w:eastAsia="仿宋" w:cs="仿宋"/>
          <w:sz w:val="30"/>
          <w:szCs w:val="30"/>
        </w:rPr>
      </w:pPr>
      <w:r>
        <w:rPr>
          <w:rFonts w:hint="eastAsia" w:ascii="黑体" w:hAnsi="黑体" w:eastAsia="黑体" w:cs="黑体"/>
          <w:sz w:val="30"/>
          <w:szCs w:val="30"/>
        </w:rPr>
        <w:t>六、共益债投资人条件</w:t>
      </w:r>
    </w:p>
    <w:p w14:paraId="034F7C84">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1、具有民事行为能力的自然人、依法成立并有效存续的具有较高的社会责任感和良好的商业信誉的企业法人。</w:t>
      </w:r>
    </w:p>
    <w:p w14:paraId="1B6888DB">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2、拥有足够的资金实力进行共益债投资，单笔投资资金不少于人民币500万元，确保资金来源合法，符合金融监管部门反洗钱要求。</w:t>
      </w:r>
    </w:p>
    <w:p w14:paraId="1456F62E">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3、未负有到期未清偿且重大数额的债务，意向投资人及其法定代表人、控股股东未被列入经营异常名录、未被纳入失信被执行人名单、未被采取限制高消费措施。</w:t>
      </w:r>
    </w:p>
    <w:p w14:paraId="672F0B2A">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4、不接受投资人组成联合体参与投资。</w:t>
      </w:r>
    </w:p>
    <w:p w14:paraId="12CC3CE7">
      <w:pPr>
        <w:spacing w:line="540" w:lineRule="exact"/>
        <w:ind w:firstLine="600" w:firstLineChars="200"/>
        <w:rPr>
          <w:rFonts w:hint="eastAsia" w:ascii="仿宋" w:hAnsi="仿宋" w:eastAsia="仿宋" w:cs="仿宋"/>
          <w:sz w:val="30"/>
          <w:szCs w:val="30"/>
        </w:rPr>
      </w:pPr>
      <w:r>
        <w:rPr>
          <w:rFonts w:hint="eastAsia" w:ascii="黑体" w:hAnsi="黑体" w:eastAsia="黑体" w:cs="黑体"/>
          <w:sz w:val="30"/>
          <w:szCs w:val="30"/>
        </w:rPr>
        <w:t>七、招募流程</w:t>
      </w:r>
    </w:p>
    <w:p w14:paraId="404919F3">
      <w:pPr>
        <w:spacing w:line="54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1、报名资料</w:t>
      </w:r>
    </w:p>
    <w:p w14:paraId="4F754350">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w:t>
      </w:r>
      <w:r>
        <w:rPr>
          <w:rFonts w:ascii="仿宋" w:hAnsi="仿宋" w:eastAsia="仿宋" w:cs="仿宋"/>
          <w:sz w:val="30"/>
          <w:szCs w:val="30"/>
        </w:rPr>
        <w:t>共益债投资意向书（原件）：内容包括但不限于投资人简介、共益债</w:t>
      </w:r>
      <w:r>
        <w:rPr>
          <w:rFonts w:hint="eastAsia" w:ascii="仿宋" w:hAnsi="仿宋" w:eastAsia="仿宋" w:cs="仿宋"/>
          <w:sz w:val="30"/>
          <w:szCs w:val="30"/>
        </w:rPr>
        <w:t>借款额度、共益债借款</w:t>
      </w:r>
      <w:r>
        <w:rPr>
          <w:rFonts w:ascii="仿宋" w:hAnsi="仿宋" w:eastAsia="仿宋" w:cs="仿宋"/>
          <w:sz w:val="30"/>
          <w:szCs w:val="30"/>
        </w:rPr>
        <w:t>期限、共益债</w:t>
      </w:r>
      <w:r>
        <w:rPr>
          <w:rFonts w:hint="eastAsia" w:ascii="仿宋" w:hAnsi="仿宋" w:eastAsia="仿宋" w:cs="仿宋"/>
          <w:sz w:val="30"/>
          <w:szCs w:val="30"/>
        </w:rPr>
        <w:t>借款</w:t>
      </w:r>
      <w:r>
        <w:rPr>
          <w:rFonts w:ascii="仿宋" w:hAnsi="仿宋" w:eastAsia="仿宋" w:cs="仿宋"/>
          <w:sz w:val="30"/>
          <w:szCs w:val="30"/>
        </w:rPr>
        <w:t>利率、资金来源说明等。</w:t>
      </w:r>
    </w:p>
    <w:p w14:paraId="60A42B34">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w:t>
      </w:r>
      <w:r>
        <w:rPr>
          <w:rFonts w:ascii="仿宋" w:hAnsi="仿宋" w:eastAsia="仿宋" w:cs="仿宋"/>
          <w:sz w:val="30"/>
          <w:szCs w:val="30"/>
        </w:rPr>
        <w:t>资信证明及履约能力证明：主要为银行存款证明、主要资产权属证明、投资资金来源证明等</w:t>
      </w:r>
      <w:r>
        <w:rPr>
          <w:rFonts w:hint="eastAsia" w:ascii="仿宋" w:hAnsi="仿宋" w:eastAsia="仿宋" w:cs="仿宋"/>
          <w:sz w:val="30"/>
          <w:szCs w:val="30"/>
        </w:rPr>
        <w:t>。</w:t>
      </w:r>
    </w:p>
    <w:p w14:paraId="151A4D40">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（3）同意投资决策文件：意向投资人</w:t>
      </w:r>
      <w:r>
        <w:rPr>
          <w:rFonts w:ascii="仿宋" w:hAnsi="仿宋" w:eastAsia="仿宋" w:cs="仿宋"/>
          <w:sz w:val="30"/>
          <w:szCs w:val="30"/>
        </w:rPr>
        <w:t>股东会/董事会决议等有权决策机构同意意向投资的相关决策文件（需提供原件）</w:t>
      </w:r>
      <w:r>
        <w:rPr>
          <w:rFonts w:hint="eastAsia" w:ascii="仿宋" w:hAnsi="仿宋" w:eastAsia="仿宋" w:cs="仿宋"/>
          <w:sz w:val="30"/>
          <w:szCs w:val="30"/>
        </w:rPr>
        <w:t>。</w:t>
      </w:r>
    </w:p>
    <w:p w14:paraId="2D123E2F">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w:t>
      </w:r>
      <w:r>
        <w:rPr>
          <w:rFonts w:ascii="仿宋" w:hAnsi="仿宋" w:eastAsia="仿宋" w:cs="仿宋"/>
          <w:sz w:val="30"/>
          <w:szCs w:val="30"/>
        </w:rPr>
        <w:t>主体资格资料</w:t>
      </w:r>
      <w:r>
        <w:rPr>
          <w:rFonts w:hint="eastAsia" w:ascii="仿宋" w:hAnsi="仿宋" w:eastAsia="仿宋" w:cs="仿宋"/>
          <w:sz w:val="30"/>
          <w:szCs w:val="30"/>
        </w:rPr>
        <w:t>：</w:t>
      </w:r>
      <w:r>
        <w:rPr>
          <w:rFonts w:ascii="仿宋" w:hAnsi="仿宋" w:eastAsia="仿宋" w:cs="仿宋"/>
          <w:sz w:val="30"/>
          <w:szCs w:val="30"/>
        </w:rPr>
        <w:t>包括营业执照正副本复印件（报名人为自然人的，应提交身份证复印件）、法定代表人身份证明、法定代表人身份证复印件、授权委托书原件、授权代表身份证复印件</w:t>
      </w:r>
      <w:r>
        <w:rPr>
          <w:rFonts w:hint="eastAsia" w:ascii="仿宋" w:hAnsi="仿宋" w:eastAsia="仿宋" w:cs="仿宋"/>
          <w:sz w:val="30"/>
          <w:szCs w:val="30"/>
        </w:rPr>
        <w:t>。</w:t>
      </w:r>
    </w:p>
    <w:p w14:paraId="2FE851D0">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w:t>
      </w:r>
      <w:bookmarkStart w:id="7" w:name="_Hlk201181319"/>
      <w:r>
        <w:rPr>
          <w:rFonts w:hint="eastAsia" w:ascii="仿宋" w:hAnsi="仿宋" w:eastAsia="仿宋" w:cs="仿宋"/>
          <w:sz w:val="30"/>
          <w:szCs w:val="30"/>
        </w:rPr>
        <w:t>意向投资人及其法定代表人、控股股东未负有到期未清偿且重大数额的债务</w:t>
      </w:r>
      <w:bookmarkEnd w:id="7"/>
      <w:r>
        <w:rPr>
          <w:rFonts w:hint="eastAsia" w:ascii="仿宋" w:hAnsi="仿宋" w:eastAsia="仿宋" w:cs="仿宋"/>
          <w:sz w:val="30"/>
          <w:szCs w:val="30"/>
        </w:rPr>
        <w:t>、未被列入经营异常名录、</w:t>
      </w:r>
      <w:r>
        <w:rPr>
          <w:rFonts w:ascii="仿宋" w:hAnsi="仿宋" w:eastAsia="仿宋" w:cs="仿宋"/>
          <w:sz w:val="30"/>
          <w:szCs w:val="30"/>
        </w:rPr>
        <w:t>未被人民法院列入“失信被执行人名单”</w:t>
      </w:r>
      <w:r>
        <w:rPr>
          <w:rFonts w:hint="eastAsia" w:ascii="仿宋" w:hAnsi="仿宋" w:eastAsia="仿宋" w:cs="仿宋"/>
          <w:sz w:val="30"/>
          <w:szCs w:val="30"/>
        </w:rPr>
        <w:t>、未</w:t>
      </w:r>
      <w:r>
        <w:rPr>
          <w:rFonts w:ascii="仿宋" w:hAnsi="仿宋" w:eastAsia="仿宋" w:cs="仿宋"/>
          <w:sz w:val="30"/>
          <w:szCs w:val="30"/>
        </w:rPr>
        <w:t>被采取限制高消费措施的承诺书</w:t>
      </w:r>
      <w:r>
        <w:rPr>
          <w:rFonts w:hint="eastAsia" w:ascii="仿宋" w:hAnsi="仿宋" w:eastAsia="仿宋" w:cs="仿宋"/>
          <w:sz w:val="30"/>
          <w:szCs w:val="30"/>
        </w:rPr>
        <w:t>（见附件）。</w:t>
      </w:r>
    </w:p>
    <w:p w14:paraId="7E977000">
      <w:pPr>
        <w:spacing w:line="54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2、报名期限</w:t>
      </w:r>
    </w:p>
    <w:p w14:paraId="12B0AF3B">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自本公告发布之日起，报名时间截止至2025年8月30日18时，凡有投资意愿且符合条件的共益债投资人均可向管理人报名参与投资。管理人有权提前中止或延长报名期限。在报告期限届满前，如有意向投资人报名的，为推进重整计划执行，管理人可在本公告确定的共益债借款条件范围内，先行评审确定引进共益债借款资金，无需等待报名期限届满。</w:t>
      </w:r>
    </w:p>
    <w:p w14:paraId="1F3F2E65">
      <w:pPr>
        <w:spacing w:line="54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3、报名方式</w:t>
      </w:r>
    </w:p>
    <w:p w14:paraId="55E3A8DD">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意向投资人可通过现场或邮寄方式报名。报名地址/邮寄地址：嘉峪关市新华南路111号天诚广场写字楼1101室。联系人：陈律师18100949569、高律师17793787114。</w:t>
      </w:r>
    </w:p>
    <w:p w14:paraId="19D20DC4">
      <w:pPr>
        <w:spacing w:line="540" w:lineRule="exact"/>
        <w:ind w:firstLine="602" w:firstLineChars="200"/>
        <w:rPr>
          <w:rFonts w:hint="eastAsia" w:ascii="仿宋" w:hAnsi="仿宋" w:eastAsia="仿宋" w:cs="仿宋"/>
          <w:sz w:val="30"/>
          <w:szCs w:val="30"/>
        </w:rPr>
      </w:pPr>
      <w:r>
        <w:rPr>
          <w:rFonts w:hint="eastAsia" w:ascii="仿宋" w:hAnsi="仿宋" w:eastAsia="仿宋" w:cs="仿宋"/>
          <w:b/>
          <w:bCs/>
          <w:sz w:val="30"/>
          <w:szCs w:val="30"/>
        </w:rPr>
        <w:t>4、遴选流程</w:t>
      </w:r>
    </w:p>
    <w:p w14:paraId="2A66C5C3">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w:t>
      </w:r>
      <w:r>
        <w:rPr>
          <w:rFonts w:ascii="仿宋" w:hAnsi="仿宋" w:eastAsia="仿宋" w:cs="仿宋"/>
          <w:sz w:val="30"/>
          <w:szCs w:val="30"/>
        </w:rPr>
        <w:t>资格审查</w:t>
      </w:r>
      <w:r>
        <w:rPr>
          <w:rFonts w:hint="eastAsia" w:ascii="仿宋" w:hAnsi="仿宋" w:eastAsia="仿宋" w:cs="仿宋"/>
          <w:sz w:val="30"/>
          <w:szCs w:val="30"/>
        </w:rPr>
        <w:t>：</w:t>
      </w:r>
      <w:r>
        <w:rPr>
          <w:rFonts w:ascii="仿宋" w:hAnsi="仿宋" w:eastAsia="仿宋" w:cs="仿宋"/>
          <w:sz w:val="30"/>
          <w:szCs w:val="30"/>
        </w:rPr>
        <w:t>共益债意向投资人提交完整报名材料后，管理人将对共益债意向投资人的资格条件进行初步审查，并将核查结果通知该意向投资人。管理人在资格审查过程中对共益债意向投资人的资格条件存在疑问的，有权要求该意向投资人提供补充证明材料。</w:t>
      </w:r>
    </w:p>
    <w:p w14:paraId="43BD8E1A">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（2）评审遴选：管理人在收到</w:t>
      </w:r>
      <w:r>
        <w:rPr>
          <w:rFonts w:ascii="仿宋" w:hAnsi="仿宋" w:eastAsia="仿宋" w:cs="仿宋"/>
          <w:sz w:val="30"/>
          <w:szCs w:val="30"/>
        </w:rPr>
        <w:t>意向投资人</w:t>
      </w:r>
      <w:r>
        <w:rPr>
          <w:rFonts w:hint="eastAsia" w:ascii="仿宋" w:hAnsi="仿宋" w:eastAsia="仿宋" w:cs="仿宋"/>
          <w:sz w:val="30"/>
          <w:szCs w:val="30"/>
        </w:rPr>
        <w:t>提交的</w:t>
      </w:r>
      <w:r>
        <w:rPr>
          <w:rFonts w:ascii="仿宋" w:hAnsi="仿宋" w:eastAsia="仿宋" w:cs="仿宋"/>
          <w:sz w:val="30"/>
          <w:szCs w:val="30"/>
        </w:rPr>
        <w:t>报名</w:t>
      </w:r>
      <w:r>
        <w:rPr>
          <w:rFonts w:hint="eastAsia" w:ascii="仿宋" w:hAnsi="仿宋" w:eastAsia="仿宋" w:cs="仿宋"/>
          <w:sz w:val="30"/>
          <w:szCs w:val="30"/>
        </w:rPr>
        <w:t>材料和</w:t>
      </w:r>
      <w:r>
        <w:rPr>
          <w:rFonts w:ascii="仿宋" w:hAnsi="仿宋" w:eastAsia="仿宋" w:cs="仿宋"/>
          <w:sz w:val="30"/>
          <w:szCs w:val="30"/>
        </w:rPr>
        <w:t>共益债投资</w:t>
      </w:r>
      <w:r>
        <w:rPr>
          <w:rFonts w:hint="eastAsia" w:ascii="仿宋" w:hAnsi="仿宋" w:eastAsia="仿宋" w:cs="仿宋"/>
          <w:sz w:val="30"/>
          <w:szCs w:val="30"/>
        </w:rPr>
        <w:t>意向书后，</w:t>
      </w:r>
      <w:r>
        <w:rPr>
          <w:rFonts w:ascii="仿宋" w:hAnsi="仿宋" w:eastAsia="仿宋" w:cs="仿宋"/>
          <w:sz w:val="30"/>
          <w:szCs w:val="30"/>
        </w:rPr>
        <w:t>将在</w:t>
      </w:r>
      <w:r>
        <w:rPr>
          <w:rFonts w:hint="eastAsia" w:ascii="仿宋" w:hAnsi="仿宋" w:eastAsia="仿宋" w:cs="仿宋"/>
          <w:sz w:val="30"/>
          <w:szCs w:val="30"/>
        </w:rPr>
        <w:t>人民</w:t>
      </w:r>
      <w:r>
        <w:rPr>
          <w:rFonts w:ascii="仿宋" w:hAnsi="仿宋" w:eastAsia="仿宋" w:cs="仿宋"/>
          <w:sz w:val="30"/>
          <w:szCs w:val="30"/>
        </w:rPr>
        <w:t>法院的监督和指导下，根据共益债意向投资人的资金实力、共益债</w:t>
      </w:r>
      <w:r>
        <w:rPr>
          <w:rFonts w:hint="eastAsia" w:ascii="仿宋" w:hAnsi="仿宋" w:eastAsia="仿宋" w:cs="仿宋"/>
          <w:sz w:val="30"/>
          <w:szCs w:val="30"/>
        </w:rPr>
        <w:t>借款</w:t>
      </w:r>
      <w:r>
        <w:rPr>
          <w:rFonts w:ascii="仿宋" w:hAnsi="仿宋" w:eastAsia="仿宋" w:cs="仿宋"/>
          <w:sz w:val="30"/>
          <w:szCs w:val="30"/>
        </w:rPr>
        <w:t>利率、</w:t>
      </w:r>
      <w:r>
        <w:rPr>
          <w:rFonts w:hint="eastAsia" w:ascii="仿宋" w:hAnsi="仿宋" w:eastAsia="仿宋" w:cs="仿宋"/>
          <w:sz w:val="30"/>
          <w:szCs w:val="30"/>
        </w:rPr>
        <w:t>共益债借款额度</w:t>
      </w:r>
      <w:r>
        <w:rPr>
          <w:rFonts w:ascii="仿宋" w:hAnsi="仿宋" w:eastAsia="仿宋" w:cs="仿宋"/>
          <w:sz w:val="30"/>
          <w:szCs w:val="30"/>
        </w:rPr>
        <w:t>或其他附加条件等多方面进行综合考虑及评审</w:t>
      </w:r>
      <w:r>
        <w:rPr>
          <w:rFonts w:hint="eastAsia" w:ascii="仿宋" w:hAnsi="仿宋" w:eastAsia="仿宋" w:cs="仿宋"/>
          <w:sz w:val="30"/>
          <w:szCs w:val="30"/>
        </w:rPr>
        <w:t>，确定是否作为共益债意向投资人。</w:t>
      </w:r>
    </w:p>
    <w:p w14:paraId="5A014121">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w:t>
      </w:r>
      <w:r>
        <w:rPr>
          <w:rFonts w:ascii="仿宋" w:hAnsi="仿宋" w:eastAsia="仿宋" w:cs="仿宋"/>
          <w:sz w:val="30"/>
          <w:szCs w:val="30"/>
        </w:rPr>
        <w:t>签署</w:t>
      </w:r>
      <w:r>
        <w:rPr>
          <w:rFonts w:hint="eastAsia" w:ascii="仿宋" w:hAnsi="仿宋" w:eastAsia="仿宋" w:cs="仿宋"/>
          <w:sz w:val="30"/>
          <w:szCs w:val="30"/>
        </w:rPr>
        <w:t>共益债借款</w:t>
      </w:r>
      <w:r>
        <w:rPr>
          <w:rFonts w:ascii="仿宋" w:hAnsi="仿宋" w:eastAsia="仿宋" w:cs="仿宋"/>
          <w:sz w:val="30"/>
          <w:szCs w:val="30"/>
        </w:rPr>
        <w:t>协议</w:t>
      </w:r>
      <w:r>
        <w:rPr>
          <w:rFonts w:hint="eastAsia" w:ascii="仿宋" w:hAnsi="仿宋" w:eastAsia="仿宋" w:cs="仿宋"/>
          <w:sz w:val="30"/>
          <w:szCs w:val="30"/>
        </w:rPr>
        <w:t>：对遴选确定的共益债意向投资人由管理人报告人民法院批准，</w:t>
      </w:r>
      <w:r>
        <w:rPr>
          <w:rFonts w:ascii="仿宋" w:hAnsi="仿宋" w:eastAsia="仿宋" w:cs="仿宋"/>
          <w:sz w:val="30"/>
          <w:szCs w:val="30"/>
        </w:rPr>
        <w:t>共益债意向投资人收到</w:t>
      </w:r>
      <w:r>
        <w:rPr>
          <w:rFonts w:hint="eastAsia" w:ascii="仿宋" w:hAnsi="仿宋" w:eastAsia="仿宋" w:cs="仿宋"/>
          <w:sz w:val="30"/>
          <w:szCs w:val="30"/>
        </w:rPr>
        <w:t>管理人发送</w:t>
      </w:r>
      <w:r>
        <w:rPr>
          <w:rFonts w:ascii="仿宋" w:hAnsi="仿宋" w:eastAsia="仿宋" w:cs="仿宋"/>
          <w:sz w:val="30"/>
          <w:szCs w:val="30"/>
        </w:rPr>
        <w:t>中选通知书</w:t>
      </w:r>
      <w:r>
        <w:rPr>
          <w:rFonts w:hint="eastAsia" w:ascii="仿宋" w:hAnsi="仿宋" w:eastAsia="仿宋" w:cs="仿宋"/>
          <w:sz w:val="30"/>
          <w:szCs w:val="30"/>
        </w:rPr>
        <w:t>后</w:t>
      </w:r>
      <w:r>
        <w:rPr>
          <w:rFonts w:ascii="仿宋" w:hAnsi="仿宋" w:eastAsia="仿宋" w:cs="仿宋"/>
          <w:sz w:val="30"/>
          <w:szCs w:val="30"/>
        </w:rPr>
        <w:t>，应当</w:t>
      </w:r>
      <w:r>
        <w:rPr>
          <w:rFonts w:hint="eastAsia" w:ascii="仿宋" w:hAnsi="仿宋" w:eastAsia="仿宋" w:cs="仿宋"/>
          <w:sz w:val="30"/>
          <w:szCs w:val="30"/>
        </w:rPr>
        <w:t>按照要求</w:t>
      </w:r>
      <w:r>
        <w:rPr>
          <w:rFonts w:ascii="仿宋" w:hAnsi="仿宋" w:eastAsia="仿宋" w:cs="仿宋"/>
          <w:sz w:val="30"/>
          <w:szCs w:val="30"/>
        </w:rPr>
        <w:t>与管理人签订共益债</w:t>
      </w:r>
      <w:r>
        <w:rPr>
          <w:rFonts w:hint="eastAsia" w:ascii="仿宋" w:hAnsi="仿宋" w:eastAsia="仿宋" w:cs="仿宋"/>
          <w:sz w:val="30"/>
          <w:szCs w:val="30"/>
        </w:rPr>
        <w:t>借款</w:t>
      </w:r>
      <w:r>
        <w:rPr>
          <w:rFonts w:ascii="仿宋" w:hAnsi="仿宋" w:eastAsia="仿宋" w:cs="仿宋"/>
          <w:sz w:val="30"/>
          <w:szCs w:val="30"/>
        </w:rPr>
        <w:t>协议，并按照约定及时提供共益债资金。</w:t>
      </w:r>
    </w:p>
    <w:p w14:paraId="695D0495">
      <w:pPr>
        <w:spacing w:line="540" w:lineRule="exact"/>
        <w:jc w:val="left"/>
        <w:rPr>
          <w:rFonts w:hint="eastAsia" w:ascii="黑体" w:hAnsi="黑体" w:eastAsia="黑体" w:cs="仿宋"/>
          <w:sz w:val="30"/>
          <w:szCs w:val="30"/>
        </w:rPr>
      </w:pPr>
      <w:r>
        <w:rPr>
          <w:rFonts w:hint="eastAsia" w:ascii="Times New Roman" w:hAnsi="Times New Roman" w:eastAsia="仿宋" w:cs="Times New Roman"/>
          <w:color w:val="000000"/>
          <w:sz w:val="30"/>
          <w:szCs w:val="30"/>
        </w:rPr>
        <w:t>　　</w:t>
      </w:r>
      <w:r>
        <w:rPr>
          <w:rFonts w:hint="eastAsia" w:ascii="黑体" w:hAnsi="黑体" w:eastAsia="黑体" w:cs="仿宋"/>
          <w:sz w:val="30"/>
          <w:szCs w:val="30"/>
        </w:rPr>
        <w:t>八、特别说明</w:t>
      </w:r>
    </w:p>
    <w:p w14:paraId="3085B095">
      <w:pPr>
        <w:spacing w:line="540" w:lineRule="exact"/>
        <w:rPr>
          <w:rFonts w:hint="eastAsia" w:ascii="仿宋" w:hAnsi="仿宋" w:eastAsia="仿宋" w:cs="仿宋"/>
          <w:sz w:val="30"/>
          <w:szCs w:val="30"/>
        </w:rPr>
      </w:pPr>
      <w:r>
        <w:rPr>
          <w:rFonts w:hint="eastAsia" w:ascii="仿宋" w:hAnsi="仿宋" w:eastAsia="仿宋" w:cs="仿宋"/>
          <w:sz w:val="30"/>
          <w:szCs w:val="30"/>
        </w:rPr>
        <w:t>　　1、为最大限度吸引意向共益债投资人参与投资，推进重整计划执行，意向共益债投资人报名不收取任何费用和保证金。</w:t>
      </w:r>
    </w:p>
    <w:p w14:paraId="13D3FF8D">
      <w:pPr>
        <w:spacing w:line="540" w:lineRule="exact"/>
        <w:rPr>
          <w:rFonts w:hint="eastAsia" w:ascii="仿宋" w:hAnsi="仿宋" w:eastAsia="仿宋" w:cs="仿宋"/>
          <w:sz w:val="30"/>
          <w:szCs w:val="30"/>
        </w:rPr>
      </w:pPr>
      <w:r>
        <w:rPr>
          <w:rFonts w:hint="eastAsia" w:ascii="仿宋" w:hAnsi="仿宋" w:eastAsia="仿宋" w:cs="仿宋"/>
          <w:sz w:val="30"/>
          <w:szCs w:val="30"/>
        </w:rPr>
        <w:t>　　2、意向投资人在报名时应按照管理人要求签署保密承诺，但无需缴纳保密保证金。如有意向投资人违反保密承诺的，则管理人有权追究意向投资人的法律责任，届时由此产生的赔偿责任和追偿费用均由违反保密承诺的意向投资人承担。</w:t>
      </w:r>
    </w:p>
    <w:p w14:paraId="46FF7946">
      <w:pPr>
        <w:widowControl/>
        <w:spacing w:line="540" w:lineRule="exact"/>
        <w:rPr>
          <w:rFonts w:hint="eastAsia" w:ascii="仿宋" w:hAnsi="仿宋" w:eastAsia="仿宋" w:cs="仿宋"/>
          <w:sz w:val="30"/>
          <w:szCs w:val="30"/>
        </w:rPr>
      </w:pPr>
      <w:r>
        <w:rPr>
          <w:rFonts w:hint="eastAsia" w:ascii="仿宋" w:hAnsi="仿宋" w:eastAsia="仿宋" w:cs="仿宋"/>
          <w:sz w:val="30"/>
          <w:szCs w:val="30"/>
        </w:rPr>
        <w:t>　　3、遴选结果确定后，管理人将通知报名意向投资人。管理人无义务对落选的意向投资人说明理由，报名参与本次共益债投资的一切费用和责任均由意向投资人自行承担。</w:t>
      </w:r>
    </w:p>
    <w:p w14:paraId="51DC3CFC">
      <w:pPr>
        <w:widowControl/>
        <w:spacing w:line="540" w:lineRule="exact"/>
        <w:rPr>
          <w:rFonts w:hint="eastAsia" w:ascii="仿宋" w:hAnsi="仿宋" w:eastAsia="仿宋" w:cs="仿宋"/>
          <w:sz w:val="30"/>
          <w:szCs w:val="30"/>
        </w:rPr>
      </w:pPr>
      <w:r>
        <w:rPr>
          <w:rFonts w:hint="eastAsia" w:ascii="仿宋" w:hAnsi="仿宋" w:eastAsia="仿宋" w:cs="仿宋"/>
          <w:sz w:val="30"/>
          <w:szCs w:val="30"/>
        </w:rPr>
        <w:t>　　4、各意向投资人应保证向管理人提交的所有材料真实有效，若在重整计划执行过程中发现意向投资人有任何虚假陈述或提供不实材料，管理人将依据法律规定追究其相应的法律责任。</w:t>
      </w:r>
    </w:p>
    <w:p w14:paraId="091C5F20">
      <w:pPr>
        <w:widowControl/>
        <w:spacing w:line="540" w:lineRule="exact"/>
        <w:rPr>
          <w:rFonts w:hint="eastAsia" w:ascii="仿宋" w:hAnsi="仿宋" w:eastAsia="仿宋" w:cs="仿宋"/>
          <w:sz w:val="30"/>
          <w:szCs w:val="30"/>
        </w:rPr>
      </w:pPr>
      <w:r>
        <w:rPr>
          <w:rFonts w:hint="eastAsia" w:ascii="仿宋" w:hAnsi="仿宋" w:eastAsia="仿宋" w:cs="仿宋"/>
          <w:sz w:val="30"/>
          <w:szCs w:val="30"/>
        </w:rPr>
        <w:t>　　5、根据报名情况，或出现影响溥源公司重整计划执行的重大事项，或根据人民法院提出的要求，管理人可以延长报名时间、中止或撤回本次共益债投资人招募公告。本次招募共益债投资人计划中止或撤回的，管理人无需对意向投资人所开展的工作进行任何补偿。</w:t>
      </w:r>
    </w:p>
    <w:p w14:paraId="2079FE5B">
      <w:pPr>
        <w:widowControl/>
        <w:spacing w:line="540" w:lineRule="exact"/>
        <w:ind w:firstLine="600"/>
        <w:rPr>
          <w:rFonts w:hint="eastAsia" w:ascii="仿宋" w:hAnsi="仿宋" w:eastAsia="仿宋" w:cs="仿宋"/>
          <w:sz w:val="30"/>
          <w:szCs w:val="30"/>
        </w:rPr>
      </w:pPr>
      <w:r>
        <w:rPr>
          <w:rFonts w:hint="eastAsia" w:ascii="仿宋" w:hAnsi="仿宋" w:eastAsia="仿宋" w:cs="仿宋"/>
          <w:sz w:val="30"/>
          <w:szCs w:val="30"/>
        </w:rPr>
        <w:t>6、共益债投资的相关税费事宜请意向投资人自行咨询专业人士和有关部门。</w:t>
      </w:r>
    </w:p>
    <w:p w14:paraId="52AD843F">
      <w:pPr>
        <w:widowControl/>
        <w:spacing w:line="540" w:lineRule="exact"/>
        <w:ind w:firstLine="600"/>
        <w:rPr>
          <w:rFonts w:hint="eastAsia" w:ascii="仿宋" w:hAnsi="仿宋" w:eastAsia="仿宋" w:cs="仿宋"/>
          <w:sz w:val="30"/>
          <w:szCs w:val="30"/>
        </w:rPr>
      </w:pPr>
      <w:r>
        <w:rPr>
          <w:rFonts w:hint="eastAsia" w:ascii="仿宋" w:hAnsi="仿宋" w:eastAsia="仿宋" w:cs="仿宋"/>
          <w:sz w:val="30"/>
          <w:szCs w:val="30"/>
          <w:highlight w:val="yellow"/>
        </w:rPr>
        <w:t>7、本次共益债招募由管理人负责实施，但本次招募共益债的偿还责任由溥源公司承担并以财产优先偿还，管理人自身并不对共益债偿还承担任何责任。</w:t>
      </w:r>
    </w:p>
    <w:p w14:paraId="031FB796">
      <w:pPr>
        <w:widowControl/>
        <w:spacing w:line="540" w:lineRule="exact"/>
        <w:rPr>
          <w:rFonts w:hint="eastAsia" w:ascii="仿宋" w:hAnsi="仿宋" w:eastAsia="仿宋" w:cs="仿宋"/>
          <w:sz w:val="30"/>
          <w:szCs w:val="30"/>
        </w:rPr>
      </w:pPr>
      <w:r>
        <w:rPr>
          <w:rFonts w:hint="eastAsia" w:ascii="仿宋" w:hAnsi="仿宋" w:eastAsia="仿宋" w:cs="仿宋"/>
          <w:sz w:val="30"/>
          <w:szCs w:val="30"/>
        </w:rPr>
        <w:t>　　8、本公告内容不适用《中华人民共和国招标投标法》。</w:t>
      </w:r>
    </w:p>
    <w:p w14:paraId="72D2B6C1">
      <w:pPr>
        <w:widowControl/>
        <w:spacing w:line="540" w:lineRule="exact"/>
        <w:rPr>
          <w:rFonts w:hint="eastAsia" w:ascii="仿宋" w:hAnsi="仿宋" w:eastAsia="仿宋" w:cs="仿宋"/>
          <w:sz w:val="30"/>
          <w:szCs w:val="30"/>
        </w:rPr>
      </w:pPr>
      <w:r>
        <w:rPr>
          <w:rFonts w:hint="eastAsia" w:ascii="仿宋" w:hAnsi="仿宋" w:eastAsia="仿宋" w:cs="仿宋"/>
          <w:sz w:val="30"/>
          <w:szCs w:val="30"/>
        </w:rPr>
        <w:t>　　9、管理人对本公告内容享有最终解释权。</w:t>
      </w:r>
    </w:p>
    <w:p w14:paraId="7D2C65FA">
      <w:pPr>
        <w:spacing w:line="540" w:lineRule="exact"/>
        <w:ind w:firstLine="600" w:firstLineChars="200"/>
        <w:rPr>
          <w:rFonts w:hint="eastAsia" w:ascii="黑体" w:hAnsi="黑体" w:eastAsia="黑体" w:cs="仿宋"/>
          <w:sz w:val="30"/>
          <w:szCs w:val="30"/>
        </w:rPr>
      </w:pPr>
      <w:r>
        <w:rPr>
          <w:rFonts w:hint="eastAsia" w:ascii="黑体" w:hAnsi="黑体" w:eastAsia="黑体" w:cs="仿宋"/>
          <w:sz w:val="30"/>
          <w:szCs w:val="30"/>
        </w:rPr>
        <w:t>九</w:t>
      </w:r>
      <w:r>
        <w:rPr>
          <w:rFonts w:ascii="黑体" w:hAnsi="黑体" w:eastAsia="黑体" w:cs="仿宋"/>
          <w:sz w:val="30"/>
          <w:szCs w:val="30"/>
        </w:rPr>
        <w:t>、招募</w:t>
      </w:r>
      <w:r>
        <w:rPr>
          <w:rFonts w:hint="eastAsia" w:ascii="黑体" w:hAnsi="黑体" w:eastAsia="黑体" w:cs="仿宋"/>
          <w:sz w:val="30"/>
          <w:szCs w:val="30"/>
        </w:rPr>
        <w:t>公告附件</w:t>
      </w:r>
    </w:p>
    <w:p w14:paraId="57DF4585">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附件1：报名承诺书</w:t>
      </w:r>
    </w:p>
    <w:p w14:paraId="60EB1833">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附件2：保密承诺书</w:t>
      </w:r>
    </w:p>
    <w:p w14:paraId="53590009">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附件3：溥源公司重整计划批准公告</w:t>
      </w:r>
    </w:p>
    <w:p w14:paraId="186337C2">
      <w:pPr>
        <w:spacing w:line="540" w:lineRule="exact"/>
        <w:ind w:firstLine="600" w:firstLineChars="200"/>
        <w:rPr>
          <w:rFonts w:hint="eastAsia" w:ascii="仿宋" w:hAnsi="仿宋" w:eastAsia="仿宋" w:cs="仿宋"/>
          <w:sz w:val="30"/>
          <w:szCs w:val="30"/>
        </w:rPr>
      </w:pPr>
    </w:p>
    <w:p w14:paraId="315EC2D4">
      <w:pPr>
        <w:spacing w:line="540" w:lineRule="exact"/>
        <w:ind w:firstLine="600" w:firstLineChars="200"/>
        <w:rPr>
          <w:rFonts w:hint="eastAsia" w:ascii="仿宋" w:hAnsi="仿宋" w:eastAsia="仿宋" w:cs="仿宋"/>
          <w:sz w:val="30"/>
          <w:szCs w:val="30"/>
        </w:rPr>
      </w:pPr>
      <w:r>
        <w:rPr>
          <w:rFonts w:ascii="仿宋" w:hAnsi="仿宋" w:eastAsia="仿宋" w:cs="仿宋"/>
          <w:sz w:val="30"/>
          <w:szCs w:val="30"/>
        </w:rPr>
        <w:t>热忱欢迎各意向投资人报名参与</w:t>
      </w:r>
      <w:r>
        <w:rPr>
          <w:rFonts w:hint="eastAsia" w:ascii="仿宋" w:hAnsi="仿宋" w:eastAsia="仿宋" w:cs="仿宋"/>
          <w:sz w:val="30"/>
          <w:szCs w:val="30"/>
        </w:rPr>
        <w:t>溥源公司共益债投资事宜</w:t>
      </w:r>
      <w:r>
        <w:rPr>
          <w:rFonts w:ascii="仿宋" w:hAnsi="仿宋" w:eastAsia="仿宋" w:cs="仿宋"/>
          <w:sz w:val="30"/>
          <w:szCs w:val="30"/>
        </w:rPr>
        <w:t>。</w:t>
      </w:r>
    </w:p>
    <w:p w14:paraId="1B64FF15">
      <w:pPr>
        <w:spacing w:line="540" w:lineRule="exact"/>
        <w:ind w:firstLine="600" w:firstLineChars="200"/>
        <w:rPr>
          <w:rFonts w:hint="eastAsia" w:ascii="仿宋" w:hAnsi="仿宋" w:eastAsia="仿宋" w:cs="仿宋"/>
          <w:sz w:val="30"/>
          <w:szCs w:val="30"/>
        </w:rPr>
      </w:pPr>
    </w:p>
    <w:p w14:paraId="0C9A87B9">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特此公告</w:t>
      </w:r>
    </w:p>
    <w:p w14:paraId="2C870A21">
      <w:pPr>
        <w:spacing w:line="540" w:lineRule="exact"/>
        <w:rPr>
          <w:rFonts w:hint="eastAsia" w:ascii="仿宋" w:hAnsi="仿宋" w:eastAsia="仿宋" w:cs="仿宋"/>
          <w:sz w:val="30"/>
          <w:szCs w:val="30"/>
        </w:rPr>
      </w:pPr>
      <w:bookmarkStart w:id="8" w:name="_GoBack"/>
      <w:bookmarkEnd w:id="8"/>
    </w:p>
    <w:p w14:paraId="539C4F8E">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管理人联系人：陈律师18100949569、高律师17793787114</w:t>
      </w:r>
    </w:p>
    <w:p w14:paraId="2EA4E3F0">
      <w:pPr>
        <w:spacing w:line="540" w:lineRule="exact"/>
        <w:ind w:firstLine="600" w:firstLineChars="200"/>
        <w:jc w:val="right"/>
        <w:rPr>
          <w:rFonts w:ascii="Times New Roman" w:hAnsi="Times New Roman" w:eastAsia="仿宋" w:cs="Times New Roman"/>
          <w:color w:val="000000"/>
          <w:sz w:val="30"/>
          <w:szCs w:val="30"/>
        </w:rPr>
      </w:pPr>
    </w:p>
    <w:p w14:paraId="06C93081">
      <w:pPr>
        <w:spacing w:line="540" w:lineRule="exact"/>
        <w:ind w:firstLine="600" w:firstLineChars="200"/>
        <w:jc w:val="right"/>
        <w:rPr>
          <w:rFonts w:ascii="Times New Roman" w:hAnsi="Times New Roman" w:eastAsia="仿宋" w:cs="Times New Roman"/>
          <w:color w:val="000000"/>
          <w:sz w:val="30"/>
          <w:szCs w:val="30"/>
        </w:rPr>
      </w:pPr>
      <w:r>
        <w:rPr>
          <w:rFonts w:ascii="Times New Roman" w:hAnsi="Times New Roman" w:eastAsia="仿宋" w:cs="Times New Roman"/>
          <w:color w:val="000000"/>
          <w:sz w:val="30"/>
          <w:szCs w:val="30"/>
        </w:rPr>
        <w:t>嘉峪关溥源置业有限责任公司管理人</w:t>
      </w:r>
    </w:p>
    <w:p w14:paraId="6F566ED2">
      <w:pPr>
        <w:spacing w:line="540" w:lineRule="exact"/>
        <w:ind w:firstLine="600" w:firstLineChars="200"/>
        <w:jc w:val="center"/>
        <w:rPr>
          <w:rFonts w:ascii="Times New Roman" w:hAnsi="Times New Roman" w:eastAsia="仿宋" w:cs="Times New Roman"/>
          <w:color w:val="000000"/>
          <w:sz w:val="30"/>
          <w:szCs w:val="30"/>
        </w:rPr>
      </w:pPr>
      <w:r>
        <w:rPr>
          <w:rFonts w:hint="eastAsia" w:ascii="Times New Roman" w:hAnsi="Times New Roman" w:eastAsia="仿宋" w:cs="Times New Roman"/>
          <w:color w:val="000000"/>
          <w:sz w:val="30"/>
          <w:szCs w:val="30"/>
        </w:rPr>
        <w:t xml:space="preserve">                  </w:t>
      </w:r>
      <w:r>
        <w:rPr>
          <w:rFonts w:ascii="Times New Roman" w:hAnsi="Times New Roman" w:eastAsia="仿宋" w:cs="Times New Roman"/>
          <w:color w:val="000000"/>
          <w:sz w:val="30"/>
          <w:szCs w:val="30"/>
        </w:rPr>
        <w:t>二〇二五年</w:t>
      </w:r>
      <w:r>
        <w:rPr>
          <w:rFonts w:hint="eastAsia" w:ascii="Times New Roman" w:hAnsi="Times New Roman" w:eastAsia="仿宋" w:cs="Times New Roman"/>
          <w:color w:val="000000"/>
          <w:sz w:val="30"/>
          <w:szCs w:val="30"/>
        </w:rPr>
        <w:t>六月二十五</w:t>
      </w:r>
      <w:r>
        <w:rPr>
          <w:rFonts w:ascii="Times New Roman" w:hAnsi="Times New Roman" w:eastAsia="仿宋" w:cs="Times New Roman"/>
          <w:color w:val="000000"/>
          <w:sz w:val="30"/>
          <w:szCs w:val="30"/>
        </w:rPr>
        <w:t>日</w:t>
      </w:r>
    </w:p>
    <w:p w14:paraId="046DA4A1">
      <w:pPr>
        <w:widowControl/>
        <w:spacing w:line="540" w:lineRule="exact"/>
        <w:jc w:val="left"/>
        <w:rPr>
          <w:rFonts w:ascii="Times New Roman" w:hAnsi="Times New Roman" w:eastAsia="仿宋" w:cs="Times New Roman"/>
          <w:color w:val="000000"/>
          <w:sz w:val="30"/>
          <w:szCs w:val="30"/>
        </w:rPr>
      </w:pPr>
    </w:p>
    <w:p w14:paraId="0F0805F6">
      <w:pPr>
        <w:widowControl/>
        <w:spacing w:line="540" w:lineRule="exact"/>
        <w:jc w:val="left"/>
        <w:rPr>
          <w:rFonts w:ascii="Times New Roman" w:hAnsi="Times New Roman" w:eastAsia="仿宋" w:cs="Times New Roman"/>
          <w:color w:val="000000"/>
          <w:sz w:val="30"/>
          <w:szCs w:val="30"/>
        </w:rPr>
      </w:pPr>
    </w:p>
    <w:p w14:paraId="4B12B292">
      <w:pPr>
        <w:widowControl/>
        <w:spacing w:line="540" w:lineRule="exact"/>
        <w:jc w:val="left"/>
        <w:rPr>
          <w:rFonts w:ascii="Times New Roman" w:hAnsi="Times New Roman" w:eastAsia="仿宋" w:cs="Times New Roman"/>
          <w:color w:val="000000"/>
          <w:sz w:val="30"/>
          <w:szCs w:val="30"/>
        </w:rPr>
      </w:pPr>
    </w:p>
    <w:p w14:paraId="2E5FBC4E">
      <w:pPr>
        <w:widowControl/>
        <w:spacing w:line="540" w:lineRule="exact"/>
        <w:jc w:val="left"/>
        <w:rPr>
          <w:rFonts w:ascii="Times New Roman" w:hAnsi="Times New Roman" w:eastAsia="仿宋" w:cs="Times New Roman"/>
          <w:color w:val="000000"/>
          <w:sz w:val="30"/>
          <w:szCs w:val="30"/>
        </w:rPr>
      </w:pPr>
    </w:p>
    <w:p w14:paraId="6F7F2FE6">
      <w:pPr>
        <w:widowControl/>
        <w:spacing w:line="540" w:lineRule="exact"/>
        <w:jc w:val="left"/>
        <w:rPr>
          <w:rFonts w:ascii="Times New Roman" w:hAnsi="Times New Roman" w:eastAsia="仿宋" w:cs="Times New Roman"/>
          <w:color w:val="000000"/>
          <w:sz w:val="30"/>
          <w:szCs w:val="30"/>
        </w:rPr>
      </w:pPr>
    </w:p>
    <w:p w14:paraId="09647D6F">
      <w:pPr>
        <w:widowControl/>
        <w:spacing w:line="540" w:lineRule="exact"/>
        <w:jc w:val="left"/>
        <w:rPr>
          <w:rFonts w:ascii="Times New Roman" w:hAnsi="Times New Roman" w:eastAsia="仿宋" w:cs="Times New Roman"/>
          <w:color w:val="000000"/>
          <w:sz w:val="30"/>
          <w:szCs w:val="30"/>
        </w:rPr>
      </w:pPr>
    </w:p>
    <w:p w14:paraId="21DD18F1">
      <w:pPr>
        <w:widowControl/>
        <w:spacing w:line="540" w:lineRule="exact"/>
        <w:jc w:val="left"/>
        <w:rPr>
          <w:rFonts w:ascii="Times New Roman" w:hAnsi="Times New Roman" w:eastAsia="仿宋" w:cs="Times New Roman"/>
          <w:color w:val="000000"/>
          <w:sz w:val="30"/>
          <w:szCs w:val="30"/>
        </w:rPr>
      </w:pPr>
    </w:p>
    <w:p w14:paraId="75D48F8E">
      <w:pPr>
        <w:widowControl/>
        <w:spacing w:line="540" w:lineRule="exact"/>
        <w:jc w:val="left"/>
        <w:rPr>
          <w:rFonts w:ascii="Times New Roman" w:hAnsi="Times New Roman" w:eastAsia="仿宋" w:cs="Times New Roman"/>
          <w:color w:val="000000"/>
          <w:sz w:val="30"/>
          <w:szCs w:val="30"/>
        </w:rPr>
      </w:pPr>
    </w:p>
    <w:p w14:paraId="137A67DE">
      <w:pPr>
        <w:widowControl/>
        <w:spacing w:line="540" w:lineRule="exact"/>
        <w:jc w:val="left"/>
        <w:rPr>
          <w:rFonts w:ascii="Times New Roman" w:hAnsi="Times New Roman" w:eastAsia="仿宋" w:cs="Times New Roman"/>
          <w:color w:val="000000"/>
          <w:sz w:val="30"/>
          <w:szCs w:val="30"/>
        </w:rPr>
      </w:pPr>
    </w:p>
    <w:p w14:paraId="5010D06B">
      <w:pPr>
        <w:widowControl/>
        <w:jc w:val="left"/>
        <w:rPr>
          <w:rFonts w:ascii="Times New Roman" w:hAnsi="Times New Roman" w:eastAsia="仿宋" w:cs="Times New Roman"/>
          <w:color w:val="000000"/>
          <w:sz w:val="30"/>
          <w:szCs w:val="30"/>
        </w:rPr>
      </w:pPr>
      <w:r>
        <w:rPr>
          <w:rFonts w:ascii="Times New Roman" w:hAnsi="Times New Roman" w:eastAsia="仿宋" w:cs="Times New Roman"/>
          <w:color w:val="000000"/>
          <w:sz w:val="30"/>
          <w:szCs w:val="30"/>
        </w:rPr>
        <w:br w:type="page"/>
      </w:r>
    </w:p>
    <w:p w14:paraId="55AD6E72">
      <w:pPr>
        <w:widowControl/>
        <w:spacing w:line="540" w:lineRule="exact"/>
        <w:jc w:val="left"/>
        <w:rPr>
          <w:rFonts w:ascii="Times New Roman" w:hAnsi="Times New Roman" w:eastAsia="仿宋" w:cs="Times New Roman"/>
          <w:color w:val="000000"/>
          <w:sz w:val="30"/>
          <w:szCs w:val="30"/>
        </w:rPr>
      </w:pPr>
      <w:r>
        <w:rPr>
          <w:rFonts w:hint="eastAsia" w:ascii="Times New Roman" w:hAnsi="Times New Roman" w:eastAsia="仿宋" w:cs="Times New Roman"/>
          <w:color w:val="000000"/>
          <w:sz w:val="30"/>
          <w:szCs w:val="30"/>
        </w:rPr>
        <w:t>附件1：报名承诺书</w:t>
      </w:r>
    </w:p>
    <w:p w14:paraId="4A3604BD">
      <w:pPr>
        <w:widowControl/>
        <w:spacing w:line="520" w:lineRule="exact"/>
        <w:jc w:val="center"/>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报名承诺书</w:t>
      </w:r>
    </w:p>
    <w:p w14:paraId="1560A4B3">
      <w:pPr>
        <w:widowControl/>
        <w:spacing w:line="520" w:lineRule="exact"/>
        <w:jc w:val="left"/>
        <w:rPr>
          <w:rFonts w:ascii="Times New Roman" w:hAnsi="Times New Roman" w:eastAsia="仿宋" w:cs="Times New Roman"/>
          <w:color w:val="000000"/>
          <w:sz w:val="28"/>
          <w:szCs w:val="28"/>
        </w:rPr>
      </w:pPr>
    </w:p>
    <w:p w14:paraId="379B18EE">
      <w:pPr>
        <w:widowControl/>
        <w:spacing w:line="52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xml:space="preserve">致：嘉峪关溥源置业有限责任公司管理人 </w:t>
      </w:r>
    </w:p>
    <w:p w14:paraId="54183B40">
      <w:pPr>
        <w:widowControl/>
        <w:spacing w:line="52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xml:space="preserve">　　我方拟参与贵方开展的嘉峪关溥源置业有限责任公司破产重整案重整计划执行阶段共益债投资人的招募报名，我方承诺： </w:t>
      </w:r>
    </w:p>
    <w:p w14:paraId="40A5E975">
      <w:pPr>
        <w:widowControl/>
        <w:spacing w:line="52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xml:space="preserve">　　一、我方符合贵方发布的共益债投资人招募公告规定的意向投资人应具备的各项招募报名条件。 </w:t>
      </w:r>
    </w:p>
    <w:p w14:paraId="37F9F3DD">
      <w:pPr>
        <w:widowControl/>
        <w:spacing w:line="52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xml:space="preserve">　　二、我方提交的报名材料均真实、合法、有效且不存在重大隐瞒或遗漏。我方自愿参与本次共益债投资人的公开招募和遴选，已经获得内部有权机关的决策批准。 </w:t>
      </w:r>
    </w:p>
    <w:p w14:paraId="0B0D2E45">
      <w:pPr>
        <w:widowControl/>
        <w:spacing w:line="520" w:lineRule="exact"/>
        <w:ind w:firstLine="560"/>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三、若我方最终被确定为本次共益债投资人，我方将全面履行共益债借款协议约定的义务。</w:t>
      </w:r>
    </w:p>
    <w:p w14:paraId="42240FF0">
      <w:pPr>
        <w:widowControl/>
        <w:spacing w:line="520" w:lineRule="exact"/>
        <w:ind w:firstLine="560"/>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四、我方承诺投资本次共益债的资金来源合法，符合金融监管部门反洗钱要求。</w:t>
      </w:r>
    </w:p>
    <w:p w14:paraId="64EFC639">
      <w:pPr>
        <w:widowControl/>
        <w:spacing w:line="520" w:lineRule="exact"/>
        <w:ind w:firstLine="560"/>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五、我方承诺，我方及法定代表人、控股股东未负有到期未清偿且重大数额的债务、未被列入经营异常名录、未被纳入失信被执行人名单、未被采取限制高消费措施。</w:t>
      </w:r>
    </w:p>
    <w:p w14:paraId="01CFA9AC">
      <w:pPr>
        <w:widowControl/>
        <w:spacing w:line="520" w:lineRule="exact"/>
        <w:ind w:firstLine="560"/>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六、我方承诺，我方已知悉本次共益债招募由管理人负责实施，但本次招募共益债的偿还责任由溥源公司承担，管理人自身并不对共益债的偿还承担任何责任，我方承诺就本次共益债投资不要求管理人承担偿还责任或其他责任。</w:t>
      </w:r>
    </w:p>
    <w:p w14:paraId="13B4BD66">
      <w:pPr>
        <w:widowControl/>
        <w:spacing w:line="520" w:lineRule="exact"/>
        <w:ind w:firstLine="560"/>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xml:space="preserve">本报名承诺书自我方盖章或签字捺印之日起生效。 </w:t>
      </w:r>
    </w:p>
    <w:p w14:paraId="080DF99B">
      <w:pPr>
        <w:widowControl/>
        <w:spacing w:line="520" w:lineRule="exact"/>
        <w:jc w:val="left"/>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 xml:space="preserve">　　　　　意向投资人：（签章） </w:t>
      </w:r>
    </w:p>
    <w:p w14:paraId="38DA17AE">
      <w:pPr>
        <w:widowControl/>
        <w:spacing w:line="520" w:lineRule="exact"/>
        <w:jc w:val="left"/>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 xml:space="preserve">　　　　　 法定代表人：（签字） </w:t>
      </w:r>
    </w:p>
    <w:p w14:paraId="0FBA3F56">
      <w:pPr>
        <w:widowControl/>
        <w:spacing w:line="520" w:lineRule="exact"/>
        <w:jc w:val="left"/>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 xml:space="preserve"> </w:t>
      </w:r>
      <w:r>
        <w:rPr>
          <w:rFonts w:hint="eastAsia" w:ascii="Times New Roman" w:hAnsi="Times New Roman" w:eastAsia="仿宋" w:cs="Times New Roman"/>
          <w:color w:val="000000"/>
          <w:sz w:val="28"/>
          <w:szCs w:val="28"/>
        </w:rPr>
        <w:t xml:space="preserve">　　　　　　　　　　　　　　　　　　　年 　月　 日 </w:t>
      </w:r>
    </w:p>
    <w:p w14:paraId="16D4A2E9">
      <w:pPr>
        <w:widowControl/>
        <w:jc w:val="left"/>
        <w:rPr>
          <w:rFonts w:ascii="仿宋_GB2312" w:hAnsi="Times New Roman" w:eastAsia="仿宋_GB2312" w:cs="Times New Roman"/>
          <w:color w:val="000000"/>
          <w:sz w:val="30"/>
          <w:szCs w:val="30"/>
        </w:rPr>
      </w:pPr>
      <w:r>
        <w:rPr>
          <w:rFonts w:hint="eastAsia" w:ascii="仿宋_GB2312" w:hAnsi="Times New Roman" w:eastAsia="仿宋_GB2312" w:cs="Times New Roman"/>
          <w:color w:val="000000"/>
          <w:sz w:val="30"/>
          <w:szCs w:val="30"/>
        </w:rPr>
        <w:t>附件2：保密承诺书</w:t>
      </w:r>
    </w:p>
    <w:p w14:paraId="569AE9B0">
      <w:pPr>
        <w:widowControl/>
        <w:spacing w:line="540" w:lineRule="exact"/>
        <w:jc w:val="center"/>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保密承诺书</w:t>
      </w:r>
    </w:p>
    <w:p w14:paraId="1003E0E1">
      <w:pPr>
        <w:widowControl/>
        <w:spacing w:line="540" w:lineRule="exact"/>
        <w:jc w:val="left"/>
        <w:rPr>
          <w:rFonts w:ascii="Times New Roman" w:hAnsi="Times New Roman" w:eastAsia="仿宋" w:cs="Times New Roman"/>
          <w:color w:val="000000"/>
          <w:sz w:val="28"/>
          <w:szCs w:val="28"/>
        </w:rPr>
      </w:pPr>
    </w:p>
    <w:p w14:paraId="7FD6C657">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致：嘉峪关溥源置业有限责任公司管理人</w:t>
      </w:r>
    </w:p>
    <w:p w14:paraId="6D83F70E">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我方报名选聘嘉峪关溥源置业有限责任公司破产重整案的意向共益债投资人，我方特承诺如下：</w:t>
      </w:r>
    </w:p>
    <w:p w14:paraId="7AA9D33C">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一、我方及我方代理人或参与人员从管理人或者其他渠道获得的有关溥源公司尚未对外公开披露的有关信息严格遵守国家相关保密法律法规，未经溥源公司管理人书面同意不提供给任何第三方。</w:t>
      </w:r>
    </w:p>
    <w:p w14:paraId="6019AE70">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二、我方同意采取一切合理措施对溥源公司的商业信息予以保密，尽到与保护自身商业秘密相同的最高程度的谨慎注意义务，禁止任何与该保密信息无关之人员接触或取得该保密信息。</w:t>
      </w:r>
    </w:p>
    <w:p w14:paraId="5445F273">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三、我方承诺所接触的保密信息仅为本项目目的而使用，不将保密信息用于其他任何场合或者交易，也不以任何其他方式滥用保密信息。</w:t>
      </w:r>
    </w:p>
    <w:p w14:paraId="1A7317F8">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四、我方承诺管理人有权根据项目的实际需要要求我方将保密信息载体或复制件予以返还、销毁或永久删除。</w:t>
      </w:r>
    </w:p>
    <w:p w14:paraId="4C6B580A">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五、我方履行本承诺所发生的所有费用均由我方承担。</w:t>
      </w:r>
    </w:p>
    <w:p w14:paraId="4D1D5465">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六、如我方违反本承诺而给溥源公司造成任何损失，我方同意予以足额赔偿，该损失包括但不限于：造成的实际损失、预期的商业利益及其他因我方擅自使用、披露或许可他人使用上述保密信息而产生的损失、法院诉讼费用、律师代理费等。</w:t>
      </w:r>
    </w:p>
    <w:p w14:paraId="793B7B95">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七、我方应当告知参与人员和我方聘请的相关人员遵守本保密承诺书的内容，并应采取必要措施，确保参与人员和外聘人员履行保密义务。若参与人员或外聘人员违反本保密承诺的约定，泄露了管理人所提供的相关信息和资料，依据本承诺函约定，我方应与泄密员工或外聘人员承担连带责任。</w:t>
      </w:r>
    </w:p>
    <w:p w14:paraId="7A00FB9C">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八、本承诺经我方盖章后生效。</w:t>
      </w:r>
    </w:p>
    <w:p w14:paraId="12C192E0">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九、我方所作出的承诺，不受相关协议的是否签订、解除、目的实现等情况的影响。</w:t>
      </w:r>
    </w:p>
    <w:p w14:paraId="272C50F3">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十、我方所作出的承诺，不能撤回、变更且不能声明作废。</w:t>
      </w:r>
    </w:p>
    <w:p w14:paraId="6A2A4F3E">
      <w:pPr>
        <w:widowControl/>
        <w:spacing w:line="540" w:lineRule="exact"/>
        <w:jc w:val="left"/>
        <w:rPr>
          <w:rFonts w:ascii="Times New Roman" w:hAnsi="Times New Roman" w:eastAsia="仿宋" w:cs="Times New Roman"/>
          <w:color w:val="000000"/>
          <w:sz w:val="28"/>
          <w:szCs w:val="28"/>
        </w:rPr>
      </w:pPr>
    </w:p>
    <w:p w14:paraId="742EFCF9">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特此承诺</w:t>
      </w:r>
    </w:p>
    <w:p w14:paraId="49ABDB89">
      <w:pPr>
        <w:widowControl/>
        <w:spacing w:line="540" w:lineRule="exact"/>
        <w:jc w:val="left"/>
        <w:rPr>
          <w:rFonts w:ascii="Times New Roman" w:hAnsi="Times New Roman" w:eastAsia="仿宋" w:cs="Times New Roman"/>
          <w:color w:val="000000"/>
          <w:sz w:val="28"/>
          <w:szCs w:val="28"/>
        </w:rPr>
      </w:pPr>
    </w:p>
    <w:p w14:paraId="6111F301">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意向投资人：（签章）</w:t>
      </w:r>
    </w:p>
    <w:p w14:paraId="08A45E36">
      <w:pPr>
        <w:widowControl/>
        <w:spacing w:line="540" w:lineRule="exact"/>
        <w:jc w:val="left"/>
        <w:rPr>
          <w:rFonts w:ascii="Times New Roman" w:hAnsi="Times New Roman" w:eastAsia="仿宋" w:cs="Times New Roman"/>
          <w:color w:val="000000"/>
          <w:sz w:val="28"/>
          <w:szCs w:val="28"/>
        </w:rPr>
      </w:pPr>
      <w:r>
        <w:rPr>
          <w:rFonts w:ascii="Times New Roman" w:hAnsi="Times New Roman" w:eastAsia="仿宋" w:cs="Times New Roman"/>
          <w:color w:val="000000"/>
          <w:sz w:val="28"/>
          <w:szCs w:val="28"/>
        </w:rPr>
        <w:t xml:space="preserve">                               </w:t>
      </w:r>
    </w:p>
    <w:p w14:paraId="499ED523">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法定代表人：（签字）</w:t>
      </w:r>
    </w:p>
    <w:p w14:paraId="1A7AA26F">
      <w:pPr>
        <w:widowControl/>
        <w:spacing w:line="540" w:lineRule="exact"/>
        <w:jc w:val="left"/>
        <w:rPr>
          <w:rFonts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　　　　　　　　　　　　　　　　　年    月    日</w:t>
      </w:r>
    </w:p>
    <w:p w14:paraId="6DA0EA88">
      <w:pPr>
        <w:widowControl/>
        <w:jc w:val="left"/>
        <w:rPr>
          <w:rFonts w:ascii="Times New Roman" w:hAnsi="Times New Roman" w:eastAsia="仿宋" w:cs="Times New Roman"/>
          <w:color w:val="000000"/>
          <w:sz w:val="30"/>
          <w:szCs w:val="30"/>
        </w:rPr>
      </w:pPr>
      <w:r>
        <w:rPr>
          <w:rFonts w:ascii="Times New Roman" w:hAnsi="Times New Roman" w:eastAsia="仿宋" w:cs="Times New Roman"/>
          <w:color w:val="000000"/>
          <w:sz w:val="30"/>
          <w:szCs w:val="30"/>
        </w:rPr>
        <w:br w:type="page"/>
      </w:r>
    </w:p>
    <w:p w14:paraId="28FEB191">
      <w:pPr>
        <w:widowControl/>
        <w:jc w:val="left"/>
        <w:rPr>
          <w:rFonts w:ascii="Times New Roman" w:hAnsi="Times New Roman" w:eastAsia="仿宋" w:cs="Times New Roman"/>
          <w:color w:val="000000"/>
          <w:sz w:val="30"/>
          <w:szCs w:val="30"/>
        </w:rPr>
      </w:pPr>
      <w:r>
        <w:rPr>
          <w:rFonts w:hint="eastAsia" w:ascii="Times New Roman" w:hAnsi="Times New Roman" w:eastAsia="仿宋" w:cs="Times New Roman"/>
          <w:color w:val="000000"/>
          <w:sz w:val="30"/>
          <w:szCs w:val="30"/>
        </w:rPr>
        <w:t>附件3：溥源公司重整计划批准公告</w:t>
      </w:r>
    </w:p>
    <w:p w14:paraId="386730E2">
      <w:pPr>
        <w:rPr>
          <w:rFonts w:ascii="Times New Roman" w:hAnsi="Times New Roman" w:cs="Times New Roman"/>
        </w:rPr>
      </w:pPr>
      <w:r>
        <w:drawing>
          <wp:inline distT="0" distB="0" distL="0" distR="0">
            <wp:extent cx="5274310" cy="7508240"/>
            <wp:effectExtent l="0" t="0" r="2540" b="0"/>
            <wp:docPr id="19425790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579060" name="图片 1"/>
                    <pic:cNvPicPr>
                      <a:picLocks noChangeAspect="1"/>
                    </pic:cNvPicPr>
                  </pic:nvPicPr>
                  <pic:blipFill>
                    <a:blip r:embed="rId5"/>
                    <a:stretch>
                      <a:fillRect/>
                    </a:stretch>
                  </pic:blipFill>
                  <pic:spPr>
                    <a:xfrm>
                      <a:off x="0" y="0"/>
                      <a:ext cx="5274310" cy="7508240"/>
                    </a:xfrm>
                    <a:prstGeom prst="rect">
                      <a:avLst/>
                    </a:prstGeom>
                  </pic:spPr>
                </pic:pic>
              </a:graphicData>
            </a:graphic>
          </wp:inline>
        </w:drawing>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DC6AF5-9DCF-4DAC-94EB-01D4614AA6D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0000600000000000000"/>
    <w:charset w:val="86"/>
    <w:family w:val="auto"/>
    <w:pitch w:val="default"/>
    <w:sig w:usb0="800002BF" w:usb1="184F6CF8" w:usb2="00000012" w:usb3="00000000" w:csb0="00160001" w:csb1="12030000"/>
    <w:embedRegular r:id="rId2" w:fontKey="{27587D27-3DC0-4DCE-88FB-50C991836954}"/>
  </w:font>
  <w:font w:name="方正公文小标宋">
    <w:altName w:val="微软雅黑"/>
    <w:panose1 w:val="00000000000000000000"/>
    <w:charset w:val="86"/>
    <w:family w:val="auto"/>
    <w:pitch w:val="default"/>
    <w:sig w:usb0="00000000" w:usb1="00000000" w:usb2="00000016" w:usb3="00000000" w:csb0="00040001" w:csb1="00000000"/>
    <w:embedRegular r:id="rId3" w:fontKey="{15B3F4A9-D75A-4BCC-AF5E-907021119FE7}"/>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embedRegular r:id="rId4" w:fontKey="{DCAC1C61-F42C-48EF-8E11-B67B0BAEA4C0}"/>
  </w:font>
  <w:font w:name="仿宋_GB2312">
    <w:panose1 w:val="02010609030101010101"/>
    <w:charset w:val="86"/>
    <w:family w:val="modern"/>
    <w:pitch w:val="default"/>
    <w:sig w:usb0="00000001" w:usb1="080E0000" w:usb2="00000000" w:usb3="00000000" w:csb0="00040000" w:csb1="00000000"/>
    <w:embedRegular r:id="rId5" w:fontKey="{9DEDAFCB-0068-497F-96F8-9248C1945B2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1C763">
    <w:pPr>
      <w:pStyle w:val="4"/>
    </w:pPr>
    <w:r>
      <mc:AlternateContent>
        <mc:Choice Requires="wps">
          <w:drawing>
            <wp:anchor distT="0" distB="0" distL="114300" distR="114300" simplePos="0" relativeHeight="251659264" behindDoc="0" locked="0" layoutInCell="1" allowOverlap="1">
              <wp:simplePos x="0" y="0"/>
              <wp:positionH relativeFrom="margin">
                <wp:posOffset>2514600</wp:posOffset>
              </wp:positionH>
              <wp:positionV relativeFrom="paragraph">
                <wp:posOffset>0</wp:posOffset>
              </wp:positionV>
              <wp:extent cx="312420" cy="135890"/>
              <wp:effectExtent l="0" t="0" r="12065" b="0"/>
              <wp:wrapNone/>
              <wp:docPr id="1" name="文本框 1"/>
              <wp:cNvGraphicFramePr/>
              <a:graphic xmlns:a="http://schemas.openxmlformats.org/drawingml/2006/main">
                <a:graphicData uri="http://schemas.microsoft.com/office/word/2010/wordprocessingShape">
                  <wps:wsp>
                    <wps:cNvSpPr txBox="1"/>
                    <wps:spPr>
                      <a:xfrm>
                        <a:off x="0" y="0"/>
                        <a:ext cx="312345" cy="13580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B7646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98pt;margin-top:0pt;height:10.7pt;width:24.6pt;mso-position-horizontal-relative:margin;z-index:251659264;mso-width-relative:page;mso-height-relative:page;" filled="f" stroked="f" coordsize="21600,21600" o:gfxdata="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O9TvF1wAAAAcBAAAPAAAAAAAAAAEAIAAAACIAAABkcnMvZG93bnJldi54bWxQ&#10;SwECFAAUAAAACACHTuJAdx5njDECAABVBAAADgAAAAAAAAABACAAAAAmAQAAZHJzL2Uyb0RvYy54&#10;bWxQSwUGAAAAAAYABgBZAQAAyQUAAAAA&#10;">
              <v:fill on="f" focussize="0,0"/>
              <v:stroke on="f" weight="0.5pt"/>
              <v:imagedata o:title=""/>
              <o:lock v:ext="edit" aspectratio="f"/>
              <v:textbox inset="0mm,0mm,0mm,0mm">
                <w:txbxContent>
                  <w:p w14:paraId="18B7646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B3F0C"/>
    <w:rsid w:val="00052381"/>
    <w:rsid w:val="000670CB"/>
    <w:rsid w:val="00095618"/>
    <w:rsid w:val="000D1C0B"/>
    <w:rsid w:val="000E375F"/>
    <w:rsid w:val="00106A76"/>
    <w:rsid w:val="001220FD"/>
    <w:rsid w:val="00154E69"/>
    <w:rsid w:val="00156FCA"/>
    <w:rsid w:val="00186071"/>
    <w:rsid w:val="001A2F2E"/>
    <w:rsid w:val="001B49CB"/>
    <w:rsid w:val="001C151E"/>
    <w:rsid w:val="001D41E0"/>
    <w:rsid w:val="001E7B9B"/>
    <w:rsid w:val="0020287E"/>
    <w:rsid w:val="00216807"/>
    <w:rsid w:val="00217266"/>
    <w:rsid w:val="00220126"/>
    <w:rsid w:val="00235007"/>
    <w:rsid w:val="00235C88"/>
    <w:rsid w:val="00245D69"/>
    <w:rsid w:val="0026459F"/>
    <w:rsid w:val="00295189"/>
    <w:rsid w:val="002A013F"/>
    <w:rsid w:val="002B7FA1"/>
    <w:rsid w:val="002C281E"/>
    <w:rsid w:val="002D39F9"/>
    <w:rsid w:val="002E434E"/>
    <w:rsid w:val="002E5AA4"/>
    <w:rsid w:val="002F0ECE"/>
    <w:rsid w:val="00304330"/>
    <w:rsid w:val="00366DB8"/>
    <w:rsid w:val="003869D1"/>
    <w:rsid w:val="003A0CC7"/>
    <w:rsid w:val="003C22C0"/>
    <w:rsid w:val="003D521D"/>
    <w:rsid w:val="00404F0B"/>
    <w:rsid w:val="004169E1"/>
    <w:rsid w:val="00417C0A"/>
    <w:rsid w:val="00431DC7"/>
    <w:rsid w:val="004378A7"/>
    <w:rsid w:val="0045251B"/>
    <w:rsid w:val="00462B56"/>
    <w:rsid w:val="00474654"/>
    <w:rsid w:val="004A4050"/>
    <w:rsid w:val="004C4133"/>
    <w:rsid w:val="00501CB5"/>
    <w:rsid w:val="005043C7"/>
    <w:rsid w:val="00515F7B"/>
    <w:rsid w:val="0052585E"/>
    <w:rsid w:val="00561439"/>
    <w:rsid w:val="00573751"/>
    <w:rsid w:val="0057522C"/>
    <w:rsid w:val="00592631"/>
    <w:rsid w:val="005C05F7"/>
    <w:rsid w:val="005C355E"/>
    <w:rsid w:val="005C6328"/>
    <w:rsid w:val="005F5D5E"/>
    <w:rsid w:val="006062E5"/>
    <w:rsid w:val="00611DD1"/>
    <w:rsid w:val="006145FB"/>
    <w:rsid w:val="00617000"/>
    <w:rsid w:val="00640997"/>
    <w:rsid w:val="00641153"/>
    <w:rsid w:val="006707EA"/>
    <w:rsid w:val="00680BFD"/>
    <w:rsid w:val="0068754E"/>
    <w:rsid w:val="0069192B"/>
    <w:rsid w:val="00692922"/>
    <w:rsid w:val="006A44C3"/>
    <w:rsid w:val="006C2302"/>
    <w:rsid w:val="007002B0"/>
    <w:rsid w:val="00731A22"/>
    <w:rsid w:val="00753E5D"/>
    <w:rsid w:val="00767E8A"/>
    <w:rsid w:val="00804070"/>
    <w:rsid w:val="00820337"/>
    <w:rsid w:val="00851AFF"/>
    <w:rsid w:val="008643EF"/>
    <w:rsid w:val="00882A8D"/>
    <w:rsid w:val="008944D9"/>
    <w:rsid w:val="008A5FD6"/>
    <w:rsid w:val="008B266C"/>
    <w:rsid w:val="008F0FD0"/>
    <w:rsid w:val="008F7B06"/>
    <w:rsid w:val="009412A2"/>
    <w:rsid w:val="009549A3"/>
    <w:rsid w:val="00963AE8"/>
    <w:rsid w:val="009A2AF0"/>
    <w:rsid w:val="009E0012"/>
    <w:rsid w:val="009E5A67"/>
    <w:rsid w:val="00A012C6"/>
    <w:rsid w:val="00A148FC"/>
    <w:rsid w:val="00A40AE6"/>
    <w:rsid w:val="00A5092C"/>
    <w:rsid w:val="00A809AD"/>
    <w:rsid w:val="00A81225"/>
    <w:rsid w:val="00AB5FE3"/>
    <w:rsid w:val="00AD381B"/>
    <w:rsid w:val="00B410B7"/>
    <w:rsid w:val="00B41224"/>
    <w:rsid w:val="00B44955"/>
    <w:rsid w:val="00B551B8"/>
    <w:rsid w:val="00B658E2"/>
    <w:rsid w:val="00B70F59"/>
    <w:rsid w:val="00BC37F8"/>
    <w:rsid w:val="00BF0C3A"/>
    <w:rsid w:val="00C11585"/>
    <w:rsid w:val="00C42C0E"/>
    <w:rsid w:val="00C76293"/>
    <w:rsid w:val="00C9359D"/>
    <w:rsid w:val="00CC06A1"/>
    <w:rsid w:val="00CC0C8A"/>
    <w:rsid w:val="00CD5C4C"/>
    <w:rsid w:val="00CD7DB2"/>
    <w:rsid w:val="00D41778"/>
    <w:rsid w:val="00D46C5E"/>
    <w:rsid w:val="00D91131"/>
    <w:rsid w:val="00DF37BF"/>
    <w:rsid w:val="00E10487"/>
    <w:rsid w:val="00E13100"/>
    <w:rsid w:val="00E17922"/>
    <w:rsid w:val="00E2027B"/>
    <w:rsid w:val="00E20492"/>
    <w:rsid w:val="00E56AC2"/>
    <w:rsid w:val="00E90ECB"/>
    <w:rsid w:val="00E95276"/>
    <w:rsid w:val="00EE41DE"/>
    <w:rsid w:val="00F007EC"/>
    <w:rsid w:val="00F11687"/>
    <w:rsid w:val="00F22FD1"/>
    <w:rsid w:val="00F42F35"/>
    <w:rsid w:val="00F559C3"/>
    <w:rsid w:val="00F7304C"/>
    <w:rsid w:val="00F84811"/>
    <w:rsid w:val="00F84F9F"/>
    <w:rsid w:val="00FA509E"/>
    <w:rsid w:val="00FB4569"/>
    <w:rsid w:val="013730A5"/>
    <w:rsid w:val="04C82350"/>
    <w:rsid w:val="06604E4C"/>
    <w:rsid w:val="09EB3F0C"/>
    <w:rsid w:val="09FE6E56"/>
    <w:rsid w:val="1008458B"/>
    <w:rsid w:val="152A4FA3"/>
    <w:rsid w:val="1532154D"/>
    <w:rsid w:val="194E4E4D"/>
    <w:rsid w:val="1A56507C"/>
    <w:rsid w:val="1C204A0A"/>
    <w:rsid w:val="1CE54872"/>
    <w:rsid w:val="1D7C1800"/>
    <w:rsid w:val="20C04A0E"/>
    <w:rsid w:val="23E7405F"/>
    <w:rsid w:val="28AF15F0"/>
    <w:rsid w:val="309612E7"/>
    <w:rsid w:val="34D348B8"/>
    <w:rsid w:val="35847960"/>
    <w:rsid w:val="3D2E4D81"/>
    <w:rsid w:val="499F0DB5"/>
    <w:rsid w:val="49CD76D0"/>
    <w:rsid w:val="4C6267F5"/>
    <w:rsid w:val="550163C4"/>
    <w:rsid w:val="5BF31218"/>
    <w:rsid w:val="5CCA7CCE"/>
    <w:rsid w:val="5CE7597F"/>
    <w:rsid w:val="5D1C3725"/>
    <w:rsid w:val="677A0A3F"/>
    <w:rsid w:val="6A4A34C7"/>
    <w:rsid w:val="6B9D4CFC"/>
    <w:rsid w:val="6BED334C"/>
    <w:rsid w:val="6F9F4C0B"/>
    <w:rsid w:val="74033B6B"/>
    <w:rsid w:val="74B56AF9"/>
    <w:rsid w:val="78FE4C4A"/>
    <w:rsid w:val="7DEF6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0"/>
    <w:uiPriority w:val="0"/>
    <w:pPr>
      <w:ind w:left="100" w:leftChars="25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List Paragraph"/>
    <w:basedOn w:val="1"/>
    <w:unhideWhenUsed/>
    <w:qFormat/>
    <w:uiPriority w:val="99"/>
    <w:pPr>
      <w:ind w:firstLine="420" w:firstLineChars="200"/>
    </w:pPr>
  </w:style>
  <w:style w:type="table" w:customStyle="1" w:styleId="9">
    <w:name w:val="Table Normal"/>
    <w:semiHidden/>
    <w:unhideWhenUsed/>
    <w:qFormat/>
    <w:uiPriority w:val="0"/>
    <w:tblPr>
      <w:tblCellMar>
        <w:top w:w="0" w:type="dxa"/>
        <w:left w:w="0" w:type="dxa"/>
        <w:bottom w:w="0" w:type="dxa"/>
        <w:right w:w="0" w:type="dxa"/>
      </w:tblCellMar>
    </w:tblPr>
  </w:style>
  <w:style w:type="character" w:customStyle="1" w:styleId="10">
    <w:name w:val="日期 字符"/>
    <w:basedOn w:val="7"/>
    <w:link w:val="3"/>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5813</Words>
  <Characters>6096</Characters>
  <Lines>155</Lines>
  <Paragraphs>104</Paragraphs>
  <TotalTime>1</TotalTime>
  <ScaleCrop>false</ScaleCrop>
  <LinksUpToDate>false</LinksUpToDate>
  <CharactersWithSpaces>6269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2025-06-25T13:43:00Z</dcterms:created>
  <dc:creator>欢喜璇</dc:creator>
  <cp:lastModifiedBy>资金财务部</cp:lastModifiedBy>
  <cp:lastPrinted>2025-06-19T08:47:00Z</cp:lastPrinted>
  <dcterms:modified xsi:type="dcterms:W3CDTF">2025-06-25T13:52:46Z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807A92904A17447E8BBE7E3A0F5A05F1_11</vt:lpwstr>
  </property>
  <property fmtid="{D5CDD505-2E9C-101B-9397-08002B2CF9AE}" pid="4" name="KSOTemplateDocerSaveRecord">
    <vt:lpwstr>eyJoZGlkIjoiYzVlMGI1ODNhOWMyOWQwMjZkZDg0ODkyNWM3ZmVkMWIiLCJ1c2VySWQiOiI0NDk3NDM2NzgifQ==</vt:lpwstr>
  </property>
</Properties>
</file>