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3CBD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北京华慧兰德信息技术服务有限公司管理人将于</w:t>
      </w:r>
      <w:r>
        <w:rPr>
          <w:rFonts w:hint="eastAsia" w:ascii="黑体" w:hAnsi="黑体" w:eastAsia="黑体" w:cs="黑体"/>
          <w:i w:val="0"/>
          <w:iCs w:val="0"/>
          <w:caps w:val="0"/>
          <w:color w:val="FF0000"/>
          <w:spacing w:val="0"/>
          <w:sz w:val="28"/>
          <w:szCs w:val="28"/>
          <w:shd w:val="clear" w:fill="FFFFFF"/>
        </w:rPr>
        <w:t>2025年0</w:t>
      </w:r>
      <w:r>
        <w:rPr>
          <w:rFonts w:hint="eastAsia" w:ascii="黑体" w:hAnsi="黑体" w:eastAsia="黑体" w:cs="黑体"/>
          <w:i w:val="0"/>
          <w:iCs w:val="0"/>
          <w:caps w:val="0"/>
          <w:color w:val="FF0000"/>
          <w:spacing w:val="0"/>
          <w:sz w:val="28"/>
          <w:szCs w:val="28"/>
          <w:shd w:val="clear" w:fill="FFFFFF"/>
          <w:lang w:val="en-US" w:eastAsia="zh-CN"/>
        </w:rPr>
        <w:t>7</w:t>
      </w:r>
      <w:r>
        <w:rPr>
          <w:rFonts w:hint="eastAsia" w:ascii="黑体" w:hAnsi="黑体" w:eastAsia="黑体" w:cs="黑体"/>
          <w:i w:val="0"/>
          <w:iCs w:val="0"/>
          <w:caps w:val="0"/>
          <w:color w:val="FF0000"/>
          <w:spacing w:val="0"/>
          <w:sz w:val="28"/>
          <w:szCs w:val="28"/>
          <w:shd w:val="clear" w:fill="FFFFFF"/>
        </w:rPr>
        <w:t>月</w:t>
      </w:r>
      <w:r>
        <w:rPr>
          <w:rFonts w:hint="eastAsia" w:ascii="黑体" w:hAnsi="黑体" w:eastAsia="黑体" w:cs="黑体"/>
          <w:i w:val="0"/>
          <w:iCs w:val="0"/>
          <w:caps w:val="0"/>
          <w:color w:val="FF0000"/>
          <w:spacing w:val="0"/>
          <w:sz w:val="28"/>
          <w:szCs w:val="28"/>
          <w:shd w:val="clear" w:fill="FFFFFF"/>
          <w:lang w:val="en-US" w:eastAsia="zh-CN"/>
        </w:rPr>
        <w:t>01</w:t>
      </w:r>
      <w:r>
        <w:rPr>
          <w:rFonts w:hint="eastAsia" w:ascii="黑体" w:hAnsi="黑体" w:eastAsia="黑体" w:cs="黑体"/>
          <w:i w:val="0"/>
          <w:iCs w:val="0"/>
          <w:caps w:val="0"/>
          <w:color w:val="FF0000"/>
          <w:spacing w:val="0"/>
          <w:sz w:val="28"/>
          <w:szCs w:val="28"/>
          <w:shd w:val="clear" w:fill="FFFFFF"/>
        </w:rPr>
        <w:t>日10时起至2025年0</w:t>
      </w:r>
      <w:r>
        <w:rPr>
          <w:rFonts w:hint="eastAsia" w:ascii="黑体" w:hAnsi="黑体" w:eastAsia="黑体" w:cs="黑体"/>
          <w:i w:val="0"/>
          <w:iCs w:val="0"/>
          <w:caps w:val="0"/>
          <w:color w:val="FF0000"/>
          <w:spacing w:val="0"/>
          <w:sz w:val="28"/>
          <w:szCs w:val="28"/>
          <w:shd w:val="clear" w:fill="FFFFFF"/>
          <w:lang w:val="en-US" w:eastAsia="zh-CN"/>
        </w:rPr>
        <w:t>7</w:t>
      </w:r>
      <w:r>
        <w:rPr>
          <w:rFonts w:hint="eastAsia" w:ascii="黑体" w:hAnsi="黑体" w:eastAsia="黑体" w:cs="黑体"/>
          <w:i w:val="0"/>
          <w:iCs w:val="0"/>
          <w:caps w:val="0"/>
          <w:color w:val="FF0000"/>
          <w:spacing w:val="0"/>
          <w:sz w:val="28"/>
          <w:szCs w:val="28"/>
          <w:shd w:val="clear" w:fill="FFFFFF"/>
        </w:rPr>
        <w:t>月</w:t>
      </w:r>
      <w:r>
        <w:rPr>
          <w:rFonts w:hint="eastAsia" w:ascii="黑体" w:hAnsi="黑体" w:eastAsia="黑体" w:cs="黑体"/>
          <w:i w:val="0"/>
          <w:iCs w:val="0"/>
          <w:caps w:val="0"/>
          <w:color w:val="FF0000"/>
          <w:spacing w:val="0"/>
          <w:sz w:val="28"/>
          <w:szCs w:val="28"/>
          <w:shd w:val="clear" w:fill="FFFFFF"/>
          <w:lang w:val="en-US" w:eastAsia="zh-CN"/>
        </w:rPr>
        <w:t>02</w:t>
      </w:r>
      <w:r>
        <w:rPr>
          <w:rFonts w:hint="eastAsia" w:ascii="黑体" w:hAnsi="黑体" w:eastAsia="黑体" w:cs="黑体"/>
          <w:i w:val="0"/>
          <w:iCs w:val="0"/>
          <w:caps w:val="0"/>
          <w:color w:val="FF0000"/>
          <w:spacing w:val="0"/>
          <w:sz w:val="28"/>
          <w:szCs w:val="28"/>
          <w:shd w:val="clear" w:fill="FFFFFF"/>
        </w:rPr>
        <w:t>日10时止（延时除外）</w:t>
      </w:r>
      <w:r>
        <w:rPr>
          <w:rFonts w:hint="eastAsia" w:ascii="黑体" w:hAnsi="黑体" w:eastAsia="黑体" w:cs="黑体"/>
          <w:i w:val="0"/>
          <w:iCs w:val="0"/>
          <w:caps w:val="0"/>
          <w:color w:val="000000"/>
          <w:spacing w:val="0"/>
          <w:sz w:val="28"/>
          <w:szCs w:val="28"/>
          <w:shd w:val="clear" w:fill="FFFFFF"/>
        </w:rPr>
        <w:t>在京东拍卖平台（处置单位：北京华慧兰德信息技术服务有限公司管理人，监督单位：北京市第一中级人民法院）进行公开</w:t>
      </w:r>
      <w:bookmarkStart w:id="0" w:name="_GoBack"/>
      <w:bookmarkEnd w:id="0"/>
      <w:r>
        <w:rPr>
          <w:rFonts w:hint="eastAsia" w:ascii="黑体" w:hAnsi="黑体" w:eastAsia="黑体" w:cs="黑体"/>
          <w:i w:val="0"/>
          <w:iCs w:val="0"/>
          <w:caps w:val="0"/>
          <w:color w:val="000000"/>
          <w:spacing w:val="0"/>
          <w:sz w:val="28"/>
          <w:szCs w:val="28"/>
          <w:shd w:val="clear" w:fill="FFFFFF"/>
        </w:rPr>
        <w:t>拍卖活动，现公告如下：</w:t>
      </w:r>
    </w:p>
    <w:p w14:paraId="55B121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7F74C7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一、重要提示</w:t>
      </w:r>
    </w:p>
    <w:p w14:paraId="5AE2AE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1、竞拍前请务必遵照《竞买公告》、《竞买须知》等要求，调查标的物信息、了解竞买资质、委托代理及尾款支付方式等内容。如违反相关约定，您的保证金可能会被划扣并产生其他法律责任，请理性参拍。</w:t>
      </w:r>
    </w:p>
    <w:p w14:paraId="5ACA1F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2、管理人对拍卖标的所作的说明和提供的审核资料等，仅供竞买人参考，不构成对拍卖标的的任何担保。所以请竞买人在参与竞买前必须自行审查拍卖标的，调查是否存在风险，认真研究查看所竞买标的的实际情况，未电话咨询的竞买人请在工商登记部门及相关平台系统网站查询核实，一经参拍，视为对标的物状况已知并认可。慎重决定竞买行为，竞买人一旦作出竞买决定，即表明已完全了解，并接受拍卖标的的现状和一切已知及未知的风险。</w:t>
      </w:r>
    </w:p>
    <w:p w14:paraId="32D391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76573F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二、拍卖标的：北京创世智城科技股份有限公司20%股权</w:t>
      </w:r>
    </w:p>
    <w:p w14:paraId="0CA634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起拍价：1元，保证金：1000元，增加幅度：100元及其整数倍</w:t>
      </w:r>
    </w:p>
    <w:p w14:paraId="7CBB05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23BE1B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shd w:val="clear" w:fill="FFFFFF"/>
        </w:rPr>
        <w:t>特别提醒：</w:t>
      </w:r>
    </w:p>
    <w:p w14:paraId="5E543A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shd w:val="clear" w:fill="FFFFFF"/>
        </w:rPr>
        <w:t>1、管理人郑重提醒各竞买人，股权价值与公司资产及经营情况等诸多因素相关，并存在一定的潜在风险。管理人不承诺和保证本次拍品的价值、股权是否出资到位等，企业目前登记状态：存续；投资公司的注册资本、认缴情况及相关情况仅作参考。</w:t>
      </w:r>
    </w:p>
    <w:p w14:paraId="0EC54C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shd w:val="clear" w:fill="FFFFFF"/>
        </w:rPr>
        <w:t>2、标的物按现状交付拍卖，管理人不承担本标的物瑕疵保证。除拍卖文件披露外，竞买人应对拍卖标的物的实际状况以及瑕疵（含显性、隐形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请竞买人慎重决定竞买行为。竞买人一旦作出竞买决定，则表明其已完全了解、并接受拍卖标的物的现状和一切已知及未知瑕疵。管理人及拍卖平台不承担拍卖标的物的瑕疵保证责任。</w:t>
      </w:r>
    </w:p>
    <w:p w14:paraId="163D74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shd w:val="clear" w:fill="FFFFFF"/>
        </w:rPr>
        <w:t>3、因拍卖标的物的现状及存在瑕疵等原因不能或者延迟办理股权转让手续造成的费用及风险由买受人自行承担，管理人不作转让过户的任何承诺，管理人协助买受人办理股权转让手续。</w:t>
      </w:r>
    </w:p>
    <w:p w14:paraId="686D07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shd w:val="clear" w:fill="FFFFFF"/>
        </w:rPr>
        <w:t>4、竞价成交时，成交价不包含交易服务费、转让时双方的一切税费，交易过程中及股权转让时所产生的转让双方的税、费由买受人承担。</w:t>
      </w:r>
    </w:p>
    <w:p w14:paraId="1EEF10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shd w:val="clear" w:fill="FFFFFF"/>
        </w:rPr>
        <w:t>5、本次拍卖的股权以工商登记部门登记的为准。竞买人缴纳保证金参与本次拍卖的，视为接受标的物现状及所有瑕疵，管理人不承担标的物涉及的风险及瑕疵保证，由标的物风险及瑕疵引起的一切责任由竞买人承担，标的物瑕疵及风险包括但不限于目标公司资产负债状况、经营状况、诉讼仲裁状况、财务资料是否保存完好、文件资料是否齐全、标的股权是否能够过户、相应股权是否出资等等风险。</w:t>
      </w:r>
    </w:p>
    <w:p w14:paraId="2325A0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三、咨询看样</w:t>
      </w:r>
    </w:p>
    <w:p w14:paraId="779014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咨询时间与方式：管理人已委托京道华硕（北京）企业管理有限公司协助办理咨询、预展事务，自公告之日起至</w:t>
      </w:r>
      <w:r>
        <w:rPr>
          <w:rFonts w:hint="eastAsia" w:ascii="黑体" w:hAnsi="黑体" w:eastAsia="黑体" w:cs="黑体"/>
          <w:i w:val="0"/>
          <w:iCs w:val="0"/>
          <w:caps w:val="0"/>
          <w:color w:val="FF0000"/>
          <w:spacing w:val="0"/>
          <w:sz w:val="28"/>
          <w:szCs w:val="28"/>
          <w:shd w:val="clear" w:fill="FFFFFF"/>
        </w:rPr>
        <w:t>2025年07月02日止（节假日除外）</w:t>
      </w:r>
      <w:r>
        <w:rPr>
          <w:rFonts w:hint="eastAsia" w:ascii="黑体" w:hAnsi="黑体" w:eastAsia="黑体" w:cs="黑体"/>
          <w:i w:val="0"/>
          <w:iCs w:val="0"/>
          <w:caps w:val="0"/>
          <w:color w:val="000000"/>
          <w:spacing w:val="0"/>
          <w:sz w:val="28"/>
          <w:szCs w:val="28"/>
          <w:shd w:val="clear" w:fill="FFFFFF"/>
        </w:rPr>
        <w:t>接受咨询，咨询电话：18612616130、15811180413，有意者可自行于工商登记部门及相关平台查询核实。</w:t>
      </w:r>
    </w:p>
    <w:p w14:paraId="67F719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6F450A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四、竞买人条件：</w:t>
      </w:r>
    </w:p>
    <w:p w14:paraId="00E7AD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1、凡具备完全民事行为能力的公民、法人和其他组织均可参加竞买，若不具备完全民事行为能力，则其代理人必须具备完全民事行为能力；法律、行政法规、司法解释对买受人资格或者条件有特殊规定的，竞买人应当具备规定的资格或者条件。因不符合条件参加竞买的，由竞买人自行承担相应的法律责任。</w:t>
      </w:r>
    </w:p>
    <w:p w14:paraId="071C0F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2、竞买人在竞拍前请务必自行确认是否能办理股权转让手续，相应股权转让手续请竞买人自行到有关部门咨询核实。一旦参加竞拍，即视为对本次拍卖标的的确认，如不符合条件参加竞拍，或者拍卖成交后不能办理股权转让的，买受人自行承担风险。</w:t>
      </w:r>
    </w:p>
    <w:p w14:paraId="05A1F0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3、竞买人可委托代理人（具备完全民事行为能力的自然人）进行，但须在竞买开始前与管理人沟通办理委托手续；竞买成功后，竞买人（法定代表人、其他组织的负责人）须与委托代理人一同到管理人处办理转让手续。如委托手续不全，竞买活动认定为委托代理人的个人行为。因不符合条件参加竞买的，由竞买人自行承担相应的法律责任。</w:t>
      </w:r>
    </w:p>
    <w:p w14:paraId="705B24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36179E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五、优先购买权人</w:t>
      </w:r>
    </w:p>
    <w:p w14:paraId="552006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1、优先购买权人参加竞买的，应于开拍前3个工作日向管理人提交合法有效的证明，资格经管理人确认后才能参与竞买，逾期不提交或未按京东拍卖平台系统规定缴纳保证金报名的，视为放弃对本拍卖标的享有的优先购买权。</w:t>
      </w:r>
    </w:p>
    <w:p w14:paraId="11FA44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2、优先购买权人参与竞买的，与其他竞买人以相同的价格出价，没有更高出价的，拍卖标的由优先购买权人竞得。</w:t>
      </w:r>
    </w:p>
    <w:p w14:paraId="10A1A6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3、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9B5A1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421C90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六、拍卖方式</w:t>
      </w:r>
    </w:p>
    <w:p w14:paraId="6F4B1A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本次拍卖至少一人报名且出价不低于起拍价，方可成交。无人报名或出价的，竞价会流拍。</w:t>
      </w:r>
    </w:p>
    <w:p w14:paraId="0E3B7F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650CE9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七、拍卖延时</w:t>
      </w:r>
    </w:p>
    <w:p w14:paraId="20DC40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本次拍卖活动设置延时出价功能，在拍卖活动结束前，每最后5分钟如果有竞买人出价，将自动延迟5分钟。</w:t>
      </w:r>
    </w:p>
    <w:p w14:paraId="015B3B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4E0DAF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八、税费及其他费用承担</w:t>
      </w:r>
    </w:p>
    <w:p w14:paraId="19CF44E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拍卖成交时，成交价不包含转让时双方的一切税、费</w:t>
      </w:r>
      <w:r>
        <w:rPr>
          <w:rFonts w:hint="eastAsia" w:ascii="黑体" w:hAnsi="黑体" w:eastAsia="黑体" w:cs="黑体"/>
          <w:i w:val="0"/>
          <w:iCs w:val="0"/>
          <w:caps w:val="0"/>
          <w:color w:val="FF0000"/>
          <w:spacing w:val="0"/>
          <w:sz w:val="28"/>
          <w:szCs w:val="28"/>
          <w:shd w:val="clear" w:fill="FFFFFF"/>
        </w:rPr>
        <w:t>（包括但不限于企业所得税、增值税等）</w:t>
      </w:r>
      <w:r>
        <w:rPr>
          <w:rFonts w:hint="eastAsia" w:ascii="黑体" w:hAnsi="黑体" w:eastAsia="黑体" w:cs="黑体"/>
          <w:i w:val="0"/>
          <w:iCs w:val="0"/>
          <w:caps w:val="0"/>
          <w:color w:val="000000"/>
          <w:spacing w:val="0"/>
          <w:sz w:val="28"/>
          <w:szCs w:val="28"/>
          <w:shd w:val="clear" w:fill="FFFFFF"/>
        </w:rPr>
        <w:t>；股权转让时所产生的转让双方的一切税、费均由买受人承担。上述一切税、费的具体金额由竞买人自行向相关主管部门咨询。拍卖标的所涉及的管理费等相关受法律保护的债务均由买受人承担。买受人在承担后不得据此主张竞价无效或向管理人、上拍机构索偿。</w:t>
      </w:r>
    </w:p>
    <w:p w14:paraId="0AA2D2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特别提示：本案存在成交价格的2%综合服务费及本案存在成交价格的0.5%技术服务费均由买受人承担。</w:t>
      </w:r>
    </w:p>
    <w:p w14:paraId="302A7E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602D00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九、保证金和余款支付</w:t>
      </w:r>
    </w:p>
    <w:p w14:paraId="1CA9A7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1、拍卖竞价前将通过京东拍卖平台系统在竞买人京东指定账户内锁定相应资金作为应缴的保证金，拍卖结束后未能竞得者锁定的保证金自动解锁，锁定期间不计利息。</w:t>
      </w:r>
    </w:p>
    <w:p w14:paraId="7CAC13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2、拍卖成交后，买受人交纳的保证金可以充抵价款，本拍卖标的买受人原锁定的保证金将在买受人支付技术服务费后24小时内自动转入管理人指定账户。</w:t>
      </w:r>
    </w:p>
    <w:p w14:paraId="0BEAF7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拍卖余款请在成交后</w:t>
      </w:r>
      <w:r>
        <w:rPr>
          <w:rFonts w:hint="eastAsia" w:ascii="黑体" w:hAnsi="黑体" w:eastAsia="黑体" w:cs="黑体"/>
          <w:i w:val="0"/>
          <w:iCs w:val="0"/>
          <w:caps w:val="0"/>
          <w:color w:val="FF0000"/>
          <w:spacing w:val="0"/>
          <w:sz w:val="28"/>
          <w:szCs w:val="28"/>
          <w:shd w:val="clear" w:fill="FFFFFF"/>
        </w:rPr>
        <w:t>5个工作日内</w:t>
      </w:r>
      <w:r>
        <w:rPr>
          <w:rFonts w:hint="eastAsia" w:ascii="黑体" w:hAnsi="黑体" w:eastAsia="黑体" w:cs="黑体"/>
          <w:i w:val="0"/>
          <w:iCs w:val="0"/>
          <w:caps w:val="0"/>
          <w:color w:val="000000"/>
          <w:spacing w:val="0"/>
          <w:sz w:val="28"/>
          <w:szCs w:val="28"/>
          <w:shd w:val="clear" w:fill="FFFFFF"/>
        </w:rPr>
        <w:t>汇款至管理人指定账户</w:t>
      </w:r>
      <w:r>
        <w:rPr>
          <w:rFonts w:hint="eastAsia" w:ascii="黑体" w:hAnsi="黑体" w:eastAsia="黑体" w:cs="黑体"/>
          <w:i w:val="0"/>
          <w:iCs w:val="0"/>
          <w:caps w:val="0"/>
          <w:color w:val="FF0000"/>
          <w:spacing w:val="0"/>
          <w:sz w:val="28"/>
          <w:szCs w:val="28"/>
          <w:shd w:val="clear" w:fill="FFFFFF"/>
        </w:rPr>
        <w:t>【户名：北京华慧兰德信息技术服务有限公司管理人，开户银行：华夏银行股份有限公司北京首体支行，账号：10271000001101251】</w:t>
      </w:r>
      <w:r>
        <w:rPr>
          <w:rFonts w:hint="eastAsia" w:ascii="黑体" w:hAnsi="黑体" w:eastAsia="黑体" w:cs="黑体"/>
          <w:i w:val="0"/>
          <w:iCs w:val="0"/>
          <w:caps w:val="0"/>
          <w:color w:val="000000"/>
          <w:spacing w:val="0"/>
          <w:sz w:val="28"/>
          <w:szCs w:val="28"/>
          <w:shd w:val="clear" w:fill="FFFFFF"/>
        </w:rPr>
        <w:t>。逾期则视为买受人悔拍，买受人交纳的保证金不予退还。</w:t>
      </w:r>
    </w:p>
    <w:p w14:paraId="4F6C4F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2%的综合服务费请在成交后</w:t>
      </w:r>
      <w:r>
        <w:rPr>
          <w:rFonts w:hint="eastAsia" w:ascii="黑体" w:hAnsi="黑体" w:eastAsia="黑体" w:cs="黑体"/>
          <w:i w:val="0"/>
          <w:iCs w:val="0"/>
          <w:caps w:val="0"/>
          <w:color w:val="FF0000"/>
          <w:spacing w:val="0"/>
          <w:sz w:val="28"/>
          <w:szCs w:val="28"/>
          <w:shd w:val="clear" w:fill="FFFFFF"/>
        </w:rPr>
        <w:t>5个工作日内</w:t>
      </w:r>
      <w:r>
        <w:rPr>
          <w:rFonts w:hint="eastAsia" w:ascii="黑体" w:hAnsi="黑体" w:eastAsia="黑体" w:cs="黑体"/>
          <w:i w:val="0"/>
          <w:iCs w:val="0"/>
          <w:caps w:val="0"/>
          <w:color w:val="000000"/>
          <w:spacing w:val="0"/>
          <w:sz w:val="28"/>
          <w:szCs w:val="28"/>
          <w:shd w:val="clear" w:fill="FFFFFF"/>
        </w:rPr>
        <w:t>汇款至京道华硕（北京）企业管理有限公司指定账户</w:t>
      </w:r>
      <w:r>
        <w:rPr>
          <w:rFonts w:hint="eastAsia" w:ascii="黑体" w:hAnsi="黑体" w:eastAsia="黑体" w:cs="黑体"/>
          <w:i w:val="0"/>
          <w:iCs w:val="0"/>
          <w:caps w:val="0"/>
          <w:color w:val="FF0000"/>
          <w:spacing w:val="0"/>
          <w:sz w:val="28"/>
          <w:szCs w:val="28"/>
          <w:shd w:val="clear" w:fill="FFFFFF"/>
        </w:rPr>
        <w:t>【户名：京道华硕（北京）企业管理有限公司，开户银行：中国工商银行股份有限公司北京海淀支行，账号：0200049609201452284】</w:t>
      </w:r>
      <w:r>
        <w:rPr>
          <w:rFonts w:hint="eastAsia" w:ascii="黑体" w:hAnsi="黑体" w:eastAsia="黑体" w:cs="黑体"/>
          <w:i w:val="0"/>
          <w:iCs w:val="0"/>
          <w:caps w:val="0"/>
          <w:color w:val="000000"/>
          <w:spacing w:val="0"/>
          <w:sz w:val="28"/>
          <w:szCs w:val="28"/>
          <w:shd w:val="clear" w:fill="FFFFFF"/>
        </w:rPr>
        <w:t>。买受人竞买成交后，京东拍卖平台出具0.5%的技术服务费订单，买受人依据该订单支付技术服务费。</w:t>
      </w:r>
    </w:p>
    <w:p w14:paraId="481176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3、拍卖成交后买受人悔拍的，交纳的保证金不予退还，计入破产财产。保证金数额不足以弥补拍卖费用损失以及重新拍卖价款低于原拍卖价款的差价的，管理人可向悔拍人追索。</w:t>
      </w:r>
    </w:p>
    <w:p w14:paraId="3842E5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6A18F7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十、拍品交付</w:t>
      </w:r>
    </w:p>
    <w:p w14:paraId="09BD01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1、买受人在交齐所有成交款后</w:t>
      </w:r>
      <w:r>
        <w:rPr>
          <w:rFonts w:hint="eastAsia" w:ascii="黑体" w:hAnsi="黑体" w:eastAsia="黑体" w:cs="黑体"/>
          <w:i w:val="0"/>
          <w:iCs w:val="0"/>
          <w:caps w:val="0"/>
          <w:color w:val="FF0000"/>
          <w:spacing w:val="0"/>
          <w:sz w:val="28"/>
          <w:szCs w:val="28"/>
          <w:shd w:val="clear" w:fill="FFFFFF"/>
        </w:rPr>
        <w:t>5个工作日内</w:t>
      </w:r>
      <w:r>
        <w:rPr>
          <w:rFonts w:hint="eastAsia" w:ascii="黑体" w:hAnsi="黑体" w:eastAsia="黑体" w:cs="黑体"/>
          <w:i w:val="0"/>
          <w:iCs w:val="0"/>
          <w:caps w:val="0"/>
          <w:color w:val="000000"/>
          <w:spacing w:val="0"/>
          <w:sz w:val="28"/>
          <w:szCs w:val="28"/>
          <w:shd w:val="clear" w:fill="FFFFFF"/>
        </w:rPr>
        <w:t>凭付款凭证及相关身份材料签署拍卖成交确认书。</w:t>
      </w:r>
    </w:p>
    <w:p w14:paraId="28A3AD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2、签署拍卖成交确认文件后，由管理人协助买受人到相关主管部门办理股权转让手续，如无特殊情况，人民法院不予出具裁定书和协助执行通知书。</w:t>
      </w:r>
    </w:p>
    <w:p w14:paraId="2712A1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21F9E1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十一、特别提醒：</w:t>
      </w:r>
    </w:p>
    <w:p w14:paraId="704953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1、有意者可亲自在相关网站了解股权情况，参与竞拍者均视为对工商登记部门及相关平台等相关部门核查结果已了解并确认，责任自负。竞买人决定参与竞买的，视为对拍卖标的完全了解，并同意接受拍卖标的一切已知和未知风险。</w:t>
      </w:r>
    </w:p>
    <w:p w14:paraId="3FE40A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2、与本拍卖标的有利害关系的人可参加竞拍，不参加竞拍的请关注本次拍卖活动的整个过程。</w:t>
      </w:r>
    </w:p>
    <w:p w14:paraId="74124D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3、在拍卖竞价前请务必再仔细阅读管理人发布的竞买公告及竞买须知。</w:t>
      </w:r>
    </w:p>
    <w:p w14:paraId="6F2347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4、本次拍卖系管理人参照《北京市高级人民法院关于破产程序中财产网络拍卖的实施办法（修订）》的相关规定，北京华慧兰德信息技术服务有限公司财产的处置行为，本拍卖公告未尽事宜，按照前述法律、实施办法的相关规定执行。</w:t>
      </w:r>
    </w:p>
    <w:p w14:paraId="22E8AB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7373D9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十二、咨询电话：18612616130；联系人：齐经理； </w:t>
      </w:r>
    </w:p>
    <w:p w14:paraId="004646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110" w:right="0" w:firstLine="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咨询电话：15811180413；联系人：王经理；     </w:t>
      </w:r>
    </w:p>
    <w:p w14:paraId="718606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京东拍卖平台技术咨询：400-622-9586</w:t>
      </w:r>
    </w:p>
    <w:p w14:paraId="4D91A3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本公告未尽事宜，请向管理人咨询。</w:t>
      </w:r>
    </w:p>
    <w:p w14:paraId="5F3301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 </w:t>
      </w:r>
    </w:p>
    <w:p w14:paraId="79EC04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righ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北京华慧兰德信息技术服务有限公司管理人</w:t>
      </w:r>
    </w:p>
    <w:p w14:paraId="2E9B78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110"/>
        <w:jc w:val="righ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shd w:val="clear" w:fill="FFFFFF"/>
        </w:rPr>
        <w:t>二〇二五年六月二十三日</w:t>
      </w:r>
    </w:p>
    <w:p w14:paraId="25260EFE">
      <w:pPr>
        <w:rPr>
          <w:rFonts w:hint="eastAsia" w:ascii="黑体" w:hAnsi="黑体" w:eastAsia="黑体" w:cs="黑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9516AE"/>
    <w:rsid w:val="55712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3229</Words>
  <Characters>3347</Characters>
  <Lines>0</Lines>
  <Paragraphs>0</Paragraphs>
  <TotalTime>0</TotalTime>
  <ScaleCrop>false</ScaleCrop>
  <LinksUpToDate>false</LinksUpToDate>
  <CharactersWithSpaces>3368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2025-06-24T02:46:00Z</dcterms:created>
  <dc:creator>81069</dc:creator>
  <cp:lastModifiedBy>11</cp:lastModifiedBy>
  <dcterms:modified xsi:type="dcterms:W3CDTF">2025-06-24T03:50:44Z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eyJoZGlkIjoiNWY1NmIyNGQ5MDA3NjZkMzU2MDRhMGY0YWRmMTA3NDAiLCJ1c2VySWQiOiI1MzMyNDQzMjAifQ==</vt:lpwstr>
  </property>
  <property fmtid="{D5CDD505-2E9C-101B-9397-08002B2CF9AE}" pid="4" name="ICV">
    <vt:lpwstr>5DDE81A0C12C4C3989DBC96FDBF936BD_13</vt:lpwstr>
  </property>
</Properties>
</file>