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110A0">
      <w:pPr>
        <w:jc w:val="center"/>
        <w:rPr>
          <w:rFonts w:hint="eastAsia" w:ascii="宋体" w:hAnsi="宋体" w:eastAsia="宋体" w:cs="宋体"/>
          <w:b/>
          <w:bCs/>
          <w:sz w:val="44"/>
          <w:szCs w:val="44"/>
        </w:rPr>
      </w:pPr>
      <w:bookmarkStart w:id="0" w:name="_GoBack"/>
      <w:bookmarkEnd w:id="0"/>
      <w:r>
        <w:rPr>
          <w:rFonts w:hint="eastAsia" w:ascii="宋体" w:hAnsi="宋体" w:eastAsia="宋体" w:cs="宋体"/>
          <w:b/>
          <w:bCs/>
          <w:sz w:val="44"/>
          <w:szCs w:val="44"/>
        </w:rPr>
        <w:t>瑞昌华盛房地产开发有限公司破产重整案</w:t>
      </w:r>
    </w:p>
    <w:p w14:paraId="565971C2">
      <w:pPr>
        <w:jc w:val="center"/>
        <w:rPr>
          <w:rFonts w:hint="eastAsia" w:ascii="华文楷体" w:hAnsi="华文楷体" w:eastAsia="华文楷体" w:cs="华文楷体"/>
          <w:b/>
          <w:bCs/>
          <w:sz w:val="28"/>
          <w:szCs w:val="28"/>
        </w:rPr>
      </w:pPr>
      <w:r>
        <w:rPr>
          <w:rFonts w:hint="eastAsia" w:ascii="宋体" w:hAnsi="宋体" w:eastAsia="宋体" w:cs="宋体"/>
          <w:b/>
          <w:bCs/>
          <w:sz w:val="44"/>
          <w:szCs w:val="44"/>
          <w:lang w:val="en-US" w:eastAsia="zh-CN"/>
        </w:rPr>
        <w:t>重整</w:t>
      </w:r>
      <w:r>
        <w:rPr>
          <w:rFonts w:hint="eastAsia" w:ascii="宋体" w:hAnsi="宋体" w:eastAsia="宋体" w:cs="宋体"/>
          <w:b/>
          <w:bCs/>
          <w:sz w:val="44"/>
          <w:szCs w:val="44"/>
        </w:rPr>
        <w:t>投资人</w:t>
      </w:r>
      <w:r>
        <w:rPr>
          <w:rFonts w:hint="eastAsia" w:ascii="宋体" w:hAnsi="宋体" w:eastAsia="宋体" w:cs="宋体"/>
          <w:b/>
          <w:bCs/>
          <w:sz w:val="44"/>
          <w:szCs w:val="44"/>
          <w:lang w:val="en-US" w:eastAsia="zh-CN"/>
        </w:rPr>
        <w:t>预</w:t>
      </w:r>
      <w:r>
        <w:rPr>
          <w:rFonts w:hint="eastAsia" w:ascii="宋体" w:hAnsi="宋体" w:eastAsia="宋体" w:cs="宋体"/>
          <w:b/>
          <w:bCs/>
          <w:sz w:val="44"/>
          <w:szCs w:val="44"/>
        </w:rPr>
        <w:t>招募公告</w:t>
      </w:r>
    </w:p>
    <w:p w14:paraId="4DE07028">
      <w:pPr>
        <w:bidi w:val="0"/>
        <w:rPr>
          <w:rFonts w:hint="eastAsia"/>
        </w:rPr>
      </w:pPr>
    </w:p>
    <w:p w14:paraId="7E94227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2025年1月26日，</w:t>
      </w:r>
      <w:r>
        <w:rPr>
          <w:rFonts w:hint="eastAsia" w:ascii="仿宋" w:hAnsi="仿宋" w:eastAsia="仿宋" w:cs="仿宋"/>
          <w:sz w:val="28"/>
          <w:szCs w:val="28"/>
          <w:lang w:val="en-US" w:eastAsia="zh-CN"/>
        </w:rPr>
        <w:t>江西省</w:t>
      </w:r>
      <w:r>
        <w:rPr>
          <w:rFonts w:hint="eastAsia" w:ascii="仿宋" w:hAnsi="仿宋" w:eastAsia="仿宋" w:cs="仿宋"/>
          <w:sz w:val="28"/>
          <w:szCs w:val="28"/>
        </w:rPr>
        <w:t>瑞昌市人民法院裁定受理瑞昌华盛房地产开发有限公司破产重整一案，并</w:t>
      </w:r>
      <w:r>
        <w:rPr>
          <w:rFonts w:hint="eastAsia" w:ascii="仿宋" w:hAnsi="仿宋" w:eastAsia="仿宋" w:cs="仿宋"/>
          <w:sz w:val="28"/>
          <w:szCs w:val="28"/>
          <w:lang w:val="en-US" w:eastAsia="zh-CN"/>
        </w:rPr>
        <w:t>于2025年4月21日</w:t>
      </w:r>
      <w:r>
        <w:rPr>
          <w:rFonts w:hint="eastAsia" w:ascii="仿宋" w:hAnsi="仿宋" w:eastAsia="仿宋" w:cs="仿宋"/>
          <w:sz w:val="28"/>
          <w:szCs w:val="28"/>
        </w:rPr>
        <w:t>指定江西公仁律师事务所担任瑞昌华盛房地产开发有限公司管理人（以下简称“管理人”）</w:t>
      </w:r>
      <w:r>
        <w:rPr>
          <w:rFonts w:hint="eastAsia" w:ascii="仿宋" w:hAnsi="仿宋" w:eastAsia="仿宋" w:cs="仿宋"/>
          <w:sz w:val="28"/>
          <w:szCs w:val="28"/>
          <w:lang w:eastAsia="zh-CN"/>
        </w:rPr>
        <w:t>。</w:t>
      </w:r>
    </w:p>
    <w:p w14:paraId="39527EE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为维护瑞昌华盛房地产开发有限公司</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以下简称“华盛公司”）</w:t>
      </w:r>
      <w:r>
        <w:rPr>
          <w:rFonts w:hint="eastAsia" w:ascii="仿宋" w:hAnsi="仿宋" w:eastAsia="仿宋" w:cs="仿宋"/>
          <w:sz w:val="28"/>
          <w:szCs w:val="28"/>
        </w:rPr>
        <w:t>资产价值，</w:t>
      </w:r>
      <w:r>
        <w:rPr>
          <w:rFonts w:hint="eastAsia" w:ascii="仿宋" w:hAnsi="仿宋" w:eastAsia="仿宋" w:cs="仿宋"/>
          <w:sz w:val="28"/>
          <w:szCs w:val="28"/>
          <w:lang w:val="en-US" w:eastAsia="zh-CN"/>
        </w:rPr>
        <w:t>优化资产结构</w:t>
      </w:r>
      <w:r>
        <w:rPr>
          <w:rFonts w:hint="eastAsia" w:ascii="仿宋" w:hAnsi="仿宋" w:eastAsia="仿宋" w:cs="仿宋"/>
          <w:sz w:val="28"/>
          <w:szCs w:val="28"/>
        </w:rPr>
        <w:t>，助力</w:t>
      </w:r>
      <w:r>
        <w:rPr>
          <w:rFonts w:hint="eastAsia" w:ascii="仿宋" w:hAnsi="仿宋" w:eastAsia="仿宋" w:cs="仿宋"/>
          <w:sz w:val="28"/>
          <w:szCs w:val="28"/>
          <w:lang w:val="en-US" w:eastAsia="zh-CN"/>
        </w:rPr>
        <w:t>华盛公司</w:t>
      </w:r>
      <w:r>
        <w:rPr>
          <w:rFonts w:hint="eastAsia" w:ascii="仿宋" w:hAnsi="仿宋" w:eastAsia="仿宋" w:cs="仿宋"/>
          <w:sz w:val="28"/>
          <w:szCs w:val="28"/>
        </w:rPr>
        <w:t>重整成功，</w:t>
      </w:r>
      <w:r>
        <w:rPr>
          <w:rFonts w:hint="eastAsia" w:ascii="仿宋" w:hAnsi="仿宋" w:eastAsia="仿宋" w:cs="仿宋"/>
          <w:sz w:val="28"/>
          <w:szCs w:val="28"/>
          <w:lang w:val="en-US" w:eastAsia="zh-CN"/>
        </w:rPr>
        <w:t>最大限度维护</w:t>
      </w:r>
      <w:r>
        <w:rPr>
          <w:rFonts w:hint="eastAsia" w:ascii="仿宋" w:hAnsi="仿宋" w:eastAsia="仿宋" w:cs="仿宋"/>
          <w:sz w:val="28"/>
          <w:szCs w:val="28"/>
        </w:rPr>
        <w:t>债权人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购房户</w:t>
      </w:r>
      <w:r>
        <w:rPr>
          <w:rFonts w:hint="eastAsia" w:ascii="仿宋" w:hAnsi="仿宋" w:eastAsia="仿宋" w:cs="仿宋"/>
          <w:sz w:val="28"/>
          <w:szCs w:val="28"/>
        </w:rPr>
        <w:t>的</w:t>
      </w:r>
      <w:r>
        <w:rPr>
          <w:rFonts w:hint="eastAsia" w:ascii="仿宋" w:hAnsi="仿宋" w:eastAsia="仿宋" w:cs="仿宋"/>
          <w:sz w:val="28"/>
          <w:szCs w:val="28"/>
          <w:lang w:val="en-US" w:eastAsia="zh-CN"/>
        </w:rPr>
        <w:t>合法权益</w:t>
      </w:r>
      <w:r>
        <w:rPr>
          <w:rFonts w:hint="eastAsia" w:ascii="仿宋" w:hAnsi="仿宋" w:eastAsia="仿宋" w:cs="仿宋"/>
          <w:sz w:val="28"/>
          <w:szCs w:val="28"/>
        </w:rPr>
        <w:t>，现管理人向社会公开预招募重整投资人，具体预招募事项公告如下</w:t>
      </w:r>
      <w:r>
        <w:rPr>
          <w:rFonts w:hint="eastAsia" w:ascii="仿宋" w:hAnsi="仿宋" w:eastAsia="仿宋" w:cs="仿宋"/>
          <w:sz w:val="28"/>
          <w:szCs w:val="28"/>
          <w:lang w:eastAsia="zh-CN"/>
        </w:rPr>
        <w:t>：</w:t>
      </w:r>
    </w:p>
    <w:p w14:paraId="7B88BAEC">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default" w:ascii="仿宋" w:hAnsi="仿宋" w:eastAsia="仿宋" w:cs="仿宋"/>
          <w:b/>
          <w:bCs/>
          <w:sz w:val="28"/>
          <w:szCs w:val="28"/>
          <w:lang w:val="en-US"/>
        </w:rPr>
      </w:pPr>
      <w:r>
        <w:rPr>
          <w:rFonts w:hint="eastAsia" w:ascii="仿宋" w:hAnsi="仿宋" w:eastAsia="仿宋" w:cs="仿宋"/>
          <w:b/>
          <w:bCs/>
          <w:sz w:val="28"/>
          <w:szCs w:val="28"/>
          <w:lang w:val="en-US" w:eastAsia="zh-CN"/>
        </w:rPr>
        <w:t>一、华盛公司概况</w:t>
      </w:r>
    </w:p>
    <w:p w14:paraId="5F21CD4C">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（一）工商登记信息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0"/>
        <w:gridCol w:w="6372"/>
      </w:tblGrid>
      <w:tr w14:paraId="75DA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tcPr>
          <w:p w14:paraId="2C27AB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名称</w:t>
            </w:r>
          </w:p>
        </w:tc>
        <w:tc>
          <w:tcPr>
            <w:tcW w:w="6372" w:type="dxa"/>
          </w:tcPr>
          <w:p w14:paraId="41A037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default" w:ascii="仿宋" w:hAnsi="仿宋" w:eastAsia="仿宋" w:cs="仿宋"/>
                <w:color w:val="auto"/>
                <w:sz w:val="24"/>
                <w:szCs w:val="24"/>
                <w:highlight w:val="none"/>
                <w:vertAlign w:val="baseline"/>
                <w:lang w:val="en-US" w:eastAsia="zh-CN"/>
              </w:rPr>
              <w:t>瑞昌华盛房地产开发有限公司</w:t>
            </w:r>
          </w:p>
        </w:tc>
      </w:tr>
      <w:tr w14:paraId="5020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tcPr>
          <w:p w14:paraId="0385C7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统一社会信用代码</w:t>
            </w:r>
          </w:p>
        </w:tc>
        <w:tc>
          <w:tcPr>
            <w:tcW w:w="6372" w:type="dxa"/>
          </w:tcPr>
          <w:p w14:paraId="6DF9FD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default" w:ascii="仿宋" w:hAnsi="仿宋" w:eastAsia="仿宋" w:cs="仿宋"/>
                <w:color w:val="auto"/>
                <w:sz w:val="24"/>
                <w:szCs w:val="24"/>
                <w:highlight w:val="none"/>
                <w:vertAlign w:val="baseline"/>
                <w:lang w:val="en-US" w:eastAsia="zh-CN"/>
              </w:rPr>
              <w:t>9136048159886016X5</w:t>
            </w:r>
          </w:p>
        </w:tc>
      </w:tr>
      <w:tr w14:paraId="0EA1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tcPr>
          <w:p w14:paraId="68F4CA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住所地</w:t>
            </w:r>
          </w:p>
        </w:tc>
        <w:tc>
          <w:tcPr>
            <w:tcW w:w="6372" w:type="dxa"/>
          </w:tcPr>
          <w:p w14:paraId="7DFC27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default" w:ascii="仿宋" w:hAnsi="仿宋" w:eastAsia="仿宋" w:cs="仿宋"/>
                <w:color w:val="auto"/>
                <w:sz w:val="24"/>
                <w:szCs w:val="24"/>
                <w:highlight w:val="none"/>
                <w:vertAlign w:val="baseline"/>
                <w:lang w:val="en-US" w:eastAsia="zh-CN"/>
              </w:rPr>
              <w:t>江西省九江市瑞昌市财富大厦2栋一层47-48号商铺</w:t>
            </w:r>
          </w:p>
        </w:tc>
      </w:tr>
      <w:tr w14:paraId="6707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tcPr>
          <w:p w14:paraId="6E991E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公司类型</w:t>
            </w:r>
          </w:p>
        </w:tc>
        <w:tc>
          <w:tcPr>
            <w:tcW w:w="6372" w:type="dxa"/>
          </w:tcPr>
          <w:p w14:paraId="103719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default" w:ascii="仿宋" w:hAnsi="仿宋" w:eastAsia="仿宋" w:cs="仿宋"/>
                <w:color w:val="auto"/>
                <w:sz w:val="24"/>
                <w:szCs w:val="24"/>
                <w:highlight w:val="none"/>
                <w:vertAlign w:val="baseline"/>
                <w:lang w:val="en-US" w:eastAsia="zh-CN"/>
              </w:rPr>
              <w:tab/>
            </w:r>
            <w:r>
              <w:rPr>
                <w:rFonts w:hint="default" w:ascii="仿宋" w:hAnsi="仿宋" w:eastAsia="仿宋" w:cs="仿宋"/>
                <w:color w:val="auto"/>
                <w:sz w:val="24"/>
                <w:szCs w:val="24"/>
                <w:highlight w:val="none"/>
                <w:vertAlign w:val="baseline"/>
                <w:lang w:val="en-US" w:eastAsia="zh-CN"/>
              </w:rPr>
              <w:t>有限责任公司（自然人投资或控股）</w:t>
            </w:r>
          </w:p>
        </w:tc>
      </w:tr>
      <w:tr w14:paraId="5343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tcPr>
          <w:p w14:paraId="116B12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法定代表人</w:t>
            </w:r>
          </w:p>
        </w:tc>
        <w:tc>
          <w:tcPr>
            <w:tcW w:w="6372" w:type="dxa"/>
          </w:tcPr>
          <w:p w14:paraId="41E3A9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吁利波</w:t>
            </w:r>
          </w:p>
        </w:tc>
      </w:tr>
      <w:tr w14:paraId="3257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tcPr>
          <w:p w14:paraId="605B93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注册资本</w:t>
            </w:r>
          </w:p>
        </w:tc>
        <w:tc>
          <w:tcPr>
            <w:tcW w:w="6372" w:type="dxa"/>
          </w:tcPr>
          <w:p w14:paraId="1AA950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default" w:ascii="仿宋" w:hAnsi="仿宋" w:eastAsia="仿宋" w:cs="仿宋"/>
                <w:color w:val="auto"/>
                <w:sz w:val="24"/>
                <w:szCs w:val="24"/>
                <w:highlight w:val="none"/>
                <w:vertAlign w:val="baseline"/>
                <w:lang w:val="en-US" w:eastAsia="zh-CN"/>
              </w:rPr>
              <w:tab/>
            </w:r>
            <w:r>
              <w:rPr>
                <w:rFonts w:hint="eastAsia" w:ascii="仿宋" w:hAnsi="仿宋" w:eastAsia="仿宋" w:cs="仿宋"/>
                <w:color w:val="auto"/>
                <w:sz w:val="24"/>
                <w:szCs w:val="24"/>
                <w:highlight w:val="none"/>
                <w:vertAlign w:val="baseline"/>
                <w:lang w:val="en-US" w:eastAsia="zh-CN"/>
              </w:rPr>
              <w:t>2000</w:t>
            </w:r>
            <w:r>
              <w:rPr>
                <w:rFonts w:hint="default" w:ascii="仿宋" w:hAnsi="仿宋" w:eastAsia="仿宋" w:cs="仿宋"/>
                <w:color w:val="auto"/>
                <w:sz w:val="24"/>
                <w:szCs w:val="24"/>
                <w:highlight w:val="none"/>
                <w:vertAlign w:val="baseline"/>
                <w:lang w:val="en-US" w:eastAsia="zh-CN"/>
              </w:rPr>
              <w:t>万元人民币</w:t>
            </w:r>
          </w:p>
        </w:tc>
      </w:tr>
      <w:tr w14:paraId="797F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50" w:type="dxa"/>
          </w:tcPr>
          <w:p w14:paraId="0E6561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成立日期</w:t>
            </w:r>
          </w:p>
        </w:tc>
        <w:tc>
          <w:tcPr>
            <w:tcW w:w="6372" w:type="dxa"/>
          </w:tcPr>
          <w:p w14:paraId="3BB128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default" w:ascii="仿宋" w:hAnsi="仿宋" w:eastAsia="仿宋" w:cs="仿宋"/>
                <w:color w:val="auto"/>
                <w:sz w:val="24"/>
                <w:szCs w:val="24"/>
                <w:highlight w:val="none"/>
                <w:vertAlign w:val="baseline"/>
                <w:lang w:val="en-US" w:eastAsia="zh-CN"/>
              </w:rPr>
              <w:t>20</w:t>
            </w:r>
            <w:r>
              <w:rPr>
                <w:rFonts w:hint="eastAsia" w:ascii="仿宋" w:hAnsi="仿宋" w:eastAsia="仿宋" w:cs="仿宋"/>
                <w:color w:val="auto"/>
                <w:sz w:val="24"/>
                <w:szCs w:val="24"/>
                <w:highlight w:val="none"/>
                <w:vertAlign w:val="baseline"/>
                <w:lang w:val="en-US" w:eastAsia="zh-CN"/>
              </w:rPr>
              <w:t>12</w:t>
            </w:r>
            <w:r>
              <w:rPr>
                <w:rFonts w:hint="default" w:ascii="仿宋" w:hAnsi="仿宋" w:eastAsia="仿宋" w:cs="仿宋"/>
                <w:color w:val="auto"/>
                <w:sz w:val="24"/>
                <w:szCs w:val="24"/>
                <w:highlight w:val="none"/>
                <w:vertAlign w:val="baseline"/>
                <w:lang w:val="en-US" w:eastAsia="zh-CN"/>
              </w:rPr>
              <w:t>年</w:t>
            </w:r>
            <w:r>
              <w:rPr>
                <w:rFonts w:hint="eastAsia" w:ascii="仿宋" w:hAnsi="仿宋" w:eastAsia="仿宋" w:cs="仿宋"/>
                <w:color w:val="auto"/>
                <w:sz w:val="24"/>
                <w:szCs w:val="24"/>
                <w:highlight w:val="none"/>
                <w:vertAlign w:val="baseline"/>
                <w:lang w:val="en-US" w:eastAsia="zh-CN"/>
              </w:rPr>
              <w:t>6</w:t>
            </w:r>
            <w:r>
              <w:rPr>
                <w:rFonts w:hint="default" w:ascii="仿宋" w:hAnsi="仿宋" w:eastAsia="仿宋" w:cs="仿宋"/>
                <w:color w:val="auto"/>
                <w:sz w:val="24"/>
                <w:szCs w:val="24"/>
                <w:highlight w:val="none"/>
                <w:vertAlign w:val="baseline"/>
                <w:lang w:val="en-US" w:eastAsia="zh-CN"/>
              </w:rPr>
              <w:t>月</w:t>
            </w:r>
            <w:r>
              <w:rPr>
                <w:rFonts w:hint="eastAsia" w:ascii="仿宋" w:hAnsi="仿宋" w:eastAsia="仿宋" w:cs="仿宋"/>
                <w:color w:val="auto"/>
                <w:sz w:val="24"/>
                <w:szCs w:val="24"/>
                <w:highlight w:val="none"/>
                <w:vertAlign w:val="baseline"/>
                <w:lang w:val="en-US" w:eastAsia="zh-CN"/>
              </w:rPr>
              <w:t>29</w:t>
            </w:r>
            <w:r>
              <w:rPr>
                <w:rFonts w:hint="default" w:ascii="仿宋" w:hAnsi="仿宋" w:eastAsia="仿宋" w:cs="仿宋"/>
                <w:color w:val="auto"/>
                <w:sz w:val="24"/>
                <w:szCs w:val="24"/>
                <w:highlight w:val="none"/>
                <w:vertAlign w:val="baseline"/>
                <w:lang w:val="en-US" w:eastAsia="zh-CN"/>
              </w:rPr>
              <w:t>日</w:t>
            </w:r>
          </w:p>
        </w:tc>
      </w:tr>
      <w:tr w14:paraId="2D13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2150" w:type="dxa"/>
            <w:vAlign w:val="center"/>
          </w:tcPr>
          <w:p w14:paraId="780209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b/>
                <w:bCs/>
                <w:color w:val="auto"/>
                <w:sz w:val="24"/>
                <w:szCs w:val="24"/>
                <w:highlight w:val="none"/>
                <w:vertAlign w:val="baseline"/>
                <w:lang w:val="en-US" w:eastAsia="zh-CN"/>
              </w:rPr>
            </w:pPr>
          </w:p>
          <w:p w14:paraId="46D926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经营范围</w:t>
            </w:r>
          </w:p>
        </w:tc>
        <w:tc>
          <w:tcPr>
            <w:tcW w:w="6372" w:type="dxa"/>
            <w:vAlign w:val="center"/>
          </w:tcPr>
          <w:p w14:paraId="04EDDB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仿宋" w:hAnsi="仿宋" w:eastAsia="仿宋" w:cs="仿宋"/>
                <w:color w:val="auto"/>
                <w:sz w:val="24"/>
                <w:szCs w:val="24"/>
                <w:highlight w:val="none"/>
                <w:vertAlign w:val="baseline"/>
                <w:lang w:val="en-US" w:eastAsia="zh-CN"/>
              </w:rPr>
            </w:pPr>
            <w:r>
              <w:rPr>
                <w:rFonts w:hint="default" w:ascii="仿宋" w:hAnsi="仿宋" w:eastAsia="仿宋" w:cs="仿宋"/>
                <w:color w:val="auto"/>
                <w:sz w:val="24"/>
                <w:szCs w:val="24"/>
                <w:highlight w:val="none"/>
                <w:vertAlign w:val="baseline"/>
                <w:lang w:val="en-US" w:eastAsia="zh-CN"/>
              </w:rPr>
              <w:t>房地产开发经营（依法须经批准的项目，经相关部门批准后方可开展经营活动）</w:t>
            </w:r>
          </w:p>
        </w:tc>
      </w:tr>
    </w:tbl>
    <w:p w14:paraId="18FEF6A4">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仿宋" w:hAnsi="仿宋" w:eastAsia="仿宋" w:cs="仿宋"/>
          <w:b/>
          <w:bCs/>
          <w:color w:val="auto"/>
          <w:sz w:val="28"/>
          <w:szCs w:val="36"/>
          <w:highlight w:val="none"/>
          <w:lang w:val="en-US" w:eastAsia="zh-CN"/>
        </w:rPr>
      </w:pPr>
      <w:r>
        <w:rPr>
          <w:rFonts w:hint="eastAsia" w:ascii="仿宋" w:hAnsi="仿宋" w:eastAsia="仿宋" w:cs="仿宋"/>
          <w:b/>
          <w:bCs/>
          <w:color w:val="auto"/>
          <w:sz w:val="28"/>
          <w:szCs w:val="36"/>
          <w:highlight w:val="none"/>
          <w:lang w:val="en-US" w:eastAsia="zh-CN"/>
        </w:rPr>
        <w:t>（二）股权结构信息</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2139"/>
        <w:gridCol w:w="1480"/>
        <w:gridCol w:w="1930"/>
        <w:gridCol w:w="2196"/>
      </w:tblGrid>
      <w:tr w14:paraId="52D6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14:paraId="48BBC7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b/>
                <w:bCs/>
                <w:color w:val="auto"/>
                <w:sz w:val="24"/>
                <w:szCs w:val="32"/>
                <w:highlight w:val="none"/>
                <w:vertAlign w:val="baseline"/>
                <w:lang w:val="en-US" w:eastAsia="zh-CN"/>
              </w:rPr>
            </w:pPr>
            <w:r>
              <w:rPr>
                <w:rFonts w:hint="eastAsia" w:ascii="仿宋" w:hAnsi="仿宋" w:eastAsia="仿宋" w:cs="仿宋"/>
                <w:b/>
                <w:bCs/>
                <w:color w:val="auto"/>
                <w:sz w:val="24"/>
                <w:szCs w:val="32"/>
                <w:highlight w:val="none"/>
                <w:vertAlign w:val="baseline"/>
                <w:lang w:val="en-US" w:eastAsia="zh-CN"/>
              </w:rPr>
              <w:t>序号</w:t>
            </w:r>
          </w:p>
        </w:tc>
        <w:tc>
          <w:tcPr>
            <w:tcW w:w="2139" w:type="dxa"/>
          </w:tcPr>
          <w:p w14:paraId="0F0F5B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b/>
                <w:bCs/>
                <w:color w:val="auto"/>
                <w:sz w:val="24"/>
                <w:szCs w:val="32"/>
                <w:highlight w:val="none"/>
                <w:vertAlign w:val="baseline"/>
                <w:lang w:val="en-US" w:eastAsia="zh-CN"/>
              </w:rPr>
            </w:pPr>
            <w:r>
              <w:rPr>
                <w:rFonts w:hint="eastAsia" w:ascii="仿宋" w:hAnsi="仿宋" w:eastAsia="仿宋" w:cs="仿宋"/>
                <w:b/>
                <w:bCs/>
                <w:color w:val="auto"/>
                <w:sz w:val="24"/>
                <w:szCs w:val="32"/>
                <w:highlight w:val="none"/>
                <w:vertAlign w:val="baseline"/>
                <w:lang w:val="en-US" w:eastAsia="zh-CN"/>
              </w:rPr>
              <w:t>股东</w:t>
            </w:r>
          </w:p>
        </w:tc>
        <w:tc>
          <w:tcPr>
            <w:tcW w:w="1480" w:type="dxa"/>
          </w:tcPr>
          <w:p w14:paraId="1BABCE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b/>
                <w:bCs/>
                <w:color w:val="auto"/>
                <w:sz w:val="24"/>
                <w:szCs w:val="32"/>
                <w:highlight w:val="none"/>
                <w:vertAlign w:val="baseline"/>
                <w:lang w:val="en-US" w:eastAsia="zh-CN"/>
              </w:rPr>
            </w:pPr>
            <w:r>
              <w:rPr>
                <w:rFonts w:hint="eastAsia" w:ascii="仿宋" w:hAnsi="仿宋" w:eastAsia="仿宋" w:cs="仿宋"/>
                <w:b/>
                <w:bCs/>
                <w:color w:val="auto"/>
                <w:sz w:val="24"/>
                <w:szCs w:val="32"/>
                <w:highlight w:val="none"/>
                <w:vertAlign w:val="baseline"/>
                <w:lang w:val="en-US" w:eastAsia="zh-CN"/>
              </w:rPr>
              <w:t>持股比例</w:t>
            </w:r>
          </w:p>
        </w:tc>
        <w:tc>
          <w:tcPr>
            <w:tcW w:w="1930" w:type="dxa"/>
          </w:tcPr>
          <w:p w14:paraId="247D3D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b/>
                <w:bCs/>
                <w:color w:val="auto"/>
                <w:sz w:val="24"/>
                <w:szCs w:val="32"/>
                <w:highlight w:val="none"/>
                <w:vertAlign w:val="baseline"/>
                <w:lang w:val="en-US" w:eastAsia="zh-CN"/>
              </w:rPr>
            </w:pPr>
            <w:r>
              <w:rPr>
                <w:rFonts w:hint="eastAsia" w:ascii="仿宋" w:hAnsi="仿宋" w:eastAsia="仿宋" w:cs="仿宋"/>
                <w:b/>
                <w:bCs/>
                <w:color w:val="auto"/>
                <w:sz w:val="24"/>
                <w:szCs w:val="32"/>
                <w:highlight w:val="none"/>
                <w:vertAlign w:val="baseline"/>
                <w:lang w:val="en-US" w:eastAsia="zh-CN"/>
              </w:rPr>
              <w:t>认缴出资额</w:t>
            </w:r>
          </w:p>
        </w:tc>
        <w:tc>
          <w:tcPr>
            <w:tcW w:w="2196" w:type="dxa"/>
          </w:tcPr>
          <w:p w14:paraId="2A7F03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b/>
                <w:bCs/>
                <w:color w:val="auto"/>
                <w:sz w:val="24"/>
                <w:szCs w:val="32"/>
                <w:highlight w:val="none"/>
                <w:vertAlign w:val="baseline"/>
                <w:lang w:val="en-US" w:eastAsia="zh-CN"/>
              </w:rPr>
            </w:pPr>
            <w:r>
              <w:rPr>
                <w:rFonts w:hint="eastAsia" w:ascii="仿宋" w:hAnsi="仿宋" w:eastAsia="仿宋" w:cs="仿宋"/>
                <w:b/>
                <w:bCs/>
                <w:color w:val="auto"/>
                <w:sz w:val="24"/>
                <w:szCs w:val="32"/>
                <w:highlight w:val="none"/>
                <w:vertAlign w:val="baseline"/>
                <w:lang w:val="en-US" w:eastAsia="zh-CN"/>
              </w:rPr>
              <w:t>认缴出资日期</w:t>
            </w:r>
          </w:p>
        </w:tc>
      </w:tr>
      <w:tr w14:paraId="1BCF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7" w:type="dxa"/>
            <w:vAlign w:val="center"/>
          </w:tcPr>
          <w:p w14:paraId="390F48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2139" w:type="dxa"/>
            <w:vAlign w:val="center"/>
          </w:tcPr>
          <w:p w14:paraId="2974DB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杨官印</w:t>
            </w:r>
          </w:p>
        </w:tc>
        <w:tc>
          <w:tcPr>
            <w:tcW w:w="1480" w:type="dxa"/>
            <w:vAlign w:val="center"/>
          </w:tcPr>
          <w:p w14:paraId="78275F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70</w:t>
            </w:r>
            <w:r>
              <w:rPr>
                <w:rFonts w:hint="default" w:ascii="仿宋" w:hAnsi="仿宋" w:eastAsia="仿宋" w:cs="仿宋"/>
                <w:color w:val="auto"/>
                <w:sz w:val="24"/>
                <w:szCs w:val="24"/>
                <w:highlight w:val="none"/>
                <w:vertAlign w:val="baseline"/>
                <w:lang w:val="en-US" w:eastAsia="zh-CN"/>
              </w:rPr>
              <w:t>%</w:t>
            </w:r>
          </w:p>
        </w:tc>
        <w:tc>
          <w:tcPr>
            <w:tcW w:w="1930" w:type="dxa"/>
            <w:vAlign w:val="center"/>
          </w:tcPr>
          <w:p w14:paraId="773BFC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1400万元</w:t>
            </w:r>
          </w:p>
        </w:tc>
        <w:tc>
          <w:tcPr>
            <w:tcW w:w="2196" w:type="dxa"/>
            <w:vAlign w:val="center"/>
          </w:tcPr>
          <w:p w14:paraId="3F142A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default" w:ascii="仿宋" w:hAnsi="仿宋" w:eastAsia="仿宋" w:cs="仿宋"/>
                <w:color w:val="auto"/>
                <w:sz w:val="24"/>
                <w:szCs w:val="24"/>
                <w:highlight w:val="none"/>
                <w:vertAlign w:val="baseline"/>
                <w:lang w:val="en-US" w:eastAsia="zh-CN"/>
              </w:rPr>
              <w:t>201</w:t>
            </w:r>
            <w:r>
              <w:rPr>
                <w:rFonts w:hint="eastAsia" w:ascii="仿宋" w:hAnsi="仿宋" w:eastAsia="仿宋" w:cs="仿宋"/>
                <w:color w:val="auto"/>
                <w:sz w:val="24"/>
                <w:szCs w:val="24"/>
                <w:highlight w:val="none"/>
                <w:vertAlign w:val="baseline"/>
                <w:lang w:val="en-US" w:eastAsia="zh-CN"/>
              </w:rPr>
              <w:t>5</w:t>
            </w:r>
            <w:r>
              <w:rPr>
                <w:rFonts w:hint="default" w:ascii="仿宋" w:hAnsi="仿宋" w:eastAsia="仿宋" w:cs="仿宋"/>
                <w:color w:val="auto"/>
                <w:sz w:val="24"/>
                <w:szCs w:val="24"/>
                <w:highlight w:val="none"/>
                <w:vertAlign w:val="baseline"/>
                <w:lang w:val="en-US" w:eastAsia="zh-CN"/>
              </w:rPr>
              <w:t>年</w:t>
            </w:r>
            <w:r>
              <w:rPr>
                <w:rFonts w:hint="eastAsia" w:ascii="仿宋" w:hAnsi="仿宋" w:eastAsia="仿宋" w:cs="仿宋"/>
                <w:color w:val="auto"/>
                <w:sz w:val="24"/>
                <w:szCs w:val="24"/>
                <w:highlight w:val="none"/>
                <w:vertAlign w:val="baseline"/>
                <w:lang w:val="en-US" w:eastAsia="zh-CN"/>
              </w:rPr>
              <w:t>1</w:t>
            </w:r>
            <w:r>
              <w:rPr>
                <w:rFonts w:hint="default" w:ascii="仿宋" w:hAnsi="仿宋" w:eastAsia="仿宋" w:cs="仿宋"/>
                <w:color w:val="auto"/>
                <w:sz w:val="24"/>
                <w:szCs w:val="24"/>
                <w:highlight w:val="none"/>
                <w:vertAlign w:val="baseline"/>
                <w:lang w:val="en-US" w:eastAsia="zh-CN"/>
              </w:rPr>
              <w:t>月</w:t>
            </w:r>
            <w:r>
              <w:rPr>
                <w:rFonts w:hint="eastAsia" w:ascii="仿宋" w:hAnsi="仿宋" w:eastAsia="仿宋" w:cs="仿宋"/>
                <w:color w:val="auto"/>
                <w:sz w:val="24"/>
                <w:szCs w:val="24"/>
                <w:highlight w:val="none"/>
                <w:vertAlign w:val="baseline"/>
                <w:lang w:val="en-US" w:eastAsia="zh-CN"/>
              </w:rPr>
              <w:t>29</w:t>
            </w:r>
            <w:r>
              <w:rPr>
                <w:rFonts w:hint="default" w:ascii="仿宋" w:hAnsi="仿宋" w:eastAsia="仿宋" w:cs="仿宋"/>
                <w:color w:val="auto"/>
                <w:sz w:val="24"/>
                <w:szCs w:val="24"/>
                <w:highlight w:val="none"/>
                <w:vertAlign w:val="baseline"/>
                <w:lang w:val="en-US" w:eastAsia="zh-CN"/>
              </w:rPr>
              <w:t>日</w:t>
            </w:r>
          </w:p>
        </w:tc>
      </w:tr>
      <w:tr w14:paraId="0AF3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7" w:type="dxa"/>
            <w:vAlign w:val="center"/>
          </w:tcPr>
          <w:p w14:paraId="3C8659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2139" w:type="dxa"/>
            <w:vAlign w:val="center"/>
          </w:tcPr>
          <w:p w14:paraId="4B239E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吁利波</w:t>
            </w:r>
          </w:p>
        </w:tc>
        <w:tc>
          <w:tcPr>
            <w:tcW w:w="1480" w:type="dxa"/>
            <w:vAlign w:val="center"/>
          </w:tcPr>
          <w:p w14:paraId="468B41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w:t>
            </w:r>
            <w:r>
              <w:rPr>
                <w:rFonts w:hint="default" w:ascii="仿宋" w:hAnsi="仿宋" w:eastAsia="仿宋" w:cs="仿宋"/>
                <w:color w:val="auto"/>
                <w:sz w:val="24"/>
                <w:szCs w:val="24"/>
                <w:highlight w:val="none"/>
                <w:vertAlign w:val="baseline"/>
                <w:lang w:val="en-US" w:eastAsia="zh-CN"/>
              </w:rPr>
              <w:t>%</w:t>
            </w:r>
          </w:p>
        </w:tc>
        <w:tc>
          <w:tcPr>
            <w:tcW w:w="1930" w:type="dxa"/>
            <w:vAlign w:val="center"/>
          </w:tcPr>
          <w:p w14:paraId="39836C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600</w:t>
            </w:r>
            <w:r>
              <w:rPr>
                <w:rFonts w:hint="default" w:ascii="仿宋" w:hAnsi="仿宋" w:eastAsia="仿宋" w:cs="仿宋"/>
                <w:color w:val="auto"/>
                <w:sz w:val="24"/>
                <w:szCs w:val="24"/>
                <w:highlight w:val="none"/>
                <w:vertAlign w:val="baseline"/>
                <w:lang w:val="en-US" w:eastAsia="zh-CN"/>
              </w:rPr>
              <w:t>万元</w:t>
            </w:r>
          </w:p>
        </w:tc>
        <w:tc>
          <w:tcPr>
            <w:tcW w:w="2196" w:type="dxa"/>
            <w:vAlign w:val="center"/>
          </w:tcPr>
          <w:p w14:paraId="3F9424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default" w:ascii="仿宋" w:hAnsi="仿宋" w:eastAsia="仿宋" w:cs="仿宋"/>
                <w:color w:val="auto"/>
                <w:sz w:val="24"/>
                <w:szCs w:val="24"/>
                <w:highlight w:val="none"/>
                <w:vertAlign w:val="baseline"/>
                <w:lang w:val="en-US" w:eastAsia="zh-CN"/>
              </w:rPr>
              <w:t>20</w:t>
            </w:r>
            <w:r>
              <w:rPr>
                <w:rFonts w:hint="eastAsia" w:ascii="仿宋" w:hAnsi="仿宋" w:eastAsia="仿宋" w:cs="仿宋"/>
                <w:color w:val="auto"/>
                <w:sz w:val="24"/>
                <w:szCs w:val="24"/>
                <w:highlight w:val="none"/>
                <w:vertAlign w:val="baseline"/>
                <w:lang w:val="en-US" w:eastAsia="zh-CN"/>
              </w:rPr>
              <w:t>14年</w:t>
            </w:r>
            <w:r>
              <w:rPr>
                <w:rFonts w:hint="default" w:ascii="仿宋" w:hAnsi="仿宋" w:eastAsia="仿宋" w:cs="仿宋"/>
                <w:color w:val="auto"/>
                <w:sz w:val="24"/>
                <w:szCs w:val="24"/>
                <w:highlight w:val="none"/>
                <w:vertAlign w:val="baseline"/>
                <w:lang w:val="en-US" w:eastAsia="zh-CN"/>
              </w:rPr>
              <w:t>12</w:t>
            </w:r>
            <w:r>
              <w:rPr>
                <w:rFonts w:hint="eastAsia" w:ascii="仿宋" w:hAnsi="仿宋" w:eastAsia="仿宋" w:cs="仿宋"/>
                <w:color w:val="auto"/>
                <w:sz w:val="24"/>
                <w:szCs w:val="24"/>
                <w:highlight w:val="none"/>
                <w:vertAlign w:val="baseline"/>
                <w:lang w:val="en-US" w:eastAsia="zh-CN"/>
              </w:rPr>
              <w:t>月22日</w:t>
            </w:r>
          </w:p>
        </w:tc>
      </w:tr>
    </w:tbl>
    <w:p w14:paraId="0F97F25A">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二、开发项目</w:t>
      </w:r>
      <w:r>
        <w:rPr>
          <w:rFonts w:hint="eastAsia" w:ascii="仿宋" w:hAnsi="仿宋" w:eastAsia="仿宋" w:cs="仿宋"/>
          <w:b/>
          <w:bCs/>
          <w:sz w:val="28"/>
          <w:szCs w:val="28"/>
          <w:lang w:val="en-US" w:eastAsia="zh-CN"/>
        </w:rPr>
        <w:t>建设及资产</w:t>
      </w:r>
      <w:r>
        <w:rPr>
          <w:rFonts w:hint="eastAsia" w:ascii="仿宋" w:hAnsi="仿宋" w:eastAsia="仿宋" w:cs="仿宋"/>
          <w:b/>
          <w:bCs/>
          <w:sz w:val="28"/>
          <w:szCs w:val="28"/>
        </w:rPr>
        <w:t>情况</w:t>
      </w:r>
    </w:p>
    <w:p w14:paraId="6837D8CD">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一）项目建设情况</w:t>
      </w:r>
    </w:p>
    <w:p w14:paraId="0825717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2013年6月17日，华盛公司竞得</w:t>
      </w:r>
      <w:r>
        <w:rPr>
          <w:rFonts w:hint="eastAsia" w:ascii="仿宋" w:hAnsi="仿宋" w:eastAsia="仿宋" w:cs="仿宋"/>
          <w:sz w:val="28"/>
          <w:szCs w:val="28"/>
          <w:lang w:val="en-US" w:eastAsia="zh-CN"/>
        </w:rPr>
        <w:t>瑞昌市</w:t>
      </w:r>
      <w:r>
        <w:rPr>
          <w:rFonts w:hint="eastAsia" w:ascii="仿宋" w:hAnsi="仿宋" w:eastAsia="仿宋" w:cs="仿宋"/>
          <w:sz w:val="28"/>
          <w:szCs w:val="28"/>
          <w:lang w:eastAsia="zh-CN"/>
        </w:rPr>
        <w:t>公园路南侧、洋鸡山路东侧地块(宗地编号：DGO2013017),面积48966.70平方米的国有土地使用权，使用年期为40年。后在该地块上开发建设“汇融</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财富大厦”项目（</w:t>
      </w:r>
      <w:r>
        <w:rPr>
          <w:rFonts w:hint="eastAsia" w:ascii="仿宋" w:hAnsi="仿宋" w:eastAsia="仿宋" w:cs="仿宋"/>
          <w:sz w:val="28"/>
          <w:szCs w:val="28"/>
          <w:lang w:val="en-US" w:eastAsia="zh-CN"/>
        </w:rPr>
        <w:t>以下简称“财富大厦”）</w:t>
      </w:r>
      <w:r>
        <w:rPr>
          <w:rFonts w:hint="eastAsia" w:ascii="仿宋" w:hAnsi="仿宋" w:eastAsia="仿宋" w:cs="仿宋"/>
          <w:sz w:val="28"/>
          <w:szCs w:val="28"/>
          <w:lang w:eastAsia="zh-CN"/>
        </w:rPr>
        <w:t>，项目共分三期，原规划建筑面积117485平方米，容积率3.6。</w:t>
      </w:r>
    </w:p>
    <w:p w14:paraId="10D3911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(一)项目一期1、2、3栋已建设完工，</w:t>
      </w:r>
      <w:r>
        <w:rPr>
          <w:rFonts w:hint="eastAsia" w:ascii="仿宋" w:hAnsi="仿宋" w:eastAsia="仿宋" w:cs="仿宋"/>
          <w:sz w:val="28"/>
          <w:szCs w:val="28"/>
          <w:lang w:val="en-US" w:eastAsia="zh-CN"/>
        </w:rPr>
        <w:t>已具备办理不动产权证条件</w:t>
      </w:r>
      <w:r>
        <w:rPr>
          <w:rFonts w:hint="eastAsia" w:ascii="仿宋" w:hAnsi="仿宋" w:eastAsia="仿宋" w:cs="仿宋"/>
          <w:sz w:val="28"/>
          <w:szCs w:val="28"/>
          <w:lang w:eastAsia="zh-CN"/>
        </w:rPr>
        <w:t>。</w:t>
      </w:r>
    </w:p>
    <w:p w14:paraId="35E8D31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eastAsia="zh-CN"/>
        </w:rPr>
        <w:t>(二)项目二期尚未建设完工。项目二期建筑主体4、5、6栋，其中4栋已封顶并</w:t>
      </w:r>
      <w:r>
        <w:rPr>
          <w:rFonts w:hint="eastAsia" w:ascii="仿宋" w:hAnsi="仿宋" w:eastAsia="仿宋" w:cs="仿宋"/>
          <w:sz w:val="28"/>
          <w:szCs w:val="28"/>
          <w:lang w:val="en-US" w:eastAsia="zh-CN"/>
        </w:rPr>
        <w:t>完成外墙、窗户</w:t>
      </w:r>
      <w:r>
        <w:rPr>
          <w:rFonts w:hint="eastAsia" w:ascii="仿宋" w:hAnsi="仿宋" w:eastAsia="仿宋" w:cs="仿宋"/>
          <w:sz w:val="28"/>
          <w:szCs w:val="28"/>
          <w:lang w:eastAsia="zh-CN"/>
        </w:rPr>
        <w:t>；5栋已经构筑主体框架模板，差一层</w:t>
      </w:r>
      <w:r>
        <w:rPr>
          <w:rFonts w:hint="eastAsia" w:ascii="仿宋" w:hAnsi="仿宋" w:eastAsia="仿宋" w:cs="仿宋"/>
          <w:sz w:val="28"/>
          <w:szCs w:val="28"/>
          <w:lang w:val="en-US" w:eastAsia="zh-CN"/>
        </w:rPr>
        <w:t>未完工</w:t>
      </w:r>
      <w:r>
        <w:rPr>
          <w:rFonts w:hint="eastAsia" w:ascii="仿宋" w:hAnsi="仿宋" w:eastAsia="仿宋" w:cs="仿宋"/>
          <w:sz w:val="28"/>
          <w:szCs w:val="28"/>
          <w:lang w:eastAsia="zh-CN"/>
        </w:rPr>
        <w:t>；6栋已经构筑主体框架模板，差五层未完工；</w:t>
      </w:r>
      <w:r>
        <w:rPr>
          <w:rFonts w:hint="eastAsia" w:ascii="仿宋" w:hAnsi="仿宋" w:eastAsia="仿宋" w:cs="仿宋"/>
          <w:sz w:val="28"/>
          <w:szCs w:val="28"/>
          <w:lang w:val="en-US" w:eastAsia="zh-CN"/>
        </w:rPr>
        <w:t>地下室二次结构、人防区域未完工。</w:t>
      </w:r>
    </w:p>
    <w:p w14:paraId="7296674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(三)项目三期为未开发净地，原规划拟建41层城市综合体。</w:t>
      </w:r>
    </w:p>
    <w:p w14:paraId="69DDDAD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（二）资产情况</w:t>
      </w:r>
    </w:p>
    <w:p w14:paraId="499AAD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经管理人初步梳理，</w:t>
      </w:r>
      <w:r>
        <w:rPr>
          <w:rFonts w:hint="eastAsia" w:ascii="仿宋" w:hAnsi="仿宋" w:eastAsia="仿宋" w:cs="仿宋"/>
          <w:b w:val="0"/>
          <w:bCs w:val="0"/>
          <w:sz w:val="28"/>
          <w:szCs w:val="28"/>
          <w:lang w:val="en-US" w:eastAsia="zh-CN"/>
        </w:rPr>
        <w:t>华盛</w:t>
      </w:r>
      <w:r>
        <w:rPr>
          <w:rFonts w:hint="default" w:ascii="仿宋" w:hAnsi="仿宋" w:eastAsia="仿宋" w:cs="仿宋"/>
          <w:b w:val="0"/>
          <w:bCs w:val="0"/>
          <w:sz w:val="28"/>
          <w:szCs w:val="28"/>
          <w:lang w:val="en-US" w:eastAsia="zh-CN"/>
        </w:rPr>
        <w:t>公司的资产主要为</w:t>
      </w:r>
      <w:r>
        <w:rPr>
          <w:rFonts w:hint="eastAsia" w:ascii="仿宋" w:hAnsi="仿宋" w:eastAsia="仿宋" w:cs="仿宋"/>
          <w:b w:val="0"/>
          <w:bCs w:val="0"/>
          <w:sz w:val="28"/>
          <w:szCs w:val="28"/>
          <w:lang w:val="en-US" w:eastAsia="zh-CN"/>
        </w:rPr>
        <w:t>财富大厦</w:t>
      </w:r>
      <w:r>
        <w:rPr>
          <w:rFonts w:hint="default" w:ascii="仿宋" w:hAnsi="仿宋" w:eastAsia="仿宋" w:cs="仿宋"/>
          <w:b w:val="0"/>
          <w:bCs w:val="0"/>
          <w:sz w:val="28"/>
          <w:szCs w:val="28"/>
          <w:lang w:val="en-US" w:eastAsia="zh-CN"/>
        </w:rPr>
        <w:t>项目土地、未售房产及在建工程，具体情况如下：</w:t>
      </w:r>
    </w:p>
    <w:p w14:paraId="2B15DCF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土地使用权。华盛公司于2013年6月17日取得瑞昌市公园路南侧、洋鸡山路东侧地块(宗地编号：DGO2013017),面积48966.70平方米的国有土地使用权，土地权证编号为瑞国用（2013）第006号，土地用途为商业，使用年期为40年。</w:t>
      </w:r>
    </w:p>
    <w:p w14:paraId="0B1F7C5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未售房产。财富大厦项目一期1#、2#、3#开发建设商铺、公寓为563套，期间华盛公司已取得预售许可证并进行了销售，已售商铺销售单价在10000元/㎡的价格区间，已售公寓的销售单价大部分在4000元/㎡的价格区间，具体已售及未售数据请联系管理人获取。</w:t>
      </w:r>
    </w:p>
    <w:p w14:paraId="180ADA8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3.在建工程。财富大厦项目二期4#、5#、6#商铺、公寓总套数为653套，原规划地下室车位363个。</w:t>
      </w:r>
    </w:p>
    <w:p w14:paraId="5DFE80BB">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三、项目资产优势</w:t>
      </w:r>
    </w:p>
    <w:p w14:paraId="086570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财富大厦</w:t>
      </w:r>
      <w:r>
        <w:rPr>
          <w:rFonts w:hint="eastAsia" w:ascii="仿宋" w:hAnsi="仿宋" w:eastAsia="仿宋" w:cs="仿宋"/>
          <w:b w:val="0"/>
          <w:bCs w:val="0"/>
          <w:sz w:val="28"/>
          <w:szCs w:val="28"/>
        </w:rPr>
        <w:t>项目坐落于瑞昌市</w:t>
      </w:r>
      <w:r>
        <w:rPr>
          <w:rFonts w:hint="eastAsia" w:ascii="仿宋" w:hAnsi="仿宋" w:eastAsia="仿宋" w:cs="仿宋"/>
          <w:b w:val="0"/>
          <w:bCs w:val="0"/>
          <w:sz w:val="28"/>
          <w:szCs w:val="28"/>
          <w:lang w:val="en-US" w:eastAsia="zh-CN"/>
        </w:rPr>
        <w:t>公园路南侧</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洋鸡山路</w:t>
      </w:r>
      <w:r>
        <w:rPr>
          <w:rFonts w:hint="eastAsia" w:ascii="仿宋" w:hAnsi="仿宋" w:eastAsia="仿宋" w:cs="仿宋"/>
          <w:b w:val="0"/>
          <w:bCs w:val="0"/>
          <w:sz w:val="28"/>
          <w:szCs w:val="28"/>
        </w:rPr>
        <w:t>以</w:t>
      </w:r>
      <w:r>
        <w:rPr>
          <w:rFonts w:hint="eastAsia" w:ascii="仿宋" w:hAnsi="仿宋" w:eastAsia="仿宋" w:cs="仿宋"/>
          <w:b w:val="0"/>
          <w:bCs w:val="0"/>
          <w:sz w:val="28"/>
          <w:szCs w:val="28"/>
          <w:lang w:val="en-US" w:eastAsia="zh-CN"/>
        </w:rPr>
        <w:t>东</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位于瑞昌市城东中心</w:t>
      </w:r>
      <w:r>
        <w:rPr>
          <w:rFonts w:hint="eastAsia" w:ascii="仿宋" w:hAnsi="仿宋" w:eastAsia="仿宋" w:cs="仿宋"/>
          <w:b w:val="0"/>
          <w:bCs w:val="0"/>
          <w:sz w:val="28"/>
          <w:szCs w:val="28"/>
        </w:rPr>
        <w:t>发展区域，项目区位优势显著：</w:t>
      </w:r>
    </w:p>
    <w:p w14:paraId="51CFFC45">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楼盘品质高</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产品具有较高性价比</w:t>
      </w:r>
    </w:p>
    <w:p w14:paraId="27455F5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财富大厦</w:t>
      </w:r>
      <w:r>
        <w:rPr>
          <w:rFonts w:hint="eastAsia" w:ascii="仿宋" w:hAnsi="仿宋" w:eastAsia="仿宋" w:cs="仿宋"/>
          <w:b w:val="0"/>
          <w:bCs w:val="0"/>
          <w:sz w:val="28"/>
          <w:szCs w:val="28"/>
        </w:rPr>
        <w:t>项目规划设计理念先进、交付品质较高，</w:t>
      </w:r>
      <w:r>
        <w:rPr>
          <w:rFonts w:hint="eastAsia" w:ascii="仿宋" w:hAnsi="仿宋" w:eastAsia="仿宋" w:cs="仿宋"/>
          <w:b w:val="0"/>
          <w:bCs w:val="0"/>
          <w:sz w:val="28"/>
          <w:szCs w:val="28"/>
          <w:lang w:val="en-US" w:eastAsia="zh-CN"/>
        </w:rPr>
        <w:t>5.4米层高，套内可使用面积大，开创跃层墅居格局，</w:t>
      </w:r>
      <w:r>
        <w:rPr>
          <w:rFonts w:hint="eastAsia" w:ascii="仿宋" w:hAnsi="仿宋" w:eastAsia="仿宋" w:cs="仿宋"/>
          <w:b w:val="0"/>
          <w:bCs w:val="0"/>
          <w:sz w:val="28"/>
          <w:szCs w:val="28"/>
        </w:rPr>
        <w:t>符合当代县城居民对品质生活的追求</w:t>
      </w:r>
      <w:r>
        <w:rPr>
          <w:rFonts w:hint="eastAsia" w:ascii="仿宋" w:hAnsi="仿宋" w:eastAsia="仿宋" w:cs="仿宋"/>
          <w:b w:val="0"/>
          <w:bCs w:val="0"/>
          <w:sz w:val="28"/>
          <w:szCs w:val="28"/>
          <w:lang w:eastAsia="zh-CN"/>
        </w:rPr>
        <w:t>。</w:t>
      </w:r>
    </w:p>
    <w:p w14:paraId="5029A85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教育配套资源丰厚</w:t>
      </w:r>
    </w:p>
    <w:p w14:paraId="2240FF0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财富大厦</w:t>
      </w:r>
      <w:r>
        <w:rPr>
          <w:rFonts w:hint="eastAsia" w:ascii="仿宋" w:hAnsi="仿宋" w:eastAsia="仿宋" w:cs="仿宋"/>
          <w:b w:val="0"/>
          <w:bCs w:val="0"/>
          <w:sz w:val="28"/>
          <w:szCs w:val="28"/>
        </w:rPr>
        <w:t>项目毗邻</w:t>
      </w:r>
      <w:r>
        <w:rPr>
          <w:rFonts w:hint="eastAsia" w:ascii="仿宋" w:hAnsi="仿宋" w:eastAsia="仿宋" w:cs="仿宋"/>
          <w:b w:val="0"/>
          <w:bCs w:val="0"/>
          <w:sz w:val="28"/>
          <w:szCs w:val="28"/>
          <w:lang w:val="en-US" w:eastAsia="zh-CN"/>
        </w:rPr>
        <w:t>赛湖中学、瑞昌市第四小学、瑞昌市第七小学、瑞昌市第八中学、瑞昌早校（幼儿园），同时靠近瑞昌市第六小学、瑞昌市铜城学校、瑞昌市第四中学、瀼溪民办高级中学、瑞昌市第七中学、瑞昌市第二中学</w:t>
      </w:r>
      <w:r>
        <w:rPr>
          <w:rFonts w:hint="eastAsia" w:ascii="仿宋" w:hAnsi="仿宋" w:eastAsia="仿宋" w:cs="仿宋"/>
          <w:b w:val="0"/>
          <w:bCs w:val="0"/>
          <w:sz w:val="28"/>
          <w:szCs w:val="28"/>
        </w:rPr>
        <w:t>，教育配套资源丰厚。</w:t>
      </w:r>
    </w:p>
    <w:p w14:paraId="3084D3D5">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生活配套齐全</w:t>
      </w:r>
    </w:p>
    <w:p w14:paraId="41FD7EF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1.商业配套：财富大厦项目靠近瑞昌市五里桥商业街、瑞昌城市广场、联盛购物广场，且项目自带商圈，德民乐超市已入驻，生活气息浓厚。</w:t>
      </w:r>
    </w:p>
    <w:p w14:paraId="1D4CB5A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2.医疗配套：财富大厦项目靠近瑞昌市中医医院、瑞昌金桥中医医院，距离瑞昌市人民医院仅10分钟车程，医疗便利。</w:t>
      </w:r>
    </w:p>
    <w:p w14:paraId="359D000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3.市政配套：财富大厦项目</w:t>
      </w:r>
      <w:r>
        <w:rPr>
          <w:rFonts w:hint="eastAsia" w:ascii="仿宋" w:hAnsi="仿宋" w:eastAsia="仿宋" w:cs="仿宋"/>
          <w:b w:val="0"/>
          <w:bCs w:val="0"/>
          <w:sz w:val="28"/>
          <w:szCs w:val="28"/>
        </w:rPr>
        <w:t>距瑞昌市人民政府直线距离约</w:t>
      </w:r>
      <w:r>
        <w:rPr>
          <w:rFonts w:hint="eastAsia" w:ascii="仿宋" w:hAnsi="仿宋" w:eastAsia="仿宋" w:cs="仿宋"/>
          <w:b w:val="0"/>
          <w:bCs w:val="0"/>
          <w:sz w:val="28"/>
          <w:szCs w:val="28"/>
          <w:lang w:val="en-US" w:eastAsia="zh-CN"/>
        </w:rPr>
        <w:t>1.2</w:t>
      </w:r>
      <w:r>
        <w:rPr>
          <w:rFonts w:hint="eastAsia" w:ascii="仿宋" w:hAnsi="仿宋" w:eastAsia="仿宋" w:cs="仿宋"/>
          <w:b w:val="0"/>
          <w:bCs w:val="0"/>
          <w:sz w:val="28"/>
          <w:szCs w:val="28"/>
        </w:rPr>
        <w:t>公里</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靠近瑞昌市市场监督管理局、瑞昌市税务局、瑞昌市民政局等政府机关办事单位，政务服务便利；且距离天嗣山公园、安定湖公园仅5分钟车程，市政配套齐全。</w:t>
      </w:r>
    </w:p>
    <w:p w14:paraId="34D22719">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（四）交通便利通达</w:t>
      </w:r>
    </w:p>
    <w:p w14:paraId="7EC7190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财富大厦项目</w:t>
      </w:r>
      <w:r>
        <w:rPr>
          <w:rFonts w:hint="eastAsia" w:ascii="仿宋" w:hAnsi="仿宋" w:eastAsia="仿宋" w:cs="仿宋"/>
          <w:b w:val="0"/>
          <w:bCs w:val="0"/>
          <w:sz w:val="28"/>
          <w:szCs w:val="28"/>
        </w:rPr>
        <w:t>距</w:t>
      </w:r>
      <w:r>
        <w:rPr>
          <w:rFonts w:hint="eastAsia" w:ascii="仿宋" w:hAnsi="仿宋" w:eastAsia="仿宋" w:cs="仿宋"/>
          <w:b w:val="0"/>
          <w:bCs w:val="0"/>
          <w:sz w:val="28"/>
          <w:szCs w:val="28"/>
          <w:lang w:val="en-US" w:eastAsia="zh-CN"/>
        </w:rPr>
        <w:t>瑞昌汽车站约1.2公里、瑞昌站</w:t>
      </w:r>
      <w:r>
        <w:rPr>
          <w:rFonts w:hint="eastAsia" w:ascii="仿宋" w:hAnsi="仿宋" w:eastAsia="仿宋" w:cs="仿宋"/>
          <w:b w:val="0"/>
          <w:bCs w:val="0"/>
          <w:sz w:val="28"/>
          <w:szCs w:val="28"/>
        </w:rPr>
        <w:t>约</w:t>
      </w:r>
      <w:r>
        <w:rPr>
          <w:rFonts w:hint="eastAsia" w:ascii="仿宋" w:hAnsi="仿宋" w:eastAsia="仿宋" w:cs="仿宋"/>
          <w:b w:val="0"/>
          <w:bCs w:val="0"/>
          <w:sz w:val="28"/>
          <w:szCs w:val="28"/>
          <w:lang w:val="en-US" w:eastAsia="zh-CN"/>
        </w:rPr>
        <w:t>1.9</w:t>
      </w:r>
      <w:r>
        <w:rPr>
          <w:rFonts w:hint="eastAsia" w:ascii="仿宋" w:hAnsi="仿宋" w:eastAsia="仿宋" w:cs="仿宋"/>
          <w:b w:val="0"/>
          <w:bCs w:val="0"/>
          <w:sz w:val="28"/>
          <w:szCs w:val="28"/>
        </w:rPr>
        <w:t>公里</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瑞昌西站约6公里，</w:t>
      </w:r>
      <w:r>
        <w:rPr>
          <w:rFonts w:hint="eastAsia" w:ascii="仿宋" w:hAnsi="仿宋" w:eastAsia="仿宋" w:cs="仿宋"/>
          <w:b w:val="0"/>
          <w:bCs w:val="0"/>
          <w:sz w:val="28"/>
          <w:szCs w:val="28"/>
        </w:rPr>
        <w:t>通过</w:t>
      </w:r>
      <w:r>
        <w:rPr>
          <w:rFonts w:hint="eastAsia" w:ascii="仿宋" w:hAnsi="仿宋" w:eastAsia="仿宋" w:cs="仿宋"/>
          <w:b w:val="0"/>
          <w:bCs w:val="0"/>
          <w:sz w:val="28"/>
          <w:szCs w:val="28"/>
          <w:lang w:val="en-US" w:eastAsia="zh-CN"/>
        </w:rPr>
        <w:t>公园路</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洋鸡山路</w:t>
      </w:r>
      <w:r>
        <w:rPr>
          <w:rFonts w:hint="eastAsia" w:ascii="仿宋" w:hAnsi="仿宋" w:eastAsia="仿宋" w:cs="仿宋"/>
          <w:b w:val="0"/>
          <w:bCs w:val="0"/>
          <w:sz w:val="28"/>
          <w:szCs w:val="28"/>
        </w:rPr>
        <w:t>与</w:t>
      </w:r>
      <w:r>
        <w:rPr>
          <w:rFonts w:hint="eastAsia" w:ascii="仿宋" w:hAnsi="仿宋" w:eastAsia="仿宋" w:cs="仿宋"/>
          <w:b w:val="0"/>
          <w:bCs w:val="0"/>
          <w:sz w:val="28"/>
          <w:szCs w:val="28"/>
          <w:lang w:val="en-US" w:eastAsia="zh-CN"/>
        </w:rPr>
        <w:t>黄金大道、铜城大</w:t>
      </w:r>
      <w:r>
        <w:rPr>
          <w:rFonts w:hint="eastAsia" w:ascii="仿宋" w:hAnsi="仿宋" w:eastAsia="仿宋" w:cs="仿宋"/>
          <w:b w:val="0"/>
          <w:bCs w:val="0"/>
          <w:sz w:val="28"/>
          <w:szCs w:val="28"/>
        </w:rPr>
        <w:t>道相通，辐射全城交通动线</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出行交通便利。</w:t>
      </w:r>
    </w:p>
    <w:p w14:paraId="090BE939">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、本次预招募目的</w:t>
      </w:r>
    </w:p>
    <w:p w14:paraId="2A23464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为引入产业协同、实力雄厚的重整投资人，</w:t>
      </w:r>
      <w:r>
        <w:rPr>
          <w:rFonts w:hint="eastAsia" w:ascii="仿宋" w:hAnsi="仿宋" w:eastAsia="仿宋" w:cs="仿宋"/>
          <w:sz w:val="28"/>
          <w:szCs w:val="28"/>
          <w:lang w:val="en-US" w:eastAsia="zh-CN"/>
        </w:rPr>
        <w:t>实现项目工程的复工建设，提高</w:t>
      </w:r>
      <w:r>
        <w:rPr>
          <w:rFonts w:hint="eastAsia" w:ascii="仿宋" w:hAnsi="仿宋" w:eastAsia="仿宋" w:cs="仿宋"/>
          <w:sz w:val="28"/>
          <w:szCs w:val="28"/>
        </w:rPr>
        <w:t>债务人资产价值，最大限度地保护</w:t>
      </w:r>
      <w:r>
        <w:rPr>
          <w:rFonts w:hint="eastAsia" w:ascii="仿宋" w:hAnsi="仿宋" w:eastAsia="仿宋" w:cs="仿宋"/>
          <w:sz w:val="28"/>
          <w:szCs w:val="28"/>
          <w:lang w:val="en-US" w:eastAsia="zh-CN"/>
        </w:rPr>
        <w:t>债务人、债权人、购房户等群体</w:t>
      </w:r>
      <w:r>
        <w:rPr>
          <w:rFonts w:hint="eastAsia" w:ascii="仿宋" w:hAnsi="仿宋" w:eastAsia="仿宋" w:cs="仿宋"/>
          <w:sz w:val="28"/>
          <w:szCs w:val="28"/>
        </w:rPr>
        <w:t>的合法权益。</w:t>
      </w:r>
    </w:p>
    <w:p w14:paraId="679F92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五、重整投资人基本条件</w:t>
      </w:r>
    </w:p>
    <w:p w14:paraId="0B1B531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1.投资人应当是具备中国国籍的自然人、在中国依法设立并有效存续的企业法人或其他营利性组织，具有较高的社会责任感和良好的商业信誉，未被人民法院列入失信名单，最近3年没有重大违法行为或者涉嫌有重大违法行为。</w:t>
      </w:r>
    </w:p>
    <w:p w14:paraId="0BC175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2.投资人应拥有足够的资金实力进行重整投资，不存在负有数额较大债务且到期未清偿的情况，能够出具相应的资信证明或履约能力证明。</w:t>
      </w:r>
    </w:p>
    <w:p w14:paraId="6DA4B8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3.投资人应具备与华盛公司经营规模相适应的住宅、商业开发能力，有成功处置烂尾楼经验的可适当优先。</w:t>
      </w:r>
    </w:p>
    <w:p w14:paraId="1226B6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4.投资人亦可自行组成联合体参与投资（如财务投资人、产业投资人联合体），联合体中各投资人均需符合上述条件。组成联合体的各方不得再以自己名义单独或加入其他联合体参加本项目。联合体各成员间应当明确牵头方，说明成员组成、合作方式、职责分工及权利和义务。 </w:t>
      </w:r>
    </w:p>
    <w:p w14:paraId="3E7D0B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六、招募流程</w:t>
      </w:r>
    </w:p>
    <w:p w14:paraId="660978F6">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（一）报名时间、地点及联系人</w:t>
      </w:r>
    </w:p>
    <w:p w14:paraId="69EF7BC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1.报名时间：预招募时间自公告之日起至管理人另行发布正式的重整投资人招募公告止。</w:t>
      </w:r>
    </w:p>
    <w:p w14:paraId="561ED8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2.报名地点：江西省九江市瑞昌市公园路汇融财富大厦二期项目部办公室或江西省赣州市蓉江新区启迪科技城B1栋江西公仁律师事务所。</w:t>
      </w:r>
    </w:p>
    <w:p w14:paraId="69799C6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3.联系人：易律师15779709080，吴律师13627045010。</w:t>
      </w:r>
    </w:p>
    <w:p w14:paraId="2BFE34B7">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（二）报名时需提交的材料</w:t>
      </w:r>
    </w:p>
    <w:p w14:paraId="25E726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1.报名书</w:t>
      </w:r>
      <w:r>
        <w:rPr>
          <w:rFonts w:hint="eastAsia" w:ascii="仿宋" w:hAnsi="仿宋" w:eastAsia="仿宋" w:cs="仿宋"/>
          <w:sz w:val="28"/>
          <w:szCs w:val="28"/>
          <w:lang w:eastAsia="zh-CN"/>
        </w:rPr>
        <w:t>；</w:t>
      </w:r>
      <w:r>
        <w:rPr>
          <w:rFonts w:hint="eastAsia" w:ascii="仿宋" w:hAnsi="仿宋" w:eastAsia="仿宋" w:cs="仿宋"/>
          <w:sz w:val="28"/>
          <w:szCs w:val="28"/>
        </w:rPr>
        <w:t>包括但不限于投资意向</w:t>
      </w:r>
      <w:r>
        <w:rPr>
          <w:rFonts w:hint="eastAsia" w:ascii="仿宋" w:hAnsi="仿宋" w:eastAsia="仿宋" w:cs="仿宋"/>
          <w:sz w:val="28"/>
          <w:szCs w:val="28"/>
          <w:lang w:val="en-US" w:eastAsia="zh-CN"/>
        </w:rPr>
        <w:t>书</w:t>
      </w:r>
      <w:r>
        <w:rPr>
          <w:rFonts w:hint="eastAsia" w:ascii="仿宋" w:hAnsi="仿宋" w:eastAsia="仿宋" w:cs="仿宋"/>
          <w:sz w:val="28"/>
          <w:szCs w:val="28"/>
        </w:rPr>
        <w:t>、</w:t>
      </w:r>
      <w:r>
        <w:rPr>
          <w:rFonts w:hint="eastAsia" w:ascii="仿宋" w:hAnsi="仿宋" w:eastAsia="仿宋" w:cs="仿宋"/>
          <w:sz w:val="28"/>
          <w:szCs w:val="28"/>
          <w:lang w:val="en-US" w:eastAsia="zh-CN"/>
        </w:rPr>
        <w:t>重整投资</w:t>
      </w:r>
      <w:r>
        <w:rPr>
          <w:rFonts w:hint="eastAsia" w:ascii="仿宋" w:hAnsi="仿宋" w:eastAsia="仿宋" w:cs="仿宋"/>
          <w:sz w:val="28"/>
          <w:szCs w:val="28"/>
        </w:rPr>
        <w:t>方案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内容须包括二期、三期项目工程造价及依据、项目三期规划、工期计划安排、取费标准、垫资方式及最大可承受的垫资金额说明</w:t>
      </w:r>
      <w:r>
        <w:rPr>
          <w:rFonts w:hint="eastAsia" w:ascii="仿宋" w:hAnsi="仿宋" w:eastAsia="仿宋" w:cs="仿宋"/>
          <w:sz w:val="28"/>
          <w:szCs w:val="28"/>
          <w:lang w:eastAsia="zh-CN"/>
        </w:rPr>
        <w:t>、</w:t>
      </w:r>
      <w:r>
        <w:rPr>
          <w:rFonts w:hint="eastAsia" w:ascii="仿宋" w:hAnsi="仿宋" w:eastAsia="仿宋" w:cs="仿宋"/>
          <w:sz w:val="28"/>
          <w:szCs w:val="28"/>
        </w:rPr>
        <w:t>投资人参与本案重整的优势</w:t>
      </w:r>
      <w:r>
        <w:rPr>
          <w:rFonts w:hint="eastAsia" w:ascii="仿宋" w:hAnsi="仿宋" w:eastAsia="仿宋" w:cs="仿宋"/>
          <w:sz w:val="28"/>
          <w:szCs w:val="28"/>
          <w:lang w:eastAsia="zh-CN"/>
        </w:rPr>
        <w:t>、</w:t>
      </w:r>
      <w:r>
        <w:rPr>
          <w:rFonts w:hint="eastAsia" w:ascii="仿宋" w:hAnsi="仿宋" w:eastAsia="仿宋" w:cs="仿宋"/>
          <w:sz w:val="28"/>
          <w:szCs w:val="28"/>
        </w:rPr>
        <w:t>履行重整投资义务的担保措施</w:t>
      </w:r>
      <w:r>
        <w:rPr>
          <w:rFonts w:hint="eastAsia" w:ascii="仿宋" w:hAnsi="仿宋" w:eastAsia="仿宋" w:cs="仿宋"/>
          <w:sz w:val="28"/>
          <w:szCs w:val="28"/>
          <w:lang w:eastAsia="zh-CN"/>
        </w:rPr>
        <w:t>）、</w:t>
      </w:r>
      <w:r>
        <w:rPr>
          <w:rFonts w:hint="eastAsia" w:ascii="仿宋" w:hAnsi="仿宋" w:eastAsia="仿宋" w:cs="仿宋"/>
          <w:sz w:val="28"/>
          <w:szCs w:val="28"/>
        </w:rPr>
        <w:t>对尽调等过程中获取的涉</w:t>
      </w:r>
      <w:r>
        <w:rPr>
          <w:rFonts w:hint="eastAsia" w:ascii="仿宋" w:hAnsi="仿宋" w:eastAsia="仿宋" w:cs="仿宋"/>
          <w:sz w:val="28"/>
          <w:szCs w:val="28"/>
          <w:lang w:eastAsia="zh-CN"/>
        </w:rPr>
        <w:t>华盛公司</w:t>
      </w:r>
      <w:r>
        <w:rPr>
          <w:rFonts w:hint="eastAsia" w:ascii="仿宋" w:hAnsi="仿宋" w:eastAsia="仿宋" w:cs="仿宋"/>
          <w:sz w:val="28"/>
          <w:szCs w:val="28"/>
        </w:rPr>
        <w:t>全部信息予以保密的承诺等，报名书密封后提交给管理人。</w:t>
      </w:r>
    </w:p>
    <w:p w14:paraId="33A2E6A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投资人简介（包括但不限于主体资格、股权结构、主营业务、历史沿革、组织机构、资产负债等信息；如为联合投资人，需提供双方联合协议，协议中应约定各主体的角色分工、权利义务、投资比例等，联合投资人相互之间应承担连带责任）。</w:t>
      </w:r>
    </w:p>
    <w:p w14:paraId="70EEA26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3.投资人的主要业务（业绩）情况、近三年度的主要财务指标（含资产、负债、主营收入、净利润、现金流等）。</w:t>
      </w:r>
    </w:p>
    <w:p w14:paraId="2A1133A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4.资质、资信证明及履约能力证明（主要为银行存款证明、主要资产权属证明、主要银行账户的大额资金流水往来、投资资金来源证明等）。</w:t>
      </w:r>
    </w:p>
    <w:p w14:paraId="3494EC2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5.股东会、董事会等决策机构同意参与投资的决议原件；</w:t>
      </w:r>
    </w:p>
    <w:p w14:paraId="5CB5CA1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6.企业法人或非法人组织应提供营业执照复印件、法定代表人或负责人身份证明文件。</w:t>
      </w:r>
    </w:p>
    <w:p w14:paraId="78DE9D6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7.如委托他人参与尽调、遴选谈判等事宜的，需提交授权委托书，载明委托人、受托人信息（含身份证复印件）、委托权限及期限、联系人、联系电话、电子邮箱、通信地址等。</w:t>
      </w:r>
    </w:p>
    <w:p w14:paraId="1A7ADB0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8.其他材料。</w:t>
      </w:r>
    </w:p>
    <w:p w14:paraId="4D264DA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前述材料中的复印件，自然人签名捺印、企业法人或其他营利性组织应加盖投资人印章并由其法定代表人（负责人）或授权代表签名，在报名时提交原件予以核对，报名材料由报名人自行编排并装订成册（除密封的报名书外），并交至管理人处</w:t>
      </w:r>
      <w:r>
        <w:rPr>
          <w:rFonts w:hint="eastAsia" w:ascii="仿宋" w:hAnsi="仿宋" w:eastAsia="仿宋" w:cs="仿宋"/>
          <w:sz w:val="28"/>
          <w:szCs w:val="28"/>
          <w:lang w:eastAsia="zh-CN"/>
        </w:rPr>
        <w:t>，</w:t>
      </w:r>
      <w:r>
        <w:rPr>
          <w:rFonts w:hint="eastAsia" w:ascii="仿宋" w:hAnsi="仿宋" w:eastAsia="仿宋" w:cs="仿宋"/>
          <w:sz w:val="28"/>
          <w:szCs w:val="28"/>
        </w:rPr>
        <w:t>意向投资人提交的材料管理人作为本次工作底稿，不予退回。</w:t>
      </w:r>
    </w:p>
    <w:p w14:paraId="50D35107">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（三）磋商选任程序</w:t>
      </w:r>
    </w:p>
    <w:p w14:paraId="468B1D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1.意向投资人需开展尽职调查工作的，可以向管理人提出书面申请，管理人接到申请即安排配合意向投资人开展尽职调查工作。</w:t>
      </w:r>
    </w:p>
    <w:p w14:paraId="33AA9E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2.意向投资人尽职调查期间，管理人有权对意向投资人进行反向尽职调查，意向投资人应当充分配合。意向投资人应严守保密义务，不得将所取得的任何信息用于参与重整投资人招募之外的任何目的。</w:t>
      </w:r>
    </w:p>
    <w:p w14:paraId="355C12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在意向投资人提交投资意向书及《重整投资方案》后，管理人将及时征求政府有关部门、人民法院、债权人意见，并向意向投资人提出调整建议，意向投资人根据调整建议向管理人反馈调整后的《重整投资方案》。</w:t>
      </w:r>
    </w:p>
    <w:p w14:paraId="342EC9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本案将采取竞争性磋商方式选定重整投资人，由法院、债权人代表、管理人以及相关政府主管部门代表共同组成评审小组与投资人进行磋商，最终择优选定投资人。本次评审将对意向投资人提交的重整投资方案进行重点评审。关于评审磋商工作的具体流程、要求和时间安排由管理人另行通知。</w:t>
      </w:r>
    </w:p>
    <w:p w14:paraId="390A8A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5.重整投资人确定后，应按照管理人的要求签署《重整投资协议》，以便管理人及时制定《重整计划草案》提交债权人会议表决。</w:t>
      </w:r>
    </w:p>
    <w:p w14:paraId="733DA6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七、其他事项</w:t>
      </w:r>
    </w:p>
    <w:p w14:paraId="545E5E3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1.本次预招募以公平、公正、公开为原则，对所有投资人均平等适用。</w:t>
      </w:r>
    </w:p>
    <w:p w14:paraId="4BA4169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本公告所涉华盛公司资产等相关情况仅供参考，不构成债务人和管理人的任何承诺保证，不作为投资建议，意向投资人应以自行尽职调查结果作为投资决策的依据。意向投资人开展尽职调查所需费用由其自行承担。</w:t>
      </w:r>
    </w:p>
    <w:p w14:paraId="4A8A827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3.管理人有权视本案实际情况调整招募进度或公告内容，且不承担任何违约或赔偿责任。</w:t>
      </w:r>
    </w:p>
    <w:p w14:paraId="13EA0C6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4.本公告解释权归属于管理人，如有变化，以管理人的通知为准，管理人预招募投资人的全部过程均接受瑞昌市人民法院的监督。</w:t>
      </w:r>
    </w:p>
    <w:p w14:paraId="52BD38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热忱欢迎社会各界前来洽谈，参与投资。</w:t>
      </w:r>
    </w:p>
    <w:p w14:paraId="0E9906A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特此公告</w:t>
      </w:r>
    </w:p>
    <w:p w14:paraId="78BAF87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28"/>
          <w:highlight w:val="none"/>
          <w:lang w:val="en-US" w:eastAsia="zh-CN"/>
        </w:rPr>
      </w:pPr>
    </w:p>
    <w:p w14:paraId="1BB7F2CA">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瑞昌华盛房地产开发有限公司管理人</w:t>
      </w:r>
    </w:p>
    <w:p w14:paraId="38965F1D">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                        二〇二五年六月二十三日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E314D"/>
    <w:rsid w:val="08E976FE"/>
    <w:rsid w:val="18613D46"/>
    <w:rsid w:val="2BD26160"/>
    <w:rsid w:val="332E314D"/>
    <w:rsid w:val="373655F9"/>
    <w:rsid w:val="39B51E67"/>
    <w:rsid w:val="3B40118E"/>
    <w:rsid w:val="3BE30B5E"/>
    <w:rsid w:val="480A7F05"/>
    <w:rsid w:val="4F440BFC"/>
    <w:rsid w:val="6D4F64CA"/>
    <w:rsid w:val="74806BAC"/>
    <w:rsid w:val="790F7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3514</Words>
  <Characters>3706</Characters>
  <Lines>0</Lines>
  <Paragraphs>0</Paragraphs>
  <TotalTime>162</TotalTime>
  <ScaleCrop>false</ScaleCrop>
  <LinksUpToDate>false</LinksUpToDate>
  <CharactersWithSpaces>3733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2025-06-12T00:33:00Z</dcterms:created>
  <dc:creator>华</dc:creator>
  <cp:lastModifiedBy>。</cp:lastModifiedBy>
  <dcterms:modified xsi:type="dcterms:W3CDTF">2025-06-24T07:25:42Z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E99345CE0E684EEA821F265E3599E737_13</vt:lpwstr>
  </property>
  <property fmtid="{D5CDD505-2E9C-101B-9397-08002B2CF9AE}" pid="4" name="KSOTemplateDocerSaveRecord">
    <vt:lpwstr>eyJoZGlkIjoiMzEwNTM5NzYwMDRjMzkwZTVkZjY2ODkwMGIxNGU0OTUiLCJ1c2VySWQiOiIzNTUyODY0MDkifQ==</vt:lpwstr>
  </property>
</Properties>
</file>