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196566">
      <w:pPr>
        <w:jc w:val="center"/>
        <w:rPr>
          <w:rFonts w:hint="eastAsia"/>
          <w:b/>
          <w:bCs/>
          <w:sz w:val="28"/>
          <w:szCs w:val="36"/>
          <w:lang w:val="en-US" w:eastAsia="zh-CN"/>
        </w:rPr>
      </w:pPr>
      <w:r>
        <w:rPr>
          <w:rFonts w:hint="eastAsia"/>
          <w:b/>
          <w:bCs/>
          <w:sz w:val="28"/>
          <w:szCs w:val="36"/>
          <w:lang w:val="en-US" w:eastAsia="zh-CN"/>
        </w:rPr>
        <w:t>债权申报须知</w:t>
      </w:r>
    </w:p>
    <w:p w14:paraId="14850C22">
      <w:pPr>
        <w:ind w:firstLine="420" w:firstLineChars="200"/>
      </w:pPr>
      <w:r>
        <w:rPr>
          <w:rFonts w:hint="eastAsia"/>
          <w:sz w:val="21"/>
          <w:lang w:eastAsia="zh-CN"/>
        </w:rPr>
        <w:t>2025年5月29日</w:t>
      </w:r>
      <w:r>
        <w:rPr>
          <w:sz w:val="21"/>
        </w:rPr>
        <w:t>，</w:t>
      </w:r>
      <w:r>
        <w:rPr>
          <w:rFonts w:hint="eastAsia"/>
          <w:sz w:val="21"/>
          <w:lang w:val="en-US" w:eastAsia="zh-CN"/>
        </w:rPr>
        <w:t>宁德市中级</w:t>
      </w:r>
      <w:r>
        <w:rPr>
          <w:sz w:val="21"/>
        </w:rPr>
        <w:t>人民法院裁定受理</w:t>
      </w:r>
      <w:r>
        <w:rPr>
          <w:rFonts w:hint="eastAsia"/>
          <w:lang w:val="en-US" w:eastAsia="zh-CN"/>
        </w:rPr>
        <w:t>柘荣县新轩商贸有限公司</w:t>
      </w:r>
      <w:r>
        <w:rPr>
          <w:sz w:val="21"/>
        </w:rPr>
        <w:t>破产清算申请</w:t>
      </w:r>
      <w:r>
        <w:rPr>
          <w:rFonts w:hint="eastAsia"/>
          <w:sz w:val="21"/>
          <w:lang w:eastAsia="zh-CN"/>
        </w:rPr>
        <w:t>，</w:t>
      </w:r>
      <w:r>
        <w:rPr>
          <w:rFonts w:hint="eastAsia"/>
          <w:sz w:val="21"/>
          <w:lang w:val="en-US" w:eastAsia="zh-CN"/>
        </w:rPr>
        <w:t>同日</w:t>
      </w:r>
      <w:r>
        <w:rPr>
          <w:sz w:val="21"/>
        </w:rPr>
        <w:t>指定
福建</w:t>
      </w:r>
      <w:r>
        <w:rPr>
          <w:rFonts w:hint="eastAsia"/>
          <w:sz w:val="21"/>
          <w:lang w:val="en-US" w:eastAsia="zh-CN"/>
        </w:rPr>
        <w:t>建达（福鼎）律师</w:t>
      </w:r>
      <w:r>
        <w:rPr>
          <w:sz w:val="21"/>
        </w:rPr>
        <w:t>事务所为</w:t>
      </w:r>
      <w:r>
        <w:rPr>
          <w:rFonts w:hint="eastAsia"/>
          <w:lang w:val="en-US" w:eastAsia="zh-CN"/>
        </w:rPr>
        <w:t>柘荣县新轩商贸有限公司</w:t>
      </w:r>
      <w:r>
        <w:rPr>
          <w:sz w:val="21"/>
        </w:rPr>
        <w:t>管理人。为明确债权人及利害关系人在债权申报阶段之权利、义务，特告之如下几点
</w:t>
      </w:r>
      <w:r>
        <w:rPr>
          <w:rFonts w:hint="eastAsia"/>
          <w:sz w:val="21"/>
          <w:lang w:eastAsia="zh-CN"/>
        </w:rPr>
        <w:t>：</w:t>
      </w:r>
      <w:r>
        <w:rPr>
          <w:sz w:val="21"/>
        </w:rPr>
        <w:cr/>
      </w:r>
      <w:r>
        <w:rPr>
          <w:sz w:val="21"/>
        </w:rPr>
        <w:t>
</w:t>
      </w:r>
    </w:p>
    <w:p w14:paraId="5CD36324">
      <w:pPr>
        <w:ind w:firstLine="420" w:firstLineChars="200"/>
      </w:pPr>
      <w:r>
        <w:rPr>
          <w:sz w:val="21"/>
        </w:rPr>
        <w:t>一、</w:t>
      </w:r>
      <w:r>
        <w:rPr>
          <w:rFonts w:hint="eastAsia"/>
          <w:sz w:val="21"/>
          <w:lang w:val="en-US" w:eastAsia="zh-CN"/>
        </w:rPr>
        <w:t>福安市</w:t>
      </w:r>
      <w:r>
        <w:rPr>
          <w:sz w:val="21"/>
        </w:rPr>
        <w:t>人民法院已发布了公告。为保障债权人权益，债权人应当在</w:t>
      </w:r>
      <w:r>
        <w:rPr>
          <w:rFonts w:hint="eastAsia"/>
          <w:sz w:val="21"/>
          <w:lang w:val="en-US" w:eastAsia="zh-CN"/>
        </w:rPr>
        <w:t>福安市</w:t>
      </w:r>
      <w:r>
        <w:rPr>
          <w:sz w:val="21"/>
        </w:rPr>
        <w:t>人民法院规定的申报期限</w:t>
      </w:r>
      <w:r>
        <w:rPr>
          <w:rFonts w:hint="eastAsia"/>
          <w:sz w:val="21"/>
          <w:lang w:eastAsia="zh-CN"/>
        </w:rPr>
        <w:t>（</w:t>
      </w:r>
      <w:r>
        <w:rPr>
          <w:sz w:val="21"/>
        </w:rPr>
        <w:t>202</w:t>
      </w:r>
      <w:r>
        <w:rPr>
          <w:rFonts w:hint="eastAsia"/>
          <w:sz w:val="21"/>
          <w:lang w:val="en-US" w:eastAsia="zh-CN"/>
        </w:rPr>
        <w:t>5</w:t>
      </w:r>
      <w:r>
        <w:rPr>
          <w:sz w:val="21"/>
        </w:rPr>
        <w:t>年</w:t>
      </w:r>
      <w:r>
        <w:rPr>
          <w:rFonts w:hint="eastAsia"/>
          <w:sz w:val="21"/>
          <w:lang w:val="en-US" w:eastAsia="zh-CN"/>
        </w:rPr>
        <w:t>7</w:t>
      </w:r>
      <w:r>
        <w:rPr>
          <w:sz w:val="21"/>
        </w:rPr>
        <w:t>月</w:t>
      </w:r>
      <w:r>
        <w:rPr>
          <w:rFonts w:hint="eastAsia"/>
          <w:sz w:val="21"/>
          <w:lang w:val="en-US" w:eastAsia="zh-CN"/>
        </w:rPr>
        <w:t>7</w:t>
      </w:r>
      <w:r>
        <w:rPr>
          <w:sz w:val="21"/>
        </w:rPr>
        <w:t>日前</w:t>
      </w:r>
      <w:r>
        <w:rPr>
          <w:rFonts w:hint="eastAsia"/>
          <w:sz w:val="21"/>
          <w:lang w:eastAsia="zh-CN"/>
        </w:rPr>
        <w:t>）</w:t>
      </w:r>
      <w:r>
        <w:rPr>
          <w:sz w:val="21"/>
        </w:rPr>
        <w:t>完成债权申报。
</w:t>
      </w:r>
      <w:r>
        <w:rPr>
          <w:sz w:val="21"/>
        </w:rPr>
        <w:cr/>
      </w:r>
      <w:r>
        <w:rPr>
          <w:sz w:val="21"/>
        </w:rPr>
        <w:t>
</w:t>
      </w:r>
    </w:p>
    <w:p w14:paraId="73187D43">
      <w:pPr>
        <w:ind w:firstLine="420" w:firstLineChars="200"/>
      </w:pPr>
      <w:r>
        <w:rPr>
          <w:sz w:val="21"/>
        </w:rPr>
        <w:t>第一次债权人会议定于</w:t>
      </w:r>
      <w:r>
        <w:rPr>
          <w:rFonts w:hint="eastAsia"/>
          <w:sz w:val="21"/>
          <w:lang w:eastAsia="zh-CN"/>
        </w:rPr>
        <w:t>202</w:t>
      </w:r>
      <w:r>
        <w:rPr>
          <w:rFonts w:hint="eastAsia"/>
          <w:sz w:val="21"/>
          <w:lang w:val="en-US" w:eastAsia="zh-CN"/>
        </w:rPr>
        <w:t>5</w:t>
      </w:r>
      <w:r>
        <w:rPr>
          <w:rFonts w:hint="eastAsia"/>
          <w:sz w:val="21"/>
          <w:lang w:eastAsia="zh-CN"/>
        </w:rPr>
        <w:t>年</w:t>
      </w:r>
      <w:r>
        <w:rPr>
          <w:rFonts w:hint="eastAsia"/>
          <w:sz w:val="21"/>
          <w:lang w:val="en-US" w:eastAsia="zh-CN"/>
        </w:rPr>
        <w:t>7</w:t>
      </w:r>
      <w:r>
        <w:rPr>
          <w:rFonts w:hint="eastAsia"/>
          <w:sz w:val="21"/>
          <w:lang w:eastAsia="zh-CN"/>
        </w:rPr>
        <w:t>月</w:t>
      </w:r>
      <w:r>
        <w:rPr>
          <w:rFonts w:hint="eastAsia"/>
          <w:sz w:val="21"/>
          <w:lang w:val="en-US" w:eastAsia="zh-CN"/>
        </w:rPr>
        <w:t>10</w:t>
      </w:r>
      <w:r>
        <w:rPr>
          <w:rFonts w:hint="eastAsia"/>
          <w:sz w:val="21"/>
          <w:lang w:eastAsia="zh-CN"/>
        </w:rPr>
        <w:t>日</w:t>
      </w:r>
      <w:r>
        <w:rPr>
          <w:rFonts w:hint="eastAsia"/>
          <w:sz w:val="21"/>
          <w:lang w:val="en-US" w:eastAsia="zh-CN"/>
        </w:rPr>
        <w:t>15：30</w:t>
      </w:r>
      <w:r>
        <w:rPr>
          <w:rFonts w:hint="eastAsia"/>
          <w:sz w:val="21"/>
        </w:rPr>
        <w:t>，在</w:t>
      </w:r>
      <w:r>
        <w:rPr>
          <w:rFonts w:hint="eastAsia"/>
          <w:sz w:val="21"/>
          <w:lang w:val="en-US" w:eastAsia="zh-CN"/>
        </w:rPr>
        <w:t>柘荣县人民法院第一</w:t>
      </w:r>
      <w:r>
        <w:rPr>
          <w:rFonts w:hint="eastAsia"/>
          <w:sz w:val="21"/>
        </w:rPr>
        <w:t>法庭召开</w:t>
      </w:r>
      <w:r>
        <w:rPr>
          <w:sz w:val="21"/>
        </w:rPr>
        <w:t>。
</w:t>
      </w:r>
      <w:r>
        <w:rPr>
          <w:sz w:val="21"/>
        </w:rPr>
        <w:cr/>
      </w:r>
      <w:r>
        <w:rPr>
          <w:sz w:val="21"/>
        </w:rPr>
        <w:t>
</w:t>
      </w:r>
    </w:p>
    <w:p w14:paraId="2B16F972">
      <w:pPr>
        <w:ind w:firstLine="420" w:firstLineChars="200"/>
      </w:pPr>
      <w:r>
        <w:rPr>
          <w:sz w:val="21"/>
        </w:rPr>
        <w:t>二、根据《中华人民共和国企业破产法》的规定破产债权是指人民法院受理破产申请时对债务人享有的债权。
</w:t>
      </w:r>
      <w:r>
        <w:rPr>
          <w:sz w:val="21"/>
        </w:rPr>
        <w:cr/>
      </w:r>
      <w:r>
        <w:rPr>
          <w:sz w:val="21"/>
        </w:rPr>
        <w:t>
</w:t>
      </w:r>
    </w:p>
    <w:p w14:paraId="6E50043D">
      <w:pPr>
        <w:ind w:firstLine="420" w:firstLineChars="200"/>
      </w:pPr>
      <w:r>
        <w:rPr>
          <w:sz w:val="21"/>
        </w:rPr>
        <w:t>债权人在申报债权时应当注意以下几点:</w:t>
      </w:r>
      <w:r>
        <w:rPr>
          <w:sz w:val="21"/>
        </w:rPr>
        <w:cr/>
      </w:r>
      <w:r>
        <w:rPr>
          <w:sz w:val="21"/>
        </w:rPr>
        <w:t>
</w:t>
      </w:r>
      <w:r>
        <w:rPr>
          <w:sz w:val="21"/>
        </w:rPr>
        <w:cr/>
      </w:r>
      <w:r>
        <w:rPr>
          <w:rFonts w:hint="eastAsia"/>
          <w:sz w:val="21"/>
          <w:lang w:val="en-US" w:eastAsia="zh-CN"/>
        </w:rPr>
        <w:t xml:space="preserve">  </w:t>
      </w:r>
      <w:r>
        <w:rPr>
          <w:sz w:val="21"/>
        </w:rPr>
        <w:t>
(</w:t>
      </w:r>
      <w:r>
        <w:rPr>
          <w:rFonts w:hint="eastAsia"/>
          <w:sz w:val="21"/>
          <w:lang w:val="en-US" w:eastAsia="zh-CN"/>
        </w:rPr>
        <w:t>1</w:t>
      </w:r>
      <w:r>
        <w:rPr>
          <w:sz w:val="21"/>
        </w:rPr>
        <w:t>)未到期的债权，在破产申请受理时视为债权到期;</w:t>
      </w:r>
      <w:r>
        <w:rPr>
          <w:sz w:val="21"/>
        </w:rPr>
        <w:cr/>
      </w:r>
      <w:r>
        <w:rPr>
          <w:sz w:val="21"/>
        </w:rPr>
        <w:t>
</w:t>
      </w:r>
      <w:r>
        <w:rPr>
          <w:sz w:val="21"/>
        </w:rPr>
        <w:cr/>
      </w:r>
      <w:r>
        <w:rPr>
          <w:sz w:val="21"/>
        </w:rPr>
        <w:t>
</w:t>
      </w:r>
      <w:r>
        <w:rPr>
          <w:rFonts w:hint="eastAsia"/>
          <w:sz w:val="21"/>
          <w:lang w:val="en-US" w:eastAsia="zh-CN"/>
        </w:rPr>
        <w:t xml:space="preserve">  </w:t>
      </w:r>
      <w:r>
        <w:rPr>
          <w:sz w:val="21"/>
        </w:rPr>
        <w:t>(2)附利息的债权，自破产申请受理时起停止计息;</w:t>
      </w:r>
      <w:r>
        <w:rPr>
          <w:sz w:val="21"/>
        </w:rPr>
        <w:cr/>
      </w:r>
      <w:r>
        <w:rPr>
          <w:sz w:val="21"/>
        </w:rPr>
        <w:t>
</w:t>
      </w:r>
      <w:r>
        <w:rPr>
          <w:sz w:val="21"/>
        </w:rPr>
        <w:cr/>
      </w:r>
      <w:r>
        <w:rPr>
          <w:rFonts w:hint="eastAsia"/>
          <w:sz w:val="21"/>
          <w:lang w:val="en-US" w:eastAsia="zh-CN"/>
        </w:rPr>
        <w:t xml:space="preserve">  </w:t>
      </w:r>
      <w:r>
        <w:rPr>
          <w:sz w:val="21"/>
        </w:rPr>
        <w:t>
(3)附条件、附期限的债权和诉讼、仲裁未决的债权，债权人可以申报;</w:t>
      </w:r>
      <w:r>
        <w:rPr>
          <w:sz w:val="21"/>
        </w:rPr>
        <w:cr/>
      </w:r>
      <w:r>
        <w:rPr>
          <w:sz w:val="21"/>
        </w:rPr>
        <w:t>
</w:t>
      </w:r>
    </w:p>
    <w:p w14:paraId="15D68867">
      <w:pPr>
        <w:ind w:firstLine="420" w:firstLineChars="200"/>
      </w:pPr>
      <w:r>
        <w:rPr>
          <w:sz w:val="21"/>
        </w:rPr>
        <w:t>(4)债权人申报债权时，应当书面说明债权的数额和有无财产担保情况，并提交有关证据。申报的债权是连带债权的，应当说明;</w:t>
      </w:r>
      <w:r>
        <w:rPr>
          <w:sz w:val="21"/>
        </w:rPr>
        <w:cr/>
      </w:r>
      <w:r>
        <w:rPr>
          <w:sz w:val="21"/>
        </w:rPr>
        <w:t>
</w:t>
      </w:r>
      <w:r>
        <w:rPr>
          <w:sz w:val="21"/>
        </w:rPr>
        <w:cr/>
      </w:r>
      <w:r>
        <w:rPr>
          <w:rFonts w:hint="eastAsia"/>
          <w:sz w:val="21"/>
          <w:lang w:val="en-US" w:eastAsia="zh-CN"/>
        </w:rPr>
        <w:t xml:space="preserve">  </w:t>
      </w:r>
      <w:r>
        <w:rPr>
          <w:sz w:val="21"/>
        </w:rPr>
        <w:t>
(5)连带债权人可以由其中一人代表全体连带债权人申报债权，也可以共同申报债权;</w:t>
      </w:r>
      <w:r>
        <w:rPr>
          <w:sz w:val="21"/>
        </w:rPr>
        <w:cr/>
      </w:r>
      <w:r>
        <w:rPr>
          <w:sz w:val="21"/>
        </w:rPr>
        <w:t>
</w:t>
      </w:r>
      <w:r>
        <w:rPr>
          <w:sz w:val="21"/>
        </w:rPr>
        <w:cr/>
      </w:r>
      <w:r>
        <w:rPr>
          <w:rFonts w:hint="eastAsia"/>
          <w:sz w:val="21"/>
          <w:lang w:val="en-US" w:eastAsia="zh-CN"/>
        </w:rPr>
        <w:t xml:space="preserve">  </w:t>
      </w:r>
      <w:r>
        <w:rPr>
          <w:sz w:val="21"/>
        </w:rPr>
        <w:t>
(6)债务人的保证人或者其他连带债务人已经代替债务人清偿债务的，可就其对债务人的求偿权申报债权;</w:t>
      </w:r>
      <w:r>
        <w:rPr>
          <w:sz w:val="21"/>
        </w:rPr>
        <w:cr/>
      </w:r>
      <w:r>
        <w:rPr>
          <w:sz w:val="21"/>
        </w:rPr>
        <w:t>
</w:t>
      </w:r>
      <w:r>
        <w:rPr>
          <w:sz w:val="21"/>
        </w:rPr>
        <w:cr/>
      </w:r>
      <w:r>
        <w:rPr>
          <w:sz w:val="21"/>
        </w:rPr>
        <w:t>
</w:t>
      </w:r>
      <w:r>
        <w:rPr>
          <w:rFonts w:hint="eastAsia"/>
          <w:sz w:val="21"/>
          <w:lang w:val="en-US" w:eastAsia="zh-CN"/>
        </w:rPr>
        <w:t xml:space="preserve">  </w:t>
      </w:r>
      <w:r>
        <w:rPr>
          <w:sz w:val="21"/>
        </w:rPr>
        <w:t>(7)债务人的保证人或者其他连带债务人尚未代替债务人清偿债务的，以其对债务人的将来求偿权申报债权。但债权人已经向管理人申报全部债权的除外;</w:t>
      </w:r>
      <w:r>
        <w:rPr>
          <w:sz w:val="21"/>
        </w:rPr>
        <w:cr/>
      </w:r>
      <w:r>
        <w:rPr>
          <w:sz w:val="21"/>
        </w:rPr>
        <w:t>
</w:t>
      </w:r>
      <w:r>
        <w:rPr>
          <w:sz w:val="21"/>
        </w:rPr>
        <w:cr/>
      </w:r>
      <w:r>
        <w:rPr>
          <w:sz w:val="21"/>
        </w:rPr>
        <w:t>
</w:t>
      </w:r>
      <w:r>
        <w:rPr>
          <w:rFonts w:hint="eastAsia"/>
          <w:sz w:val="21"/>
          <w:lang w:val="en-US" w:eastAsia="zh-CN"/>
        </w:rPr>
        <w:t xml:space="preserve">  </w:t>
      </w:r>
      <w:r>
        <w:rPr>
          <w:sz w:val="21"/>
        </w:rPr>
        <w:t>(8)管理人或者债务人依照《企业破产法》规定解除合同的，对方当事人以因合同解除所产生的损害赔偿请求权申报债权;</w:t>
      </w:r>
      <w:r>
        <w:rPr>
          <w:sz w:val="21"/>
        </w:rPr>
        <w:cr/>
      </w:r>
      <w:r>
        <w:rPr>
          <w:sz w:val="21"/>
        </w:rPr>
        <w:t>
</w:t>
      </w:r>
      <w:r>
        <w:rPr>
          <w:sz w:val="21"/>
        </w:rPr>
        <w:cr/>
      </w:r>
      <w:r>
        <w:rPr>
          <w:sz w:val="21"/>
        </w:rPr>
        <w:t>
</w:t>
      </w:r>
      <w:r>
        <w:rPr>
          <w:rFonts w:hint="eastAsia"/>
          <w:sz w:val="21"/>
          <w:lang w:val="en-US" w:eastAsia="zh-CN"/>
        </w:rPr>
        <w:t xml:space="preserve">  </w:t>
      </w:r>
      <w:r>
        <w:rPr>
          <w:sz w:val="21"/>
        </w:rPr>
        <w:t>(9)债务人是委托合同的委托人，被裁定适用《企业破产法》规定的程序</w:t>
      </w:r>
      <w:r>
        <w:rPr>
          <w:rFonts w:hint="eastAsia"/>
          <w:sz w:val="21"/>
          <w:lang w:eastAsia="zh-CN"/>
        </w:rPr>
        <w:t>，</w:t>
      </w:r>
      <w:r>
        <w:rPr>
          <w:sz w:val="21"/>
        </w:rPr>
        <w:t>受托人不知该事实，继续处理委托事务的</w:t>
      </w:r>
      <w:r>
        <w:rPr>
          <w:rFonts w:hint="eastAsia"/>
          <w:sz w:val="21"/>
          <w:lang w:eastAsia="zh-CN"/>
        </w:rPr>
        <w:t>，</w:t>
      </w:r>
      <w:r>
        <w:rPr>
          <w:sz w:val="21"/>
        </w:rPr>
        <w:t>受托人以由此产生的请求权申报债权;</w:t>
      </w:r>
      <w:r>
        <w:rPr>
          <w:sz w:val="21"/>
        </w:rPr>
        <w:cr/>
      </w:r>
      <w:r>
        <w:rPr>
          <w:sz w:val="21"/>
        </w:rPr>
        <w:t>
</w:t>
      </w:r>
      <w:r>
        <w:rPr>
          <w:sz w:val="21"/>
        </w:rPr>
        <w:cr/>
      </w:r>
      <w:r>
        <w:rPr>
          <w:sz w:val="21"/>
        </w:rPr>
        <w:t>
</w:t>
      </w:r>
      <w:r>
        <w:rPr>
          <w:rFonts w:hint="eastAsia"/>
          <w:sz w:val="21"/>
          <w:lang w:val="en-US" w:eastAsia="zh-CN"/>
        </w:rPr>
        <w:t xml:space="preserve">  </w:t>
      </w:r>
      <w:r>
        <w:rPr>
          <w:sz w:val="21"/>
        </w:rPr>
        <w:t>(</w:t>
      </w:r>
      <w:r>
        <w:rPr>
          <w:rFonts w:hint="eastAsia"/>
          <w:sz w:val="21"/>
          <w:lang w:val="en-US" w:eastAsia="zh-CN"/>
        </w:rPr>
        <w:t>1</w:t>
      </w:r>
      <w:r>
        <w:rPr>
          <w:sz w:val="21"/>
        </w:rPr>
        <w:t>0)债务人是票据的出票人，被裁定适用《企业破产法》规定的程序，该</w:t>
      </w:r>
      <w:r>
        <w:rPr>
          <w:rFonts w:hint="eastAsia"/>
          <w:sz w:val="21"/>
          <w:lang w:val="en-US" w:eastAsia="zh-CN"/>
        </w:rPr>
        <w:t>票据</w:t>
      </w:r>
      <w:r>
        <w:rPr>
          <w:sz w:val="21"/>
        </w:rPr>
        <w:t>的付款人继续付款或者承兑的，付款人以由此产生的请求权申报债权;</w:t>
      </w:r>
      <w:r>
        <w:rPr>
          <w:sz w:val="21"/>
        </w:rPr>
        <w:cr/>
      </w:r>
      <w:r>
        <w:rPr>
          <w:sz w:val="21"/>
        </w:rPr>
        <w:t>
</w:t>
      </w:r>
      <w:r>
        <w:rPr>
          <w:sz w:val="21"/>
        </w:rPr>
        <w:cr/>
      </w:r>
      <w:r>
        <w:rPr>
          <w:sz w:val="21"/>
        </w:rPr>
        <w:t>
</w:t>
      </w:r>
    </w:p>
    <w:p w14:paraId="61980378">
      <w:pPr>
        <w:ind w:firstLine="400" w:firstLineChars="200"/>
      </w:pPr>
      <w:r>
        <w:rPr>
          <w:sz w:val="20"/>
        </w:rPr>
        <w:t>(</w:t>
      </w:r>
      <w:r>
        <w:rPr>
          <w:rFonts w:hint="eastAsia"/>
          <w:sz w:val="20"/>
          <w:lang w:val="en-US" w:eastAsia="zh-CN"/>
        </w:rPr>
        <w:t>11</w:t>
      </w:r>
      <w:r>
        <w:rPr>
          <w:sz w:val="21"/>
        </w:rPr>
        <w:t>)</w:t>
      </w:r>
      <w:r>
        <w:rPr>
          <w:sz w:val="20"/>
        </w:rPr>
        <w:t>法律规定其他可以申报的债权，债权人应当予以申报。
</w:t>
      </w:r>
    </w:p>
    <w:p w14:paraId="5525AE17">
      <w:pPr>
        <w:rPr>
          <w:sz w:val="21"/>
        </w:rPr>
      </w:pPr>
    </w:p>
    <w:p w14:paraId="0919131D">
      <w:pPr>
        <w:ind w:firstLine="420" w:firstLineChars="200"/>
      </w:pPr>
      <w:r>
        <w:rPr>
          <w:sz w:val="21"/>
        </w:rPr>
        <w:t>三、根据《企业破产法》规定，未申报或逾期申报债权的法律后果主要包</w:t>
      </w:r>
      <w:r>
        <w:rPr>
          <w:rFonts w:hint="eastAsia"/>
          <w:sz w:val="21"/>
          <w:lang w:val="en-US" w:eastAsia="zh-CN"/>
        </w:rPr>
        <w:t>括：</w:t>
      </w:r>
      <w:r>
        <w:rPr>
          <w:sz w:val="21"/>
        </w:rPr>
        <w:t>
</w:t>
      </w:r>
    </w:p>
    <w:p w14:paraId="249CE27E">
      <w:pPr>
        <w:ind w:firstLine="420" w:firstLineChars="200"/>
        <w:rPr>
          <w:sz w:val="21"/>
        </w:rPr>
      </w:pPr>
      <w:r>
        <w:rPr>
          <w:sz w:val="21"/>
        </w:rPr>
        <w:t>(</w:t>
      </w:r>
      <w:r>
        <w:rPr>
          <w:rFonts w:hint="eastAsia"/>
          <w:sz w:val="21"/>
          <w:lang w:val="en-US" w:eastAsia="zh-CN"/>
        </w:rPr>
        <w:t>1</w:t>
      </w:r>
      <w:r>
        <w:rPr>
          <w:sz w:val="21"/>
        </w:rPr>
        <w:t>)债权人未申报债权，不得依照《企业破产法》规定的程序行使权利;
</w:t>
      </w:r>
    </w:p>
    <w:p w14:paraId="7B41D225">
      <w:pPr>
        <w:ind w:firstLine="420" w:firstLineChars="200"/>
        <w:rPr>
          <w:sz w:val="21"/>
        </w:rPr>
      </w:pPr>
    </w:p>
    <w:p w14:paraId="47FF63C7">
      <w:pPr>
        <w:numPr>
          <w:ilvl w:val="0"/>
          <w:numId w:val="1"/>
        </w:numPr>
        <w:ind w:firstLine="420" w:firstLineChars="200"/>
        <w:rPr>
          <w:sz w:val="21"/>
        </w:rPr>
      </w:pPr>
      <w:r>
        <w:rPr>
          <w:sz w:val="21"/>
        </w:rPr>
        <w:t>债权人未按期申报，已分配的财产不对其补充分配。即使在破产财产最后分配前补充申报，此前已进行的分配仍不再补充分配，且债权人还应该承担因审查、确认补充债权的产生的相关费用;</w:t>
      </w:r>
    </w:p>
    <w:p w14:paraId="03C6B258">
      <w:pPr>
        <w:numPr>
          <w:ilvl w:val="0"/>
          <w:numId w:val="0"/>
        </w:numPr>
        <w:rPr>
          <w:sz w:val="21"/>
        </w:rPr>
      </w:pPr>
      <w:r>
        <w:rPr>
          <w:sz w:val="21"/>
        </w:rPr>
        <w:cr/>
      </w:r>
      <w:r>
        <w:rPr>
          <w:sz w:val="21"/>
        </w:rPr>
        <w:t>
</w:t>
      </w:r>
      <w:r>
        <w:rPr>
          <w:rFonts w:hint="eastAsia"/>
          <w:sz w:val="21"/>
          <w:lang w:val="en-US" w:eastAsia="zh-CN"/>
        </w:rPr>
        <w:t xml:space="preserve">   </w:t>
      </w:r>
      <w:r>
        <w:rPr>
          <w:sz w:val="21"/>
        </w:rPr>
        <w:t>(3)如债务人进入重整程序，债权人未按期申报债权，在重整计划执行期间债权人不得行使权利，在重整计划执行完毕后，债权人可以按照重整计划规定的同类债权的清偿条件行使权利;</w:t>
      </w:r>
      <w:r>
        <w:rPr>
          <w:sz w:val="21"/>
        </w:rPr>
        <w:cr/>
      </w:r>
      <w:r>
        <w:rPr>
          <w:sz w:val="21"/>
        </w:rPr>
        <w:t>
</w:t>
      </w:r>
      <w:r>
        <w:rPr>
          <w:sz w:val="21"/>
        </w:rPr>
        <w:cr/>
      </w:r>
      <w:r>
        <w:rPr>
          <w:sz w:val="21"/>
        </w:rPr>
        <w:t>
</w:t>
      </w:r>
      <w:r>
        <w:rPr>
          <w:rFonts w:hint="eastAsia"/>
          <w:sz w:val="21"/>
          <w:lang w:val="en-US" w:eastAsia="zh-CN"/>
        </w:rPr>
        <w:t xml:space="preserve">  </w:t>
      </w:r>
      <w:r>
        <w:rPr>
          <w:sz w:val="21"/>
        </w:rPr>
        <w:t>(4)如债务人进入破产和解程序，债权人未按期申报债权，在和解协议计划执行期间债权人不得行使权利;债权人在和解协议执行完毕后，可以按照和解协议规定的清偿条件行使权利。
</w:t>
      </w:r>
      <w:r>
        <w:rPr>
          <w:sz w:val="21"/>
        </w:rPr>
        <w:cr/>
      </w:r>
      <w:r>
        <w:rPr>
          <w:sz w:val="21"/>
        </w:rPr>
        <w:t>
</w:t>
      </w:r>
    </w:p>
    <w:p w14:paraId="793F1DAC">
      <w:pPr>
        <w:numPr>
          <w:ilvl w:val="0"/>
          <w:numId w:val="0"/>
        </w:numPr>
        <w:ind w:firstLine="420" w:firstLineChars="200"/>
      </w:pPr>
      <w:r>
        <w:rPr>
          <w:sz w:val="21"/>
        </w:rPr>
        <w:t>四、申报人应当如实、详细填写《债权申报表》以及提供完整、真实有效的申报材料。申报债权应提供如下材料《〈除特别说明外均一式一份):</w:t>
      </w:r>
      <w:r>
        <w:rPr>
          <w:sz w:val="21"/>
        </w:rPr>
        <w:cr/>
      </w:r>
      <w:r>
        <w:rPr>
          <w:sz w:val="21"/>
        </w:rPr>
        <w:t>
</w:t>
      </w:r>
    </w:p>
    <w:p w14:paraId="64E57CDB">
      <w:pPr>
        <w:ind w:firstLine="420" w:firstLineChars="200"/>
      </w:pPr>
      <w:r>
        <w:rPr>
          <w:sz w:val="21"/>
        </w:rPr>
        <w:t>(</w:t>
      </w:r>
      <w:r>
        <w:rPr>
          <w:rFonts w:hint="eastAsia"/>
          <w:sz w:val="21"/>
          <w:lang w:val="en-US" w:eastAsia="zh-CN"/>
        </w:rPr>
        <w:t>1</w:t>
      </w:r>
      <w:r>
        <w:rPr>
          <w:sz w:val="21"/>
        </w:rPr>
        <w:t>)《债权申报人身份信息登记表》、《债权人身份信息登记资料清单》
《债权申报登记表》、《债权申报证据清单》</w:t>
      </w:r>
      <w:r>
        <w:rPr>
          <w:rFonts w:hint="eastAsia"/>
          <w:sz w:val="21"/>
          <w:lang w:eastAsia="zh-CN"/>
        </w:rPr>
        <w:t>、《</w:t>
      </w:r>
      <w:r>
        <w:rPr>
          <w:rFonts w:hint="eastAsia"/>
          <w:sz w:val="21"/>
          <w:lang w:val="en-US" w:eastAsia="zh-CN"/>
        </w:rPr>
        <w:t>法定代表人身份证明》</w:t>
      </w:r>
      <w:r>
        <w:rPr>
          <w:sz w:val="21"/>
        </w:rPr>
        <w:t>;</w:t>
      </w:r>
      <w:r>
        <w:rPr>
          <w:sz w:val="21"/>
        </w:rPr>
        <w:cr/>
      </w:r>
      <w:r>
        <w:rPr>
          <w:sz w:val="21"/>
        </w:rPr>
        <w:t>
</w:t>
      </w:r>
    </w:p>
    <w:p w14:paraId="3781D1EF">
      <w:pPr>
        <w:ind w:firstLine="420" w:firstLineChars="200"/>
      </w:pPr>
      <w:r>
        <w:rPr>
          <w:sz w:val="21"/>
        </w:rPr>
        <w:t>(2)债权人已年检的营业执照复印件〈加盖公章)、组织机构代码证复印件
(加盖公章)、法定代表人身份证明书《原件)、法定代表人身份证复印件(签字确认);债权人为自然人的，应提供个人身份证明〈复印件签字确认);
委托代理人申报的，需提交代理人授权委托书</w:t>
      </w:r>
      <w:r>
        <w:rPr>
          <w:rFonts w:hint="eastAsia"/>
          <w:sz w:val="21"/>
          <w:lang w:eastAsia="zh-CN"/>
        </w:rPr>
        <w:t>（</w:t>
      </w:r>
      <w:r>
        <w:rPr>
          <w:sz w:val="21"/>
        </w:rPr>
        <w:t>原件</w:t>
      </w:r>
      <w:r>
        <w:rPr>
          <w:rFonts w:hint="eastAsia"/>
          <w:sz w:val="21"/>
          <w:lang w:eastAsia="zh-CN"/>
        </w:rPr>
        <w:t>）</w:t>
      </w:r>
      <w:r>
        <w:rPr>
          <w:sz w:val="21"/>
        </w:rPr>
        <w:t>及代理人身份证件</w:t>
      </w:r>
      <w:r>
        <w:rPr>
          <w:rFonts w:hint="eastAsia"/>
          <w:sz w:val="21"/>
          <w:lang w:eastAsia="zh-CN"/>
        </w:rPr>
        <w:t>（</w:t>
      </w:r>
      <w:r>
        <w:rPr>
          <w:sz w:val="21"/>
        </w:rPr>
        <w:t>复印件签字确认</w:t>
      </w:r>
      <w:r>
        <w:rPr>
          <w:rFonts w:hint="eastAsia"/>
          <w:sz w:val="21"/>
          <w:lang w:eastAsia="zh-CN"/>
        </w:rPr>
        <w:t>）</w:t>
      </w:r>
      <w:r>
        <w:rPr>
          <w:sz w:val="21"/>
        </w:rPr>
        <w:t>，委托代理人是律师的还应提交律师事务所的指派函及律师执业证复印件;</w:t>
      </w:r>
      <w:r>
        <w:rPr>
          <w:sz w:val="21"/>
        </w:rPr>
        <w:cr/>
      </w:r>
      <w:r>
        <w:rPr>
          <w:sz w:val="21"/>
        </w:rPr>
        <w:t>
</w:t>
      </w:r>
      <w:r>
        <w:rPr>
          <w:sz w:val="21"/>
        </w:rPr>
        <w:cr/>
      </w:r>
      <w:r>
        <w:rPr>
          <w:sz w:val="21"/>
        </w:rPr>
        <w:t>
</w:t>
      </w:r>
      <w:r>
        <w:rPr>
          <w:rFonts w:hint="eastAsia"/>
          <w:sz w:val="21"/>
          <w:lang w:val="en-US" w:eastAsia="zh-CN"/>
        </w:rPr>
        <w:t xml:space="preserve">   </w:t>
      </w:r>
      <w:r>
        <w:rPr>
          <w:sz w:val="21"/>
        </w:rPr>
        <w:t>(3)证明债权事实的相关证据材料。申报人应当以与证据原件核对无误的复印件申报，证据材料应当附证据清单。</w:t>
      </w:r>
      <w:r>
        <w:rPr>
          <w:rFonts w:hint="eastAsia"/>
          <w:sz w:val="21"/>
          <w:lang w:eastAsia="zh-CN"/>
        </w:rPr>
        <w:t>（</w:t>
      </w:r>
      <w:r>
        <w:rPr>
          <w:sz w:val="21"/>
        </w:rPr>
        <w:t>进入司法程序或仲裁程序的，同时提交司法部门或仲裁机构出具的相关法律文书及相关法律文书的生效证明。</w:t>
      </w:r>
      <w:r>
        <w:rPr>
          <w:rFonts w:hint="eastAsia"/>
          <w:sz w:val="21"/>
          <w:lang w:eastAsia="zh-CN"/>
        </w:rPr>
        <w:t>）</w:t>
      </w:r>
      <w:r>
        <w:rPr>
          <w:sz w:val="21"/>
        </w:rPr>
        <w:cr/>
      </w:r>
      <w:r>
        <w:rPr>
          <w:sz w:val="21"/>
        </w:rPr>
        <w:t>
</w:t>
      </w:r>
      <w:r>
        <w:rPr>
          <w:sz w:val="21"/>
        </w:rPr>
        <w:cr/>
      </w:r>
      <w:r>
        <w:rPr>
          <w:sz w:val="21"/>
        </w:rPr>
        <w:t>
</w:t>
      </w:r>
      <w:r>
        <w:rPr>
          <w:rFonts w:hint="eastAsia"/>
          <w:sz w:val="21"/>
          <w:lang w:val="en-US" w:eastAsia="zh-CN"/>
        </w:rPr>
        <w:t xml:space="preserve">   </w:t>
      </w:r>
      <w:r>
        <w:rPr>
          <w:sz w:val="21"/>
        </w:rPr>
        <w:t>五、填写表格需注意的问题
</w:t>
      </w:r>
      <w:r>
        <w:rPr>
          <w:sz w:val="21"/>
        </w:rPr>
        <w:cr/>
      </w:r>
      <w:r>
        <w:rPr>
          <w:sz w:val="21"/>
        </w:rPr>
        <w:t>
</w:t>
      </w:r>
    </w:p>
    <w:p w14:paraId="12A6C95A">
      <w:pPr>
        <w:ind w:firstLine="420" w:firstLineChars="200"/>
      </w:pPr>
      <w:r>
        <w:rPr>
          <w:sz w:val="21"/>
        </w:rPr>
        <w:t>(</w:t>
      </w:r>
      <w:r>
        <w:rPr>
          <w:rFonts w:hint="eastAsia"/>
          <w:sz w:val="21"/>
          <w:lang w:val="en-US" w:eastAsia="zh-CN"/>
        </w:rPr>
        <w:t>1</w:t>
      </w:r>
      <w:r>
        <w:rPr>
          <w:sz w:val="21"/>
        </w:rPr>
        <w:t>)申报债权的金额:必须确定</w:t>
      </w:r>
      <w:r>
        <w:rPr>
          <w:rFonts w:hint="eastAsia"/>
          <w:sz w:val="21"/>
          <w:lang w:eastAsia="zh-CN"/>
        </w:rPr>
        <w:t>（</w:t>
      </w:r>
      <w:r>
        <w:rPr>
          <w:sz w:val="21"/>
        </w:rPr>
        <w:t>同一家企业只能申报一个债权总额</w:t>
      </w:r>
      <w:r>
        <w:rPr>
          <w:rFonts w:hint="eastAsia"/>
          <w:sz w:val="21"/>
          <w:lang w:eastAsia="zh-CN"/>
        </w:rPr>
        <w:t>）</w:t>
      </w:r>
      <w:r>
        <w:rPr>
          <w:sz w:val="21"/>
        </w:rPr>
        <w:t>，外币必须转换成人民币计值，汇率以</w:t>
      </w:r>
      <w:r>
        <w:rPr>
          <w:rFonts w:hint="eastAsia"/>
          <w:sz w:val="21"/>
          <w:lang w:eastAsia="zh-CN"/>
        </w:rPr>
        <w:t>2025年5月29日</w:t>
      </w:r>
      <w:r>
        <w:rPr>
          <w:sz w:val="21"/>
        </w:rPr>
        <w:t>人民银行公布的市场交易中间价为准</w:t>
      </w:r>
      <w:r>
        <w:rPr>
          <w:rFonts w:hint="eastAsia"/>
          <w:sz w:val="21"/>
          <w:lang w:eastAsia="zh-CN"/>
        </w:rPr>
        <w:t>（</w:t>
      </w:r>
      <w:r>
        <w:rPr>
          <w:sz w:val="21"/>
        </w:rPr>
        <w:t>并请提交银行出具的汇率证明</w:t>
      </w:r>
      <w:r>
        <w:rPr>
          <w:rFonts w:hint="eastAsia"/>
          <w:sz w:val="21"/>
          <w:lang w:eastAsia="zh-CN"/>
        </w:rPr>
        <w:t>）</w:t>
      </w:r>
      <w:r>
        <w:rPr>
          <w:sz w:val="21"/>
        </w:rPr>
        <w:t>;</w:t>
      </w:r>
      <w:r>
        <w:rPr>
          <w:sz w:val="21"/>
        </w:rPr>
        <w:cr/>
      </w:r>
      <w:r>
        <w:rPr>
          <w:sz w:val="21"/>
        </w:rPr>
        <w:t>
</w:t>
      </w:r>
      <w:r>
        <w:rPr>
          <w:sz w:val="21"/>
        </w:rPr>
        <w:cr/>
      </w:r>
      <w:r>
        <w:rPr>
          <w:sz w:val="21"/>
        </w:rPr>
        <w:t>
</w:t>
      </w:r>
      <w:r>
        <w:rPr>
          <w:rFonts w:hint="eastAsia"/>
          <w:sz w:val="21"/>
          <w:lang w:val="en-US" w:eastAsia="zh-CN"/>
        </w:rPr>
        <w:t xml:space="preserve">   </w:t>
      </w:r>
      <w:r>
        <w:rPr>
          <w:sz w:val="21"/>
        </w:rPr>
        <w:t>(2)利息债权:不超过</w:t>
      </w:r>
      <w:r>
        <w:rPr>
          <w:rFonts w:hint="eastAsia"/>
          <w:sz w:val="21"/>
          <w:lang w:eastAsia="zh-CN"/>
        </w:rPr>
        <w:t>2025年5月29日</w:t>
      </w:r>
      <w:r>
        <w:rPr>
          <w:sz w:val="21"/>
        </w:rPr>
        <w:t>;</w:t>
      </w:r>
      <w:r>
        <w:rPr>
          <w:sz w:val="21"/>
        </w:rPr>
        <w:cr/>
      </w:r>
      <w:r>
        <w:rPr>
          <w:sz w:val="21"/>
        </w:rPr>
        <w:t>
</w:t>
      </w:r>
      <w:r>
        <w:rPr>
          <w:sz w:val="21"/>
        </w:rPr>
        <w:cr/>
      </w:r>
      <w:r>
        <w:rPr>
          <w:sz w:val="21"/>
        </w:rPr>
        <w:t>
</w:t>
      </w:r>
    </w:p>
    <w:p w14:paraId="04EFFFC9">
      <w:pPr>
        <w:ind w:firstLine="420" w:firstLineChars="200"/>
      </w:pPr>
      <w:r>
        <w:rPr>
          <w:sz w:val="21"/>
        </w:rPr>
        <w:t>(3)基本事实项:简要陈述该债权的形成经过，另外对已开票金额和未开票金额应填写清楚;若涉及合同关系则该合同是否已经履行完毕要填写清楚。
</w:t>
      </w:r>
      <w:r>
        <w:rPr>
          <w:sz w:val="21"/>
        </w:rPr>
        <w:cr/>
      </w:r>
      <w:r>
        <w:rPr>
          <w:sz w:val="21"/>
        </w:rPr>
        <w:t>
</w:t>
      </w:r>
    </w:p>
    <w:p w14:paraId="10690A0D">
      <w:pPr>
        <w:ind w:firstLine="420" w:firstLineChars="200"/>
      </w:pPr>
      <w:r>
        <w:rPr>
          <w:sz w:val="21"/>
        </w:rPr>
        <w:t>六、现场申报的，申报人应当严格遵守申报秩序，服从管理人工作人员的安排，有序申报，并务必携带债权申报证据原件以便与管理人核对。
</w:t>
      </w:r>
      <w:r>
        <w:rPr>
          <w:sz w:val="21"/>
        </w:rPr>
        <w:cr/>
      </w:r>
      <w:r>
        <w:rPr>
          <w:sz w:val="21"/>
        </w:rPr>
        <w:t>
</w:t>
      </w:r>
    </w:p>
    <w:p w14:paraId="41C3CAAE">
      <w:pPr>
        <w:ind w:firstLine="420" w:firstLineChars="200"/>
      </w:pPr>
      <w:r>
        <w:rPr>
          <w:sz w:val="21"/>
        </w:rPr>
        <w:t>债权申报地址:福建省</w:t>
      </w:r>
      <w:r>
        <w:rPr>
          <w:rFonts w:hint="eastAsia"/>
          <w:sz w:val="21"/>
          <w:lang w:val="en-US" w:eastAsia="zh-CN"/>
        </w:rPr>
        <w:t>福鼎市太姥大道260号粮食大厦三楼</w:t>
      </w:r>
      <w:r>
        <w:rPr>
          <w:sz w:val="21"/>
        </w:rPr>
        <w:t>。债权申报时间:工作日上午9:00-1</w:t>
      </w:r>
      <w:r>
        <w:rPr>
          <w:rFonts w:hint="eastAsia"/>
          <w:sz w:val="21"/>
          <w:lang w:val="en-US" w:eastAsia="zh-CN"/>
        </w:rPr>
        <w:t>1</w:t>
      </w:r>
      <w:r>
        <w:rPr>
          <w:sz w:val="21"/>
        </w:rPr>
        <w:t>:</w:t>
      </w:r>
      <w:r>
        <w:rPr>
          <w:rFonts w:hint="eastAsia"/>
          <w:sz w:val="21"/>
          <w:lang w:val="en-US" w:eastAsia="zh-CN"/>
        </w:rPr>
        <w:t>3</w:t>
      </w:r>
      <w:r>
        <w:rPr>
          <w:sz w:val="21"/>
        </w:rPr>
        <w:t>0，下午3:00-</w:t>
      </w:r>
      <w:r>
        <w:rPr>
          <w:rFonts w:hint="eastAsia"/>
          <w:sz w:val="21"/>
          <w:lang w:val="en-US" w:eastAsia="zh-CN"/>
        </w:rPr>
        <w:t>5：3</w:t>
      </w:r>
      <w:r>
        <w:rPr>
          <w:sz w:val="21"/>
        </w:rPr>
        <w:t>0。
</w:t>
      </w:r>
      <w:r>
        <w:rPr>
          <w:sz w:val="21"/>
        </w:rPr>
        <w:cr/>
      </w:r>
      <w:r>
        <w:rPr>
          <w:sz w:val="21"/>
        </w:rPr>
        <w:t>
</w:t>
      </w:r>
    </w:p>
    <w:p w14:paraId="109781FE">
      <w:pPr>
        <w:ind w:firstLine="420" w:firstLineChars="200"/>
      </w:pPr>
      <w:r>
        <w:rPr>
          <w:sz w:val="21"/>
        </w:rPr>
        <w:t>选择邮寄的，则请邮寄至“福建省</w:t>
      </w:r>
      <w:r>
        <w:rPr>
          <w:rFonts w:hint="eastAsia"/>
          <w:sz w:val="21"/>
          <w:lang w:val="en-US" w:eastAsia="zh-CN"/>
        </w:rPr>
        <w:t>福鼎市太姥大道260号粮食大厦三楼</w:t>
      </w:r>
      <w:r>
        <w:rPr>
          <w:sz w:val="21"/>
        </w:rPr>
        <w:t>，</w:t>
      </w:r>
      <w:r>
        <w:rPr>
          <w:rFonts w:hint="eastAsia"/>
          <w:sz w:val="21"/>
          <w:lang w:val="en-US" w:eastAsia="zh-CN"/>
        </w:rPr>
        <w:t>朱私春，18010621355</w:t>
      </w:r>
      <w:r>
        <w:rPr>
          <w:sz w:val="21"/>
        </w:rPr>
        <w:t>”，请在邮寄单注明“</w:t>
      </w:r>
      <w:r>
        <w:rPr>
          <w:rFonts w:hint="eastAsia"/>
          <w:lang w:val="en-US" w:eastAsia="zh-CN"/>
        </w:rPr>
        <w:t>柘荣县新轩商贸有限公司</w:t>
      </w:r>
      <w:r>
        <w:rPr>
          <w:sz w:val="21"/>
        </w:rPr>
        <w:t>债权申报字样”，并保留邮件寄送底单。但债权人仍需在债权申报期届满前向管理人提供证据原件核对，未能提供证据原件的，其申报债权管理人不予确认，债权人将承担本须知第三条规定之法律后果。
</w:t>
      </w:r>
      <w:r>
        <w:rPr>
          <w:sz w:val="21"/>
        </w:rPr>
        <w:cr/>
      </w:r>
      <w:r>
        <w:rPr>
          <w:sz w:val="21"/>
        </w:rPr>
        <w:t>
</w:t>
      </w:r>
    </w:p>
    <w:p w14:paraId="7BD151B0"/>
    <w:p w14:paraId="4286A5C0">
      <w:r>
        <w:br w:type="page"/>
      </w:r>
    </w:p>
    <w:p w14:paraId="25834436">
      <w:pPr>
        <w:widowControl/>
        <w:shd w:val="clear" w:color="auto" w:fill="FFFFFF"/>
        <w:jc w:val="center"/>
        <w:rPr>
          <w:rFonts w:ascii="宋体" w:hAnsi="宋体" w:eastAsia="宋体" w:cs="宋体"/>
          <w:b/>
          <w:bCs/>
          <w:kern w:val="0"/>
          <w:sz w:val="32"/>
          <w:szCs w:val="32"/>
        </w:rPr>
      </w:pPr>
      <w:r>
        <w:rPr>
          <w:rFonts w:hint="eastAsia" w:ascii="宋体" w:hAnsi="宋体" w:eastAsia="宋体" w:cs="宋体"/>
          <w:b/>
          <w:bCs/>
          <w:kern w:val="0"/>
          <w:sz w:val="32"/>
          <w:szCs w:val="32"/>
          <w:lang w:eastAsia="zh-CN"/>
        </w:rPr>
        <w:t>柘荣县新轩商贸有限</w:t>
      </w:r>
      <w:r>
        <w:rPr>
          <w:rFonts w:hint="eastAsia" w:ascii="宋体" w:hAnsi="宋体" w:eastAsia="宋体" w:cs="宋体"/>
          <w:b/>
          <w:bCs/>
          <w:kern w:val="0"/>
          <w:sz w:val="32"/>
          <w:szCs w:val="32"/>
        </w:rPr>
        <w:t>公司破产清算（重整、和解）案</w:t>
      </w:r>
    </w:p>
    <w:p w14:paraId="012EEC73">
      <w:pPr>
        <w:widowControl/>
        <w:shd w:val="clear" w:color="auto" w:fill="FFFFFF"/>
        <w:jc w:val="center"/>
        <w:rPr>
          <w:rFonts w:ascii="宋体" w:hAnsi="宋体" w:eastAsia="宋体" w:cs="宋体"/>
          <w:b/>
          <w:bCs/>
          <w:kern w:val="0"/>
          <w:sz w:val="32"/>
          <w:szCs w:val="32"/>
        </w:rPr>
      </w:pPr>
      <w:r>
        <w:rPr>
          <w:rFonts w:hint="eastAsia" w:ascii="宋体" w:hAnsi="宋体" w:eastAsia="宋体" w:cs="宋体"/>
          <w:b/>
          <w:bCs/>
          <w:kern w:val="0"/>
          <w:sz w:val="32"/>
          <w:szCs w:val="32"/>
        </w:rPr>
        <w:t>债权申报登记表</w:t>
      </w:r>
    </w:p>
    <w:p w14:paraId="7227EE3A">
      <w:pPr>
        <w:widowControl/>
        <w:shd w:val="clear" w:color="auto" w:fill="FFFFFF"/>
        <w:jc w:val="right"/>
        <w:rPr>
          <w:rFonts w:ascii="仿宋_GB2312" w:hAnsi="宋体" w:eastAsia="仿宋_GB2312" w:cs="宋体"/>
          <w:kern w:val="0"/>
          <w:sz w:val="28"/>
          <w:szCs w:val="28"/>
        </w:rPr>
      </w:pPr>
      <w:r>
        <w:rPr>
          <w:rFonts w:hint="eastAsia" w:ascii="宋体" w:hAnsi="宋体" w:eastAsia="宋体" w:cs="宋体"/>
          <w:b/>
          <w:bCs/>
          <w:kern w:val="0"/>
          <w:sz w:val="32"/>
          <w:szCs w:val="32"/>
        </w:rPr>
        <w:t>            </w:t>
      </w:r>
      <w:r>
        <w:rPr>
          <w:rFonts w:hint="eastAsia" w:ascii="宋体" w:hAnsi="宋体" w:eastAsia="宋体" w:cs="宋体"/>
          <w:kern w:val="0"/>
          <w:sz w:val="32"/>
          <w:szCs w:val="32"/>
        </w:rPr>
        <w:t> </w:t>
      </w:r>
      <w:r>
        <w:rPr>
          <w:rFonts w:hint="eastAsia" w:ascii="仿宋_GB2312" w:hAnsi="宋体" w:eastAsia="仿宋_GB2312" w:cs="宋体"/>
          <w:kern w:val="0"/>
          <w:sz w:val="28"/>
          <w:szCs w:val="28"/>
        </w:rPr>
        <w:t>债权申报编号【   】</w:t>
      </w:r>
    </w:p>
    <w:tbl>
      <w:tblPr>
        <w:tblStyle w:val="9"/>
        <w:tblW w:w="8590" w:type="dxa"/>
        <w:tblInd w:w="0" w:type="dxa"/>
        <w:shd w:val="clear" w:color="auto" w:fill="FFFFFF"/>
        <w:tblLayout w:type="autofit"/>
        <w:tblCellMar>
          <w:top w:w="0" w:type="dxa"/>
          <w:left w:w="0" w:type="dxa"/>
          <w:bottom w:w="0" w:type="dxa"/>
          <w:right w:w="0" w:type="dxa"/>
        </w:tblCellMar>
      </w:tblPr>
      <w:tblGrid>
        <w:gridCol w:w="800"/>
        <w:gridCol w:w="1322"/>
        <w:gridCol w:w="1463"/>
        <w:gridCol w:w="15"/>
        <w:gridCol w:w="223"/>
        <w:gridCol w:w="708"/>
        <w:gridCol w:w="713"/>
        <w:gridCol w:w="636"/>
        <w:gridCol w:w="269"/>
        <w:gridCol w:w="225"/>
        <w:gridCol w:w="851"/>
        <w:gridCol w:w="141"/>
        <w:gridCol w:w="1224"/>
      </w:tblGrid>
      <w:tr w14:paraId="3825F1E7">
        <w:tblPrEx>
          <w:shd w:val="clear" w:color="auto" w:fill="FFFFFF"/>
          <w:tblCellMar>
            <w:top w:w="0" w:type="dxa"/>
            <w:left w:w="0" w:type="dxa"/>
            <w:bottom w:w="0" w:type="dxa"/>
            <w:right w:w="0" w:type="dxa"/>
          </w:tblCellMar>
        </w:tblPrEx>
        <w:trPr>
          <w:trHeight w:val="880" w:hRule="atLeast"/>
        </w:trPr>
        <w:tc>
          <w:tcPr>
            <w:tcW w:w="800" w:type="dxa"/>
            <w:vMerge w:val="restart"/>
            <w:tcBorders>
              <w:top w:val="single" w:color="auto" w:sz="4" w:space="0"/>
              <w:left w:val="single" w:color="auto" w:sz="4" w:space="0"/>
              <w:bottom w:val="nil"/>
              <w:right w:val="nil"/>
            </w:tcBorders>
            <w:shd w:val="clear" w:color="auto" w:fill="FFFFFF"/>
            <w:tcMar>
              <w:top w:w="75" w:type="dxa"/>
              <w:left w:w="75" w:type="dxa"/>
              <w:bottom w:w="75" w:type="dxa"/>
              <w:right w:w="75" w:type="dxa"/>
            </w:tcMar>
            <w:vAlign w:val="center"/>
          </w:tcPr>
          <w:p w14:paraId="63E0804D">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申报人情况</w:t>
            </w:r>
          </w:p>
        </w:tc>
        <w:tc>
          <w:tcPr>
            <w:tcW w:w="1322" w:type="dxa"/>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364DB0B3">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申报人姓名（名称）</w:t>
            </w:r>
          </w:p>
        </w:tc>
        <w:tc>
          <w:tcPr>
            <w:tcW w:w="6468" w:type="dxa"/>
            <w:gridSpan w:val="11"/>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7A805C80">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52EF6AE3">
        <w:tblPrEx>
          <w:tblCellMar>
            <w:top w:w="0" w:type="dxa"/>
            <w:left w:w="0" w:type="dxa"/>
            <w:bottom w:w="0" w:type="dxa"/>
            <w:right w:w="0" w:type="dxa"/>
          </w:tblCellMar>
        </w:tblPrEx>
        <w:trPr>
          <w:trHeight w:val="811" w:hRule="atLeast"/>
        </w:trPr>
        <w:tc>
          <w:tcPr>
            <w:tcW w:w="0" w:type="auto"/>
            <w:vMerge w:val="continue"/>
            <w:tcBorders>
              <w:top w:val="nil"/>
              <w:left w:val="single" w:color="auto" w:sz="4" w:space="0"/>
              <w:bottom w:val="nil"/>
              <w:right w:val="nil"/>
            </w:tcBorders>
            <w:shd w:val="clear" w:color="auto" w:fill="FFFFFF"/>
            <w:vAlign w:val="center"/>
          </w:tcPr>
          <w:p w14:paraId="3926E10F">
            <w:pPr>
              <w:widowControl/>
              <w:jc w:val="left"/>
              <w:rPr>
                <w:rFonts w:ascii="仿宋_GB2312" w:hAnsi="微软雅黑" w:eastAsia="仿宋_GB2312" w:cs="宋体"/>
                <w:kern w:val="0"/>
                <w:szCs w:val="21"/>
              </w:rPr>
            </w:pPr>
          </w:p>
        </w:tc>
        <w:tc>
          <w:tcPr>
            <w:tcW w:w="1322" w:type="dxa"/>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325392CC">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法定代表人</w:t>
            </w:r>
          </w:p>
          <w:p w14:paraId="693CFD99">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/主要负责人</w:t>
            </w:r>
          </w:p>
        </w:tc>
        <w:tc>
          <w:tcPr>
            <w:tcW w:w="1701" w:type="dxa"/>
            <w:gridSpan w:val="3"/>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349F69EB">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c>
          <w:tcPr>
            <w:tcW w:w="708" w:type="dxa"/>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14A25DBF">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电话</w:t>
            </w:r>
          </w:p>
        </w:tc>
        <w:tc>
          <w:tcPr>
            <w:tcW w:w="1618" w:type="dxa"/>
            <w:gridSpan w:val="3"/>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49D1FD27">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c>
          <w:tcPr>
            <w:tcW w:w="1076"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3D2959C2">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电子邮箱</w:t>
            </w:r>
          </w:p>
        </w:tc>
        <w:tc>
          <w:tcPr>
            <w:tcW w:w="1365"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7410B000">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4E2AA600">
        <w:tblPrEx>
          <w:tblCellMar>
            <w:top w:w="0" w:type="dxa"/>
            <w:left w:w="0" w:type="dxa"/>
            <w:bottom w:w="0" w:type="dxa"/>
            <w:right w:w="0" w:type="dxa"/>
          </w:tblCellMar>
        </w:tblPrEx>
        <w:trPr>
          <w:trHeight w:val="967" w:hRule="atLeast"/>
        </w:trPr>
        <w:tc>
          <w:tcPr>
            <w:tcW w:w="0" w:type="auto"/>
            <w:vMerge w:val="continue"/>
            <w:tcBorders>
              <w:top w:val="nil"/>
              <w:left w:val="single" w:color="auto" w:sz="4" w:space="0"/>
              <w:bottom w:val="nil"/>
              <w:right w:val="nil"/>
            </w:tcBorders>
            <w:shd w:val="clear" w:color="auto" w:fill="FFFFFF"/>
            <w:vAlign w:val="center"/>
          </w:tcPr>
          <w:p w14:paraId="46DD4173">
            <w:pPr>
              <w:widowControl/>
              <w:jc w:val="left"/>
              <w:rPr>
                <w:rFonts w:ascii="仿宋_GB2312" w:hAnsi="微软雅黑" w:eastAsia="仿宋_GB2312" w:cs="宋体"/>
                <w:kern w:val="0"/>
                <w:szCs w:val="21"/>
              </w:rPr>
            </w:pPr>
          </w:p>
        </w:tc>
        <w:tc>
          <w:tcPr>
            <w:tcW w:w="1322" w:type="dxa"/>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433910E6">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地址</w:t>
            </w:r>
          </w:p>
        </w:tc>
        <w:tc>
          <w:tcPr>
            <w:tcW w:w="6468" w:type="dxa"/>
            <w:gridSpan w:val="11"/>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7AB5582E">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4744B227">
        <w:tblPrEx>
          <w:tblCellMar>
            <w:top w:w="0" w:type="dxa"/>
            <w:left w:w="0" w:type="dxa"/>
            <w:bottom w:w="0" w:type="dxa"/>
            <w:right w:w="0" w:type="dxa"/>
          </w:tblCellMar>
        </w:tblPrEx>
        <w:trPr>
          <w:trHeight w:val="969" w:hRule="atLeast"/>
        </w:trPr>
        <w:tc>
          <w:tcPr>
            <w:tcW w:w="0" w:type="auto"/>
            <w:vMerge w:val="continue"/>
            <w:tcBorders>
              <w:top w:val="nil"/>
              <w:left w:val="single" w:color="auto" w:sz="4" w:space="0"/>
              <w:bottom w:val="single" w:color="auto" w:sz="4" w:space="0"/>
              <w:right w:val="nil"/>
            </w:tcBorders>
            <w:shd w:val="clear" w:color="auto" w:fill="FFFFFF"/>
            <w:vAlign w:val="center"/>
          </w:tcPr>
          <w:p w14:paraId="76C6BC6C">
            <w:pPr>
              <w:widowControl/>
              <w:jc w:val="left"/>
              <w:rPr>
                <w:rFonts w:ascii="仿宋_GB2312" w:hAnsi="微软雅黑" w:eastAsia="仿宋_GB2312" w:cs="宋体"/>
                <w:kern w:val="0"/>
                <w:szCs w:val="21"/>
              </w:rPr>
            </w:pPr>
          </w:p>
        </w:tc>
        <w:tc>
          <w:tcPr>
            <w:tcW w:w="1322" w:type="dxa"/>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3D9126FB">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开户银行</w:t>
            </w:r>
          </w:p>
        </w:tc>
        <w:tc>
          <w:tcPr>
            <w:tcW w:w="2409" w:type="dxa"/>
            <w:gridSpan w:val="4"/>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4822182A">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c>
          <w:tcPr>
            <w:tcW w:w="1618" w:type="dxa"/>
            <w:gridSpan w:val="3"/>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50AB303D">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账号</w:t>
            </w:r>
          </w:p>
        </w:tc>
        <w:tc>
          <w:tcPr>
            <w:tcW w:w="2441" w:type="dxa"/>
            <w:gridSpan w:val="4"/>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22CC55AB">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10E34C56">
        <w:tblPrEx>
          <w:tblCellMar>
            <w:top w:w="0" w:type="dxa"/>
            <w:left w:w="0" w:type="dxa"/>
            <w:bottom w:w="0" w:type="dxa"/>
            <w:right w:w="0" w:type="dxa"/>
          </w:tblCellMar>
        </w:tblPrEx>
        <w:trPr>
          <w:trHeight w:val="957" w:hRule="atLeast"/>
        </w:trPr>
        <w:tc>
          <w:tcPr>
            <w:tcW w:w="800" w:type="dxa"/>
            <w:vMerge w:val="restart"/>
            <w:tcBorders>
              <w:top w:val="single" w:color="auto" w:sz="4" w:space="0"/>
              <w:left w:val="single" w:color="auto" w:sz="4" w:space="0"/>
              <w:bottom w:val="nil"/>
              <w:right w:val="nil"/>
            </w:tcBorders>
            <w:shd w:val="clear" w:color="auto" w:fill="FFFFFF"/>
            <w:tcMar>
              <w:top w:w="75" w:type="dxa"/>
              <w:left w:w="75" w:type="dxa"/>
              <w:bottom w:w="75" w:type="dxa"/>
              <w:right w:w="75" w:type="dxa"/>
            </w:tcMar>
            <w:vAlign w:val="center"/>
          </w:tcPr>
          <w:p w14:paraId="452D90F2">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代理人情况</w:t>
            </w:r>
          </w:p>
        </w:tc>
        <w:tc>
          <w:tcPr>
            <w:tcW w:w="1322"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FD64EAC">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姓名</w:t>
            </w:r>
          </w:p>
        </w:tc>
        <w:tc>
          <w:tcPr>
            <w:tcW w:w="1701"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BBDD9E8">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c>
          <w:tcPr>
            <w:tcW w:w="708"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1952BFD">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电话</w:t>
            </w:r>
          </w:p>
        </w:tc>
        <w:tc>
          <w:tcPr>
            <w:tcW w:w="1618"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42EDFDEA">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c>
          <w:tcPr>
            <w:tcW w:w="1076"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9E5A6AE">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电子邮箱</w:t>
            </w:r>
          </w:p>
        </w:tc>
        <w:tc>
          <w:tcPr>
            <w:tcW w:w="1365"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51B6397C">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63EE1477">
        <w:tblPrEx>
          <w:tblCellMar>
            <w:top w:w="0" w:type="dxa"/>
            <w:left w:w="0" w:type="dxa"/>
            <w:bottom w:w="0" w:type="dxa"/>
            <w:right w:w="0" w:type="dxa"/>
          </w:tblCellMar>
        </w:tblPrEx>
        <w:trPr>
          <w:trHeight w:val="959" w:hRule="atLeast"/>
        </w:trPr>
        <w:tc>
          <w:tcPr>
            <w:tcW w:w="0" w:type="auto"/>
            <w:vMerge w:val="continue"/>
            <w:tcBorders>
              <w:top w:val="nil"/>
              <w:left w:val="single" w:color="auto" w:sz="4" w:space="0"/>
              <w:bottom w:val="nil"/>
              <w:right w:val="nil"/>
            </w:tcBorders>
            <w:shd w:val="clear" w:color="auto" w:fill="FFFFFF"/>
            <w:vAlign w:val="center"/>
          </w:tcPr>
          <w:p w14:paraId="1030720A">
            <w:pPr>
              <w:widowControl/>
              <w:jc w:val="left"/>
              <w:rPr>
                <w:rFonts w:ascii="仿宋_GB2312" w:hAnsi="微软雅黑" w:eastAsia="仿宋_GB2312" w:cs="宋体"/>
                <w:kern w:val="0"/>
                <w:szCs w:val="21"/>
              </w:rPr>
            </w:pPr>
          </w:p>
        </w:tc>
        <w:tc>
          <w:tcPr>
            <w:tcW w:w="1322" w:type="dxa"/>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782988E9">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联系地址</w:t>
            </w:r>
          </w:p>
        </w:tc>
        <w:tc>
          <w:tcPr>
            <w:tcW w:w="6468" w:type="dxa"/>
            <w:gridSpan w:val="11"/>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6F3045E2">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3C1DE599">
        <w:tblPrEx>
          <w:tblCellMar>
            <w:top w:w="0" w:type="dxa"/>
            <w:left w:w="0" w:type="dxa"/>
            <w:bottom w:w="0" w:type="dxa"/>
            <w:right w:w="0" w:type="dxa"/>
          </w:tblCellMar>
        </w:tblPrEx>
        <w:trPr>
          <w:trHeight w:val="638" w:hRule="atLeast"/>
        </w:trPr>
        <w:tc>
          <w:tcPr>
            <w:tcW w:w="8590" w:type="dxa"/>
            <w:gridSpan w:val="13"/>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2A848A3E">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债权详细信息</w:t>
            </w:r>
          </w:p>
        </w:tc>
      </w:tr>
      <w:tr w14:paraId="7F1F04D5">
        <w:tblPrEx>
          <w:tblCellMar>
            <w:top w:w="0" w:type="dxa"/>
            <w:left w:w="0" w:type="dxa"/>
            <w:bottom w:w="0" w:type="dxa"/>
            <w:right w:w="0" w:type="dxa"/>
          </w:tblCellMar>
        </w:tblPrEx>
        <w:tc>
          <w:tcPr>
            <w:tcW w:w="2122" w:type="dxa"/>
            <w:gridSpan w:val="2"/>
            <w:vMerge w:val="restart"/>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4C9A910D">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申报债权数额（总）</w:t>
            </w:r>
          </w:p>
        </w:tc>
        <w:tc>
          <w:tcPr>
            <w:tcW w:w="3122" w:type="dxa"/>
            <w:gridSpan w:val="5"/>
            <w:vMerge w:val="restart"/>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463AC834">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p w14:paraId="22E1AC55">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w:t>
            </w:r>
            <w:r>
              <w:rPr>
                <w:rFonts w:hint="eastAsia" w:ascii="仿宋_GB2312" w:hAnsi="微软雅黑" w:eastAsia="仿宋_GB2312" w:cs="宋体"/>
                <w:kern w:val="0"/>
                <w:szCs w:val="21"/>
                <w:u w:val="single"/>
              </w:rPr>
              <w:t>                   </w:t>
            </w:r>
          </w:p>
          <w:p w14:paraId="1A4C2243">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大写：</w:t>
            </w:r>
            <w:r>
              <w:rPr>
                <w:rFonts w:hint="eastAsia" w:ascii="仿宋_GB2312" w:hAnsi="微软雅黑" w:eastAsia="仿宋_GB2312" w:cs="宋体"/>
                <w:kern w:val="0"/>
                <w:szCs w:val="21"/>
                <w:u w:val="single"/>
              </w:rPr>
              <w:t>                 </w:t>
            </w:r>
          </w:p>
        </w:tc>
        <w:tc>
          <w:tcPr>
            <w:tcW w:w="1130" w:type="dxa"/>
            <w:gridSpan w:val="3"/>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332F3B0E">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本金债权</w:t>
            </w:r>
          </w:p>
        </w:tc>
        <w:tc>
          <w:tcPr>
            <w:tcW w:w="992"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381FA4C6">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利息债权</w:t>
            </w:r>
          </w:p>
        </w:tc>
        <w:tc>
          <w:tcPr>
            <w:tcW w:w="1224" w:type="dxa"/>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7CD47110">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其他（如滞纳金、违约金等）</w:t>
            </w:r>
          </w:p>
        </w:tc>
      </w:tr>
      <w:tr w14:paraId="65B22B16">
        <w:tblPrEx>
          <w:tblCellMar>
            <w:top w:w="0" w:type="dxa"/>
            <w:left w:w="0" w:type="dxa"/>
            <w:bottom w:w="0" w:type="dxa"/>
            <w:right w:w="0" w:type="dxa"/>
          </w:tblCellMar>
        </w:tblPrEx>
        <w:trPr>
          <w:trHeight w:val="3170" w:hRule="atLeast"/>
        </w:trPr>
        <w:tc>
          <w:tcPr>
            <w:tcW w:w="2122" w:type="dxa"/>
            <w:gridSpan w:val="2"/>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FDA7C53">
            <w:pPr>
              <w:widowControl/>
              <w:jc w:val="left"/>
              <w:rPr>
                <w:rFonts w:ascii="仿宋_GB2312" w:hAnsi="微软雅黑" w:eastAsia="仿宋_GB2312" w:cs="宋体"/>
                <w:kern w:val="0"/>
                <w:szCs w:val="21"/>
              </w:rPr>
            </w:pPr>
          </w:p>
        </w:tc>
        <w:tc>
          <w:tcPr>
            <w:tcW w:w="3122" w:type="dxa"/>
            <w:gridSpan w:val="5"/>
            <w:vMerge w:val="continue"/>
            <w:tcBorders>
              <w:top w:val="single" w:color="000000" w:sz="8" w:space="0"/>
              <w:left w:val="single" w:color="000000" w:sz="8" w:space="0"/>
              <w:bottom w:val="single" w:color="000000" w:sz="8" w:space="0"/>
              <w:right w:val="single" w:color="000000" w:sz="8" w:space="0"/>
            </w:tcBorders>
            <w:shd w:val="clear" w:color="auto" w:fill="FFFFFF"/>
            <w:vAlign w:val="center"/>
          </w:tcPr>
          <w:p w14:paraId="1D49C88C">
            <w:pPr>
              <w:widowControl/>
              <w:jc w:val="left"/>
              <w:rPr>
                <w:rFonts w:ascii="仿宋_GB2312" w:hAnsi="微软雅黑" w:eastAsia="仿宋_GB2312" w:cs="宋体"/>
                <w:kern w:val="0"/>
                <w:szCs w:val="21"/>
              </w:rPr>
            </w:pPr>
          </w:p>
        </w:tc>
        <w:tc>
          <w:tcPr>
            <w:tcW w:w="1130" w:type="dxa"/>
            <w:gridSpan w:val="3"/>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4A1E26EE">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c>
          <w:tcPr>
            <w:tcW w:w="992"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45684103">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c>
          <w:tcPr>
            <w:tcW w:w="1224" w:type="dxa"/>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5BABE8E0">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45BBB904">
        <w:tblPrEx>
          <w:tblCellMar>
            <w:top w:w="0" w:type="dxa"/>
            <w:left w:w="0" w:type="dxa"/>
            <w:bottom w:w="0" w:type="dxa"/>
            <w:right w:w="0" w:type="dxa"/>
          </w:tblCellMar>
        </w:tblPrEx>
        <w:tc>
          <w:tcPr>
            <w:tcW w:w="2122"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6A487E1B">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债权是否附条件、期限，条件、期限是否成就</w:t>
            </w:r>
          </w:p>
          <w:p w14:paraId="732059FC">
            <w:pPr>
              <w:widowControl/>
              <w:jc w:val="left"/>
              <w:textAlignment w:val="center"/>
              <w:rPr>
                <w:rFonts w:ascii="仿宋_GB2312" w:hAnsi="微软雅黑" w:eastAsia="仿宋_GB2312" w:cs="宋体"/>
                <w:kern w:val="0"/>
                <w:szCs w:val="21"/>
              </w:rPr>
            </w:pPr>
          </w:p>
        </w:tc>
        <w:tc>
          <w:tcPr>
            <w:tcW w:w="1478"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18C007F1">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c>
          <w:tcPr>
            <w:tcW w:w="1644" w:type="dxa"/>
            <w:gridSpan w:val="3"/>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1F403CAC">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是否经人民法院、仲裁机构裁决、公证机关公证及相关文书</w:t>
            </w:r>
          </w:p>
        </w:tc>
        <w:tc>
          <w:tcPr>
            <w:tcW w:w="1130" w:type="dxa"/>
            <w:gridSpan w:val="3"/>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7275A4FC">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c>
          <w:tcPr>
            <w:tcW w:w="992"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3FF1FFF6">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是否经强制执行、保全情况、清偿情况</w:t>
            </w:r>
          </w:p>
        </w:tc>
        <w:tc>
          <w:tcPr>
            <w:tcW w:w="1224" w:type="dxa"/>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0DD5BCEC">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1F561217">
        <w:tblPrEx>
          <w:tblCellMar>
            <w:top w:w="0" w:type="dxa"/>
            <w:left w:w="0" w:type="dxa"/>
            <w:bottom w:w="0" w:type="dxa"/>
            <w:right w:w="0" w:type="dxa"/>
          </w:tblCellMar>
        </w:tblPrEx>
        <w:tc>
          <w:tcPr>
            <w:tcW w:w="2122"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772FC49B">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债权性质（法定优先权债权、有财产担保债权、职工债权、税款债权、普通债权）</w:t>
            </w:r>
          </w:p>
        </w:tc>
        <w:tc>
          <w:tcPr>
            <w:tcW w:w="6468" w:type="dxa"/>
            <w:gridSpan w:val="11"/>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770D9C61">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403BCD0A">
        <w:tblPrEx>
          <w:tblCellMar>
            <w:top w:w="0" w:type="dxa"/>
            <w:left w:w="0" w:type="dxa"/>
            <w:bottom w:w="0" w:type="dxa"/>
            <w:right w:w="0" w:type="dxa"/>
          </w:tblCellMar>
        </w:tblPrEx>
        <w:trPr>
          <w:trHeight w:val="1697" w:hRule="atLeast"/>
        </w:trPr>
        <w:tc>
          <w:tcPr>
            <w:tcW w:w="2122"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2801B3F6">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担保形式、金额、担保物、担保人或其他主体代偿情况</w:t>
            </w:r>
          </w:p>
        </w:tc>
        <w:tc>
          <w:tcPr>
            <w:tcW w:w="6468" w:type="dxa"/>
            <w:gridSpan w:val="11"/>
            <w:tcBorders>
              <w:top w:val="nil"/>
              <w:left w:val="nil"/>
              <w:bottom w:val="nil"/>
              <w:right w:val="single" w:color="auto" w:sz="4" w:space="0"/>
            </w:tcBorders>
            <w:shd w:val="clear" w:color="auto" w:fill="FFFFFF"/>
            <w:tcMar>
              <w:top w:w="75" w:type="dxa"/>
              <w:left w:w="75" w:type="dxa"/>
              <w:bottom w:w="75" w:type="dxa"/>
              <w:right w:w="75" w:type="dxa"/>
            </w:tcMar>
            <w:vAlign w:val="center"/>
          </w:tcPr>
          <w:p w14:paraId="29710E8C">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0DB0C4CF">
        <w:tblPrEx>
          <w:tblCellMar>
            <w:top w:w="0" w:type="dxa"/>
            <w:left w:w="0" w:type="dxa"/>
            <w:bottom w:w="0" w:type="dxa"/>
            <w:right w:w="0" w:type="dxa"/>
          </w:tblCellMar>
        </w:tblPrEx>
        <w:trPr>
          <w:trHeight w:val="1252" w:hRule="atLeast"/>
        </w:trPr>
        <w:tc>
          <w:tcPr>
            <w:tcW w:w="2122" w:type="dxa"/>
            <w:gridSpan w:val="2"/>
            <w:tcBorders>
              <w:top w:val="nil"/>
              <w:left w:val="single" w:color="auto" w:sz="4" w:space="0"/>
              <w:bottom w:val="nil"/>
              <w:right w:val="single" w:color="auto" w:sz="4" w:space="0"/>
            </w:tcBorders>
            <w:shd w:val="clear" w:color="auto" w:fill="FFFFFF"/>
            <w:tcMar>
              <w:top w:w="75" w:type="dxa"/>
              <w:left w:w="75" w:type="dxa"/>
              <w:bottom w:w="75" w:type="dxa"/>
              <w:right w:w="75" w:type="dxa"/>
            </w:tcMar>
            <w:vAlign w:val="center"/>
          </w:tcPr>
          <w:p w14:paraId="283FE7EC">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是否有连带债务人（包括主债务人）</w:t>
            </w:r>
          </w:p>
        </w:tc>
        <w:tc>
          <w:tcPr>
            <w:tcW w:w="1463" w:type="dxa"/>
            <w:tcBorders>
              <w:top w:val="single" w:color="auto" w:sz="4" w:space="0"/>
              <w:left w:val="single" w:color="auto" w:sz="4" w:space="0"/>
              <w:bottom w:val="nil"/>
              <w:right w:val="nil"/>
            </w:tcBorders>
            <w:shd w:val="clear" w:color="auto" w:fill="FFFFFF"/>
            <w:tcMar>
              <w:top w:w="75" w:type="dxa"/>
              <w:left w:w="75" w:type="dxa"/>
              <w:bottom w:w="75" w:type="dxa"/>
              <w:right w:w="75" w:type="dxa"/>
            </w:tcMar>
            <w:vAlign w:val="center"/>
          </w:tcPr>
          <w:p w14:paraId="692C1CDC">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c>
          <w:tcPr>
            <w:tcW w:w="2295" w:type="dxa"/>
            <w:gridSpan w:val="5"/>
            <w:tcBorders>
              <w:top w:val="single" w:color="auto" w:sz="4" w:space="0"/>
              <w:left w:val="single" w:color="auto" w:sz="4" w:space="0"/>
              <w:bottom w:val="single" w:color="auto" w:sz="4" w:space="0"/>
              <w:right w:val="single" w:color="auto" w:sz="4" w:space="0"/>
            </w:tcBorders>
            <w:shd w:val="clear" w:color="auto" w:fill="FFFFFF"/>
            <w:tcMar>
              <w:top w:w="75" w:type="dxa"/>
              <w:left w:w="75" w:type="dxa"/>
              <w:bottom w:w="75" w:type="dxa"/>
              <w:right w:w="75" w:type="dxa"/>
            </w:tcMar>
            <w:vAlign w:val="center"/>
          </w:tcPr>
          <w:p w14:paraId="2ACDF609">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连带债务人（主债务人）名称及代偿情况</w:t>
            </w:r>
          </w:p>
        </w:tc>
        <w:tc>
          <w:tcPr>
            <w:tcW w:w="2710" w:type="dxa"/>
            <w:gridSpan w:val="5"/>
            <w:tcBorders>
              <w:top w:val="single" w:color="auto" w:sz="4" w:space="0"/>
              <w:left w:val="single" w:color="auto" w:sz="4" w:space="0"/>
              <w:bottom w:val="single" w:color="auto" w:sz="4" w:space="0"/>
              <w:right w:val="single" w:color="auto" w:sz="4" w:space="0"/>
            </w:tcBorders>
            <w:shd w:val="clear" w:color="auto" w:fill="FFFFFF"/>
            <w:tcMar>
              <w:top w:w="75" w:type="dxa"/>
              <w:left w:w="75" w:type="dxa"/>
              <w:bottom w:w="75" w:type="dxa"/>
              <w:right w:w="75" w:type="dxa"/>
            </w:tcMar>
            <w:vAlign w:val="center"/>
          </w:tcPr>
          <w:p w14:paraId="1C249B0A">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 </w:t>
            </w:r>
          </w:p>
        </w:tc>
      </w:tr>
      <w:tr w14:paraId="2D61422F">
        <w:tblPrEx>
          <w:tblCellMar>
            <w:top w:w="0" w:type="dxa"/>
            <w:left w:w="0" w:type="dxa"/>
            <w:bottom w:w="0" w:type="dxa"/>
            <w:right w:w="0" w:type="dxa"/>
          </w:tblCellMar>
        </w:tblPrEx>
        <w:trPr>
          <w:trHeight w:val="681" w:hRule="atLeast"/>
        </w:trPr>
        <w:tc>
          <w:tcPr>
            <w:tcW w:w="2122"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46F6C509">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基本事实</w:t>
            </w:r>
          </w:p>
        </w:tc>
        <w:tc>
          <w:tcPr>
            <w:tcW w:w="6468" w:type="dxa"/>
            <w:gridSpan w:val="11"/>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37FAD9D7">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（另附债权申报书详细阐述，并注明申报债权金额的计算方式）</w:t>
            </w:r>
          </w:p>
        </w:tc>
      </w:tr>
      <w:tr w14:paraId="7C59EC78">
        <w:tblPrEx>
          <w:tblCellMar>
            <w:top w:w="0" w:type="dxa"/>
            <w:left w:w="0" w:type="dxa"/>
            <w:bottom w:w="0" w:type="dxa"/>
            <w:right w:w="0" w:type="dxa"/>
          </w:tblCellMar>
        </w:tblPrEx>
        <w:trPr>
          <w:trHeight w:val="3230" w:hRule="atLeast"/>
        </w:trPr>
        <w:tc>
          <w:tcPr>
            <w:tcW w:w="2122" w:type="dxa"/>
            <w:gridSpan w:val="2"/>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7A784184">
            <w:pPr>
              <w:widowControl/>
              <w:jc w:val="center"/>
              <w:textAlignment w:val="center"/>
              <w:rPr>
                <w:rFonts w:ascii="仿宋_GB2312" w:hAnsi="微软雅黑" w:eastAsia="仿宋_GB2312" w:cs="宋体"/>
                <w:kern w:val="0"/>
                <w:szCs w:val="21"/>
              </w:rPr>
            </w:pPr>
            <w:r>
              <w:rPr>
                <w:rFonts w:hint="eastAsia" w:ascii="仿宋_GB2312" w:hAnsi="微软雅黑" w:eastAsia="仿宋_GB2312" w:cs="宋体"/>
                <w:kern w:val="0"/>
                <w:szCs w:val="21"/>
              </w:rPr>
              <w:t>备注</w:t>
            </w:r>
          </w:p>
        </w:tc>
        <w:tc>
          <w:tcPr>
            <w:tcW w:w="6468" w:type="dxa"/>
            <w:gridSpan w:val="11"/>
            <w:tcBorders>
              <w:top w:val="single" w:color="000000" w:sz="8" w:space="0"/>
              <w:left w:val="single" w:color="000000" w:sz="8" w:space="0"/>
              <w:bottom w:val="single" w:color="000000" w:sz="8" w:space="0"/>
              <w:right w:val="single" w:color="000000" w:sz="8" w:space="0"/>
            </w:tcBorders>
            <w:shd w:val="clear" w:color="auto" w:fill="FFFFFF"/>
            <w:tcMar>
              <w:top w:w="75" w:type="dxa"/>
              <w:left w:w="75" w:type="dxa"/>
              <w:bottom w:w="75" w:type="dxa"/>
              <w:right w:w="75" w:type="dxa"/>
            </w:tcMar>
            <w:vAlign w:val="center"/>
          </w:tcPr>
          <w:p w14:paraId="13F0C6B8">
            <w:pPr>
              <w:widowControl/>
              <w:jc w:val="left"/>
              <w:textAlignment w:val="center"/>
              <w:rPr>
                <w:rFonts w:ascii="仿宋_GB2312" w:hAnsi="微软雅黑" w:eastAsia="仿宋_GB2312" w:cs="宋体"/>
                <w:kern w:val="0"/>
                <w:szCs w:val="21"/>
              </w:rPr>
            </w:pPr>
            <w:r>
              <w:rPr>
                <w:rFonts w:hint="eastAsia" w:ascii="仿宋_GB2312" w:hAnsi="微软雅黑" w:eastAsia="仿宋_GB2312" w:cs="宋体"/>
                <w:b/>
                <w:bCs/>
                <w:kern w:val="0"/>
                <w:szCs w:val="21"/>
              </w:rPr>
              <w:t>1.管理人接受债权申报并进行登记，不代表对无效债权（包括超过诉讼时效期间债权）的重新确认；2.申报人承诺：已经全面知晓本次债权申报有关要求并保证所提供材料真实、合法、有效、完整，否则愿意承担相应法律责任。</w:t>
            </w:r>
          </w:p>
          <w:p w14:paraId="26056654">
            <w:pPr>
              <w:widowControl/>
              <w:jc w:val="left"/>
              <w:textAlignment w:val="center"/>
              <w:rPr>
                <w:rFonts w:ascii="仿宋_GB2312" w:hAnsi="微软雅黑" w:eastAsia="仿宋_GB2312" w:cs="宋体"/>
                <w:b/>
                <w:bCs/>
                <w:kern w:val="0"/>
                <w:szCs w:val="21"/>
              </w:rPr>
            </w:pPr>
            <w:r>
              <w:rPr>
                <w:rFonts w:hint="eastAsia" w:ascii="仿宋_GB2312" w:hAnsi="微软雅黑" w:eastAsia="仿宋_GB2312" w:cs="宋体"/>
                <w:b/>
                <w:bCs/>
                <w:kern w:val="0"/>
                <w:szCs w:val="21"/>
              </w:rPr>
              <w:t>                               </w:t>
            </w:r>
          </w:p>
          <w:p w14:paraId="62802570">
            <w:pPr>
              <w:widowControl/>
              <w:jc w:val="right"/>
              <w:textAlignment w:val="center"/>
              <w:rPr>
                <w:rFonts w:ascii="仿宋_GB2312" w:hAnsi="微软雅黑" w:eastAsia="仿宋_GB2312" w:cs="宋体"/>
                <w:kern w:val="0"/>
                <w:szCs w:val="21"/>
              </w:rPr>
            </w:pPr>
            <w:r>
              <w:rPr>
                <w:rFonts w:hint="eastAsia" w:ascii="仿宋_GB2312" w:hAnsi="微软雅黑" w:eastAsia="仿宋_GB2312" w:cs="宋体"/>
                <w:b/>
                <w:bCs/>
                <w:kern w:val="0"/>
                <w:szCs w:val="21"/>
              </w:rPr>
              <w:t> </w:t>
            </w:r>
          </w:p>
        </w:tc>
      </w:tr>
    </w:tbl>
    <w:p w14:paraId="6B07584A">
      <w:pPr>
        <w:widowControl/>
        <w:shd w:val="clear" w:color="auto" w:fill="FFFFFF"/>
        <w:jc w:val="right"/>
        <w:rPr>
          <w:rFonts w:ascii="仿宋_GB2312" w:hAnsi="微软雅黑" w:eastAsia="仿宋_GB2312" w:cs="宋体"/>
          <w:kern w:val="0"/>
          <w:sz w:val="27"/>
          <w:szCs w:val="27"/>
        </w:rPr>
      </w:pPr>
    </w:p>
    <w:p w14:paraId="1DD66F6B">
      <w:pPr>
        <w:widowControl/>
        <w:shd w:val="clear" w:color="auto" w:fill="FFFFFF"/>
        <w:jc w:val="right"/>
        <w:rPr>
          <w:rFonts w:ascii="仿宋_GB2312" w:hAnsi="微软雅黑" w:eastAsia="仿宋_GB2312" w:cs="宋体"/>
          <w:kern w:val="0"/>
          <w:sz w:val="18"/>
          <w:szCs w:val="18"/>
        </w:rPr>
      </w:pPr>
      <w:r>
        <w:rPr>
          <w:rFonts w:hint="eastAsia" w:ascii="仿宋_GB2312" w:hAnsi="微软雅黑" w:eastAsia="仿宋_GB2312" w:cs="宋体"/>
          <w:kern w:val="0"/>
          <w:sz w:val="27"/>
          <w:szCs w:val="27"/>
        </w:rPr>
        <w:t>申报人（签名或盖章）：                    </w:t>
      </w:r>
    </w:p>
    <w:p w14:paraId="66CF7497">
      <w:pPr>
        <w:widowControl/>
        <w:shd w:val="clear" w:color="auto" w:fill="FFFFFF"/>
        <w:ind w:firstLine="240"/>
        <w:jc w:val="right"/>
        <w:rPr>
          <w:rFonts w:ascii="仿宋_GB2312" w:hAnsi="微软雅黑" w:eastAsia="仿宋_GB2312" w:cs="宋体"/>
          <w:kern w:val="0"/>
          <w:sz w:val="18"/>
          <w:szCs w:val="18"/>
        </w:rPr>
      </w:pPr>
      <w:r>
        <w:rPr>
          <w:rFonts w:hint="eastAsia" w:ascii="仿宋_GB2312" w:hAnsi="微软雅黑" w:eastAsia="仿宋_GB2312" w:cs="宋体"/>
          <w:kern w:val="0"/>
          <w:sz w:val="27"/>
          <w:szCs w:val="27"/>
        </w:rPr>
        <w:t>申报日期：        年     月      日</w:t>
      </w:r>
    </w:p>
    <w:p w14:paraId="4AAA4525"/>
    <w:p w14:paraId="71D8EAF1">
      <w:r>
        <w:br w:type="page"/>
      </w:r>
    </w:p>
    <w:p w14:paraId="0BD61FE0">
      <w:pPr>
        <w:widowControl/>
        <w:shd w:val="clear" w:color="auto" w:fill="FFFFFF"/>
        <w:jc w:val="center"/>
        <w:rPr>
          <w:rFonts w:ascii="宋体" w:hAnsi="宋体" w:eastAsia="宋体" w:cs="宋体"/>
          <w:b/>
          <w:bCs/>
          <w:kern w:val="0"/>
          <w:sz w:val="32"/>
          <w:szCs w:val="32"/>
        </w:rPr>
      </w:pPr>
      <w:r>
        <w:rPr>
          <w:rFonts w:hint="eastAsia" w:ascii="宋体" w:hAnsi="宋体" w:eastAsia="宋体" w:cs="宋体"/>
          <w:b/>
          <w:bCs/>
          <w:kern w:val="0"/>
          <w:sz w:val="32"/>
          <w:szCs w:val="32"/>
          <w:lang w:eastAsia="zh-CN"/>
        </w:rPr>
        <w:t>柘荣县新轩商贸有限</w:t>
      </w:r>
      <w:r>
        <w:rPr>
          <w:rFonts w:hint="eastAsia" w:ascii="宋体" w:hAnsi="宋体" w:eastAsia="宋体" w:cs="宋体"/>
          <w:b/>
          <w:bCs/>
          <w:kern w:val="0"/>
          <w:sz w:val="32"/>
          <w:szCs w:val="32"/>
        </w:rPr>
        <w:t>公司破产清算（重整、和解）案</w:t>
      </w:r>
    </w:p>
    <w:p w14:paraId="1F59EB0F">
      <w:pPr>
        <w:widowControl/>
        <w:shd w:val="clear" w:color="auto" w:fill="FFFFFF"/>
        <w:jc w:val="center"/>
        <w:rPr>
          <w:rFonts w:ascii="宋体" w:hAnsi="宋体" w:eastAsia="宋体" w:cs="宋体"/>
          <w:b/>
          <w:bCs/>
          <w:kern w:val="0"/>
          <w:sz w:val="32"/>
          <w:szCs w:val="32"/>
        </w:rPr>
      </w:pPr>
      <w:r>
        <w:rPr>
          <w:rFonts w:hint="eastAsia" w:ascii="宋体" w:hAnsi="宋体" w:eastAsia="宋体" w:cs="宋体"/>
          <w:b/>
          <w:bCs/>
          <w:kern w:val="0"/>
          <w:sz w:val="32"/>
          <w:szCs w:val="32"/>
        </w:rPr>
        <w:t>债权申报书</w:t>
      </w:r>
    </w:p>
    <w:p w14:paraId="329CE14F">
      <w:pPr>
        <w:spacing w:line="500" w:lineRule="exact"/>
        <w:ind w:firstLine="640" w:firstLineChars="200"/>
        <w:rPr>
          <w:rFonts w:ascii="仿宋_GB2312" w:eastAsia="仿宋_GB2312"/>
          <w:sz w:val="32"/>
          <w:szCs w:val="32"/>
        </w:rPr>
      </w:pPr>
    </w:p>
    <w:p w14:paraId="57CC5287">
      <w:pPr>
        <w:spacing w:line="500" w:lineRule="exact"/>
        <w:ind w:firstLine="643" w:firstLineChars="200"/>
        <w:rPr>
          <w:rFonts w:ascii="仿宋_GB2312" w:eastAsia="仿宋_GB2312"/>
          <w:sz w:val="32"/>
          <w:szCs w:val="32"/>
        </w:rPr>
      </w:pPr>
      <w:r>
        <w:rPr>
          <w:rFonts w:hint="eastAsia" w:ascii="仿宋_GB2312" w:eastAsia="仿宋_GB2312"/>
          <w:b/>
          <w:bCs/>
          <w:sz w:val="32"/>
          <w:szCs w:val="32"/>
        </w:rPr>
        <w:t>申报人：</w:t>
      </w:r>
      <w:r>
        <w:rPr>
          <w:rFonts w:hint="eastAsia" w:ascii="仿宋_GB2312" w:eastAsia="仿宋_GB2312"/>
          <w:sz w:val="32"/>
          <w:szCs w:val="32"/>
        </w:rPr>
        <w:t>（自然人申报申报的，写明姓名、性别、出生年月、民族、住所地、公民身份号码、联系地址、联系电话；法人或非法人组织申报的，写明名称、住所地，组织机构代码、联系地址、联系电话）</w:t>
      </w:r>
    </w:p>
    <w:p w14:paraId="3E4398CA">
      <w:pPr>
        <w:spacing w:line="500" w:lineRule="exact"/>
        <w:ind w:firstLine="643" w:firstLineChars="200"/>
        <w:rPr>
          <w:rFonts w:ascii="仿宋_GB2312" w:eastAsia="仿宋_GB2312"/>
          <w:b/>
          <w:bCs/>
          <w:sz w:val="32"/>
          <w:szCs w:val="32"/>
        </w:rPr>
      </w:pPr>
      <w:r>
        <w:rPr>
          <w:rFonts w:hint="eastAsia" w:ascii="仿宋_GB2312" w:eastAsia="仿宋_GB2312"/>
          <w:b/>
          <w:bCs/>
          <w:sz w:val="32"/>
          <w:szCs w:val="32"/>
        </w:rPr>
        <w:t>申报事项：</w:t>
      </w:r>
    </w:p>
    <w:p w14:paraId="6F05BA20">
      <w:pPr>
        <w:spacing w:line="500" w:lineRule="exact"/>
        <w:ind w:firstLine="640" w:firstLineChars="200"/>
        <w:rPr>
          <w:rFonts w:ascii="仿宋_GB2312" w:eastAsia="仿宋_GB2312"/>
          <w:sz w:val="32"/>
          <w:szCs w:val="32"/>
          <w:u w:val="single"/>
        </w:rPr>
      </w:pPr>
      <w:r>
        <w:rPr>
          <w:rFonts w:hint="eastAsia" w:ascii="仿宋_GB2312" w:eastAsia="仿宋_GB2312"/>
          <w:sz w:val="32"/>
          <w:szCs w:val="32"/>
        </w:rPr>
        <w:t>申报</w:t>
      </w:r>
      <w:r>
        <w:rPr>
          <w:rFonts w:hint="eastAsia" w:ascii="仿宋_GB2312" w:eastAsia="仿宋_GB2312"/>
          <w:sz w:val="32"/>
          <w:szCs w:val="32"/>
          <w:u w:val="single"/>
        </w:rPr>
        <w:t>                 </w:t>
      </w:r>
      <w:r>
        <w:rPr>
          <w:rFonts w:hint="eastAsia" w:ascii="仿宋_GB2312" w:eastAsia="仿宋_GB2312"/>
          <w:sz w:val="32"/>
          <w:szCs w:val="32"/>
        </w:rPr>
        <w:t>公司破产清算（重整、和解）案债权本金</w:t>
      </w:r>
      <w:r>
        <w:rPr>
          <w:rFonts w:hint="eastAsia" w:ascii="仿宋_GB2312" w:eastAsia="仿宋_GB2312"/>
          <w:sz w:val="32"/>
          <w:szCs w:val="32"/>
          <w:u w:val="single"/>
        </w:rPr>
        <w:t>          </w:t>
      </w:r>
      <w:r>
        <w:rPr>
          <w:rFonts w:hint="eastAsia" w:ascii="仿宋_GB2312" w:eastAsia="仿宋_GB2312"/>
          <w:sz w:val="32"/>
          <w:szCs w:val="32"/>
        </w:rPr>
        <w:t>元，利息（包括罚息、复利、迟延履行期间债务利息等）  </w:t>
      </w:r>
      <w:r>
        <w:rPr>
          <w:rFonts w:hint="eastAsia" w:ascii="仿宋_GB2312" w:eastAsia="仿宋_GB2312"/>
          <w:sz w:val="32"/>
          <w:szCs w:val="32"/>
          <w:u w:val="single"/>
        </w:rPr>
        <w:t>        </w:t>
      </w:r>
      <w:r>
        <w:rPr>
          <w:rFonts w:hint="eastAsia" w:ascii="仿宋_GB2312" w:eastAsia="仿宋_GB2312"/>
          <w:sz w:val="32"/>
          <w:szCs w:val="32"/>
        </w:rPr>
        <w:t>元，其他（违约金、滞纳金等） </w:t>
      </w:r>
      <w:r>
        <w:rPr>
          <w:rFonts w:hint="eastAsia" w:ascii="仿宋_GB2312" w:eastAsia="仿宋_GB2312"/>
          <w:sz w:val="32"/>
          <w:szCs w:val="32"/>
          <w:u w:val="single"/>
        </w:rPr>
        <w:t>   </w:t>
      </w:r>
      <w:r>
        <w:rPr>
          <w:rFonts w:ascii="仿宋_GB2312" w:eastAsia="仿宋_GB2312"/>
          <w:sz w:val="32"/>
          <w:szCs w:val="32"/>
          <w:u w:val="single"/>
        </w:rPr>
        <w:t xml:space="preserve">   </w:t>
      </w:r>
      <w:r>
        <w:rPr>
          <w:rFonts w:hint="eastAsia" w:ascii="仿宋_GB2312" w:eastAsia="仿宋_GB2312"/>
          <w:sz w:val="32"/>
          <w:szCs w:val="32"/>
          <w:u w:val="single"/>
        </w:rPr>
        <w:t>  </w:t>
      </w:r>
      <w:r>
        <w:rPr>
          <w:rFonts w:hint="eastAsia" w:ascii="仿宋_GB2312" w:eastAsia="仿宋_GB2312"/>
          <w:sz w:val="32"/>
          <w:szCs w:val="32"/>
        </w:rPr>
        <w:t>元，合计</w:t>
      </w:r>
      <w:r>
        <w:rPr>
          <w:rFonts w:ascii="仿宋_GB2312" w:eastAsia="仿宋_GB2312"/>
          <w:sz w:val="32"/>
          <w:szCs w:val="32"/>
          <w:u w:val="single"/>
        </w:rPr>
        <w:t xml:space="preserve">           </w:t>
      </w:r>
    </w:p>
    <w:p w14:paraId="3D7FA889">
      <w:pPr>
        <w:spacing w:line="500" w:lineRule="exact"/>
        <w:ind w:firstLine="1280" w:firstLineChars="400"/>
        <w:rPr>
          <w:rFonts w:ascii="仿宋_GB2312" w:eastAsia="仿宋_GB2312"/>
          <w:sz w:val="32"/>
          <w:szCs w:val="32"/>
        </w:rPr>
      </w:pPr>
      <w:r>
        <w:rPr>
          <w:rFonts w:hint="eastAsia" w:ascii="仿宋_GB2312" w:eastAsia="仿宋_GB2312"/>
          <w:sz w:val="32"/>
          <w:szCs w:val="32"/>
        </w:rPr>
        <w:t>元；申报债权的性质为</w:t>
      </w:r>
      <w:r>
        <w:rPr>
          <w:rFonts w:hint="eastAsia" w:ascii="仿宋_GB2312" w:eastAsia="仿宋_GB2312"/>
          <w:sz w:val="32"/>
          <w:szCs w:val="32"/>
          <w:u w:val="single"/>
        </w:rPr>
        <w:t>                   </w:t>
      </w:r>
      <w:r>
        <w:rPr>
          <w:rFonts w:hint="eastAsia" w:ascii="仿宋_GB2312" w:eastAsia="仿宋_GB2312"/>
          <w:sz w:val="32"/>
          <w:szCs w:val="32"/>
        </w:rPr>
        <w:t>。</w:t>
      </w:r>
    </w:p>
    <w:p w14:paraId="6CCD0163">
      <w:pPr>
        <w:spacing w:line="500" w:lineRule="exact"/>
        <w:ind w:firstLine="643" w:firstLineChars="200"/>
        <w:rPr>
          <w:rFonts w:ascii="仿宋_GB2312" w:eastAsia="仿宋_GB2312"/>
          <w:b/>
          <w:bCs/>
          <w:sz w:val="32"/>
          <w:szCs w:val="32"/>
        </w:rPr>
      </w:pPr>
      <w:r>
        <w:rPr>
          <w:rFonts w:hint="eastAsia" w:ascii="仿宋_GB2312" w:eastAsia="仿宋_GB2312"/>
          <w:b/>
          <w:bCs/>
          <w:sz w:val="32"/>
          <w:szCs w:val="32"/>
        </w:rPr>
        <w:t>事实与理由：</w:t>
      </w:r>
    </w:p>
    <w:p w14:paraId="26A0B082">
      <w:pPr>
        <w:spacing w:line="500" w:lineRule="exact"/>
        <w:ind w:firstLine="640" w:firstLineChars="200"/>
        <w:rPr>
          <w:rFonts w:ascii="仿宋_GB2312" w:eastAsia="仿宋_GB2312"/>
          <w:sz w:val="32"/>
          <w:szCs w:val="32"/>
        </w:rPr>
      </w:pPr>
      <w:r>
        <w:rPr>
          <w:rFonts w:hint="eastAsia" w:ascii="仿宋_GB2312" w:eastAsia="仿宋_GB2312"/>
          <w:sz w:val="32"/>
          <w:szCs w:val="32"/>
        </w:rPr>
        <w:t>写明申报的债权金额、性质、形成原因、经过、有无财产担保、催讨情况、还款情况、执行情况、有无其他主体代偿情况等相关事项，并提供相应的证据材料。</w:t>
      </w:r>
    </w:p>
    <w:p w14:paraId="4C0BF1A9">
      <w:pPr>
        <w:spacing w:line="500" w:lineRule="exact"/>
        <w:ind w:firstLine="640" w:firstLineChars="200"/>
        <w:rPr>
          <w:rFonts w:ascii="仿宋_GB2312" w:eastAsia="仿宋_GB2312"/>
          <w:sz w:val="32"/>
          <w:szCs w:val="32"/>
        </w:rPr>
      </w:pPr>
      <w:r>
        <w:rPr>
          <w:rFonts w:hint="eastAsia" w:ascii="仿宋_GB2312" w:eastAsia="仿宋_GB2312"/>
          <w:sz w:val="32"/>
          <w:szCs w:val="32"/>
        </w:rPr>
        <w:t>（如申报利息须附利息计算表）</w:t>
      </w:r>
    </w:p>
    <w:p w14:paraId="06FA7139">
      <w:pPr>
        <w:rPr>
          <w:rFonts w:ascii="仿宋_GB2312" w:eastAsia="仿宋_GB2312"/>
          <w:sz w:val="32"/>
          <w:szCs w:val="32"/>
        </w:rPr>
      </w:pPr>
      <w:r>
        <w:rPr>
          <w:rFonts w:hint="eastAsia" w:ascii="仿宋_GB2312" w:eastAsia="仿宋_GB2312"/>
          <w:sz w:val="32"/>
          <w:szCs w:val="32"/>
        </w:rPr>
        <w:t> </w:t>
      </w:r>
    </w:p>
    <w:p w14:paraId="4D8218C3">
      <w:pPr>
        <w:rPr>
          <w:rFonts w:ascii="仿宋_GB2312" w:eastAsia="仿宋_GB2312"/>
          <w:sz w:val="32"/>
          <w:szCs w:val="32"/>
        </w:rPr>
      </w:pPr>
      <w:r>
        <w:rPr>
          <w:rFonts w:hint="eastAsia" w:ascii="仿宋_GB2312" w:eastAsia="仿宋_GB2312"/>
          <w:sz w:val="32"/>
          <w:szCs w:val="32"/>
        </w:rPr>
        <w:t>说明：该文本仅供参考，申报人可另行制作债权申报书。</w:t>
      </w:r>
    </w:p>
    <w:p w14:paraId="68128773">
      <w:pPr>
        <w:spacing w:line="50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                                </w:t>
      </w:r>
    </w:p>
    <w:p w14:paraId="7937BDA6">
      <w:pPr>
        <w:spacing w:line="500" w:lineRule="exact"/>
        <w:ind w:firstLine="640" w:firstLineChars="200"/>
        <w:rPr>
          <w:rFonts w:ascii="仿宋_GB2312" w:hAnsi="微软雅黑" w:eastAsia="仿宋_GB2312" w:cs="宋体"/>
          <w:kern w:val="0"/>
          <w:sz w:val="32"/>
          <w:szCs w:val="32"/>
        </w:rPr>
      </w:pPr>
    </w:p>
    <w:p w14:paraId="2B59D3D3">
      <w:pPr>
        <w:spacing w:line="500" w:lineRule="exact"/>
        <w:ind w:firstLine="640" w:firstLineChars="200"/>
        <w:rPr>
          <w:rFonts w:ascii="仿宋_GB2312" w:hAnsi="微软雅黑" w:eastAsia="仿宋_GB2312" w:cs="宋体"/>
          <w:kern w:val="0"/>
          <w:sz w:val="32"/>
          <w:szCs w:val="32"/>
        </w:rPr>
      </w:pPr>
    </w:p>
    <w:p w14:paraId="2DE923BD">
      <w:pPr>
        <w:spacing w:line="500" w:lineRule="exact"/>
        <w:ind w:firstLine="640" w:firstLineChars="200"/>
        <w:jc w:val="right"/>
        <w:rPr>
          <w:rFonts w:ascii="仿宋_GB2312" w:eastAsia="仿宋_GB2312"/>
          <w:sz w:val="32"/>
          <w:szCs w:val="32"/>
        </w:rPr>
      </w:pPr>
      <w:r>
        <w:rPr>
          <w:rFonts w:hint="eastAsia" w:ascii="仿宋_GB2312" w:eastAsia="仿宋_GB2312"/>
          <w:sz w:val="32"/>
          <w:szCs w:val="32"/>
        </w:rPr>
        <w:t>申报人：（盖章/签字）</w:t>
      </w:r>
    </w:p>
    <w:p w14:paraId="6A2235FC">
      <w:pPr>
        <w:spacing w:line="500" w:lineRule="exact"/>
        <w:ind w:firstLine="640" w:firstLineChars="200"/>
        <w:rPr>
          <w:rFonts w:ascii="仿宋_GB2312" w:eastAsia="仿宋_GB2312"/>
          <w:sz w:val="32"/>
          <w:szCs w:val="32"/>
        </w:rPr>
      </w:pPr>
      <w:r>
        <w:rPr>
          <w:rFonts w:hint="eastAsia" w:ascii="仿宋_GB2312" w:eastAsia="仿宋_GB2312"/>
          <w:sz w:val="32"/>
          <w:szCs w:val="32"/>
        </w:rPr>
        <w:t>                                      </w:t>
      </w:r>
      <w:r>
        <w:rPr>
          <w:rFonts w:ascii="仿宋_GB2312" w:eastAsia="仿宋_GB2312"/>
          <w:sz w:val="32"/>
          <w:szCs w:val="32"/>
        </w:rPr>
        <w:t xml:space="preserve">              </w:t>
      </w:r>
      <w:r>
        <w:rPr>
          <w:rFonts w:hint="eastAsia" w:ascii="仿宋_GB2312" w:eastAsia="仿宋_GB2312"/>
          <w:sz w:val="32"/>
          <w:szCs w:val="32"/>
        </w:rPr>
        <w:t> 年   月   日</w:t>
      </w:r>
    </w:p>
    <w:p w14:paraId="2E426620">
      <w:pPr>
        <w:spacing w:line="500" w:lineRule="exact"/>
        <w:ind w:firstLine="640" w:firstLineChars="200"/>
        <w:rPr>
          <w:rFonts w:ascii="仿宋_GB2312" w:eastAsia="仿宋_GB2312"/>
          <w:sz w:val="32"/>
          <w:szCs w:val="32"/>
        </w:rPr>
      </w:pPr>
    </w:p>
    <w:p w14:paraId="08FC6DF5">
      <w:r>
        <w:br w:type="page"/>
      </w:r>
    </w:p>
    <w:p w14:paraId="1D3A84BA">
      <w:pPr>
        <w:widowControl/>
        <w:shd w:val="clear" w:color="auto" w:fill="FFFFFF"/>
        <w:jc w:val="center"/>
        <w:rPr>
          <w:rFonts w:ascii="宋体" w:hAnsi="宋体" w:eastAsia="宋体" w:cs="宋体"/>
          <w:b/>
          <w:bCs/>
          <w:kern w:val="0"/>
          <w:sz w:val="32"/>
          <w:szCs w:val="32"/>
        </w:rPr>
      </w:pPr>
      <w:r>
        <w:rPr>
          <w:rFonts w:hint="eastAsia" w:ascii="宋体" w:hAnsi="宋体" w:eastAsia="宋体" w:cs="宋体"/>
          <w:b/>
          <w:bCs/>
          <w:kern w:val="0"/>
          <w:sz w:val="32"/>
          <w:szCs w:val="32"/>
          <w:lang w:eastAsia="zh-CN"/>
        </w:rPr>
        <w:t>柘荣县新轩商贸有限</w:t>
      </w:r>
      <w:r>
        <w:rPr>
          <w:rFonts w:hint="eastAsia" w:ascii="宋体" w:hAnsi="宋体" w:eastAsia="宋体" w:cs="宋体"/>
          <w:b/>
          <w:bCs/>
          <w:kern w:val="0"/>
          <w:sz w:val="32"/>
          <w:szCs w:val="32"/>
        </w:rPr>
        <w:t>公司破产清算（重整、和解）案</w:t>
      </w:r>
    </w:p>
    <w:p w14:paraId="5670FEE3">
      <w:pPr>
        <w:widowControl/>
        <w:shd w:val="clear" w:color="auto" w:fill="FFFFFF"/>
        <w:jc w:val="center"/>
        <w:rPr>
          <w:rFonts w:ascii="宋体" w:hAnsi="宋体" w:eastAsia="宋体" w:cs="宋体"/>
          <w:b/>
          <w:bCs/>
          <w:kern w:val="0"/>
          <w:sz w:val="32"/>
          <w:szCs w:val="32"/>
        </w:rPr>
      </w:pPr>
      <w:r>
        <w:rPr>
          <w:rFonts w:hint="eastAsia" w:ascii="宋体" w:hAnsi="宋体" w:eastAsia="宋体" w:cs="宋体"/>
          <w:b/>
          <w:bCs/>
          <w:kern w:val="0"/>
          <w:sz w:val="32"/>
          <w:szCs w:val="32"/>
        </w:rPr>
        <w:t> 授权委托书</w:t>
      </w:r>
    </w:p>
    <w:p w14:paraId="7C349563">
      <w:pPr>
        <w:widowControl/>
        <w:shd w:val="clear" w:color="auto" w:fill="FFFFFF"/>
        <w:spacing w:line="500" w:lineRule="exact"/>
        <w:jc w:val="left"/>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委托人：</w:t>
      </w:r>
      <w:r>
        <w:rPr>
          <w:rFonts w:hint="eastAsia" w:ascii="仿宋_GB2312" w:hAnsi="微软雅黑" w:eastAsia="仿宋_GB2312" w:cs="宋体"/>
          <w:b/>
          <w:bCs/>
          <w:kern w:val="0"/>
          <w:sz w:val="32"/>
          <w:szCs w:val="32"/>
          <w:u w:val="single"/>
        </w:rPr>
        <w:t>                                                    </w:t>
      </w:r>
      <w:r>
        <w:rPr>
          <w:rFonts w:hint="eastAsia" w:ascii="仿宋_GB2312" w:hAnsi="微软雅黑" w:eastAsia="仿宋_GB2312" w:cs="宋体"/>
          <w:b/>
          <w:bCs/>
          <w:kern w:val="0"/>
          <w:sz w:val="32"/>
          <w:szCs w:val="32"/>
        </w:rPr>
        <w:t>               </w:t>
      </w:r>
    </w:p>
    <w:p w14:paraId="0F2843FA">
      <w:pPr>
        <w:widowControl/>
        <w:shd w:val="clear" w:color="auto" w:fill="FFFFFF"/>
        <w:spacing w:line="500" w:lineRule="exact"/>
        <w:jc w:val="left"/>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公民身份号码：</w:t>
      </w:r>
      <w:r>
        <w:rPr>
          <w:rFonts w:hint="eastAsia" w:ascii="仿宋_GB2312" w:hAnsi="微软雅黑" w:eastAsia="仿宋_GB2312" w:cs="宋体"/>
          <w:b/>
          <w:bCs/>
          <w:kern w:val="0"/>
          <w:sz w:val="32"/>
          <w:szCs w:val="32"/>
          <w:u w:val="single"/>
        </w:rPr>
        <w:t>                        </w:t>
      </w:r>
      <w:r>
        <w:rPr>
          <w:rFonts w:ascii="仿宋_GB2312" w:hAnsi="微软雅黑" w:eastAsia="仿宋_GB2312" w:cs="宋体"/>
          <w:b/>
          <w:bCs/>
          <w:kern w:val="0"/>
          <w:sz w:val="32"/>
          <w:szCs w:val="32"/>
          <w:u w:val="single"/>
        </w:rPr>
        <w:t xml:space="preserve"> </w:t>
      </w:r>
      <w:r>
        <w:rPr>
          <w:rFonts w:hint="eastAsia" w:ascii="仿宋_GB2312" w:hAnsi="微软雅黑" w:eastAsia="仿宋_GB2312" w:cs="宋体"/>
          <w:b/>
          <w:bCs/>
          <w:kern w:val="0"/>
          <w:sz w:val="32"/>
          <w:szCs w:val="32"/>
          <w:u w:val="single"/>
        </w:rPr>
        <w:t>                 </w:t>
      </w:r>
      <w:r>
        <w:rPr>
          <w:rFonts w:hint="eastAsia" w:ascii="仿宋_GB2312" w:hAnsi="微软雅黑" w:eastAsia="仿宋_GB2312" w:cs="宋体"/>
          <w:b/>
          <w:bCs/>
          <w:kern w:val="0"/>
          <w:sz w:val="32"/>
          <w:szCs w:val="32"/>
        </w:rPr>
        <w:t>  </w:t>
      </w:r>
    </w:p>
    <w:p w14:paraId="62AF0FFE">
      <w:pPr>
        <w:widowControl/>
        <w:shd w:val="clear" w:color="auto" w:fill="FFFFFF"/>
        <w:spacing w:line="500" w:lineRule="exact"/>
        <w:jc w:val="left"/>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联系地址、电话:</w:t>
      </w:r>
      <w:r>
        <w:rPr>
          <w:rFonts w:hint="eastAsia" w:ascii="仿宋_GB2312" w:hAnsi="微软雅黑" w:eastAsia="仿宋_GB2312" w:cs="宋体"/>
          <w:b/>
          <w:bCs/>
          <w:kern w:val="0"/>
          <w:sz w:val="32"/>
          <w:szCs w:val="32"/>
          <w:u w:val="single"/>
        </w:rPr>
        <w:t>                                            </w:t>
      </w:r>
      <w:r>
        <w:rPr>
          <w:rFonts w:hint="eastAsia" w:ascii="仿宋_GB2312" w:hAnsi="微软雅黑" w:eastAsia="仿宋_GB2312" w:cs="宋体"/>
          <w:b/>
          <w:bCs/>
          <w:kern w:val="0"/>
          <w:sz w:val="32"/>
          <w:szCs w:val="32"/>
        </w:rPr>
        <w:t>  </w:t>
      </w:r>
    </w:p>
    <w:p w14:paraId="3814A823">
      <w:pPr>
        <w:widowControl/>
        <w:shd w:val="clear" w:color="auto" w:fill="FFFFFF"/>
        <w:spacing w:line="500" w:lineRule="exact"/>
        <w:jc w:val="left"/>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受托人：</w:t>
      </w:r>
      <w:r>
        <w:rPr>
          <w:rFonts w:hint="eastAsia" w:ascii="仿宋_GB2312" w:hAnsi="微软雅黑" w:eastAsia="仿宋_GB2312" w:cs="宋体"/>
          <w:b/>
          <w:bCs/>
          <w:kern w:val="0"/>
          <w:sz w:val="32"/>
          <w:szCs w:val="32"/>
          <w:u w:val="single"/>
        </w:rPr>
        <w:t>                                                   </w:t>
      </w:r>
      <w:r>
        <w:rPr>
          <w:rFonts w:hint="eastAsia" w:ascii="仿宋_GB2312" w:hAnsi="微软雅黑" w:eastAsia="仿宋_GB2312" w:cs="宋体"/>
          <w:b/>
          <w:bCs/>
          <w:kern w:val="0"/>
          <w:sz w:val="32"/>
          <w:szCs w:val="32"/>
        </w:rPr>
        <w:t>  </w:t>
      </w:r>
    </w:p>
    <w:p w14:paraId="1214560C">
      <w:pPr>
        <w:widowControl/>
        <w:shd w:val="clear" w:color="auto" w:fill="FFFFFF"/>
        <w:spacing w:line="500" w:lineRule="exact"/>
        <w:jc w:val="left"/>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公民身份号码：</w:t>
      </w:r>
      <w:r>
        <w:rPr>
          <w:rFonts w:hint="eastAsia" w:ascii="仿宋_GB2312" w:hAnsi="微软雅黑" w:eastAsia="仿宋_GB2312" w:cs="宋体"/>
          <w:b/>
          <w:bCs/>
          <w:kern w:val="0"/>
          <w:sz w:val="32"/>
          <w:szCs w:val="32"/>
          <w:u w:val="single"/>
        </w:rPr>
        <w:t>                                              </w:t>
      </w:r>
      <w:r>
        <w:rPr>
          <w:rFonts w:hint="eastAsia" w:ascii="仿宋_GB2312" w:hAnsi="微软雅黑" w:eastAsia="仿宋_GB2312" w:cs="宋体"/>
          <w:b/>
          <w:bCs/>
          <w:kern w:val="0"/>
          <w:sz w:val="32"/>
          <w:szCs w:val="32"/>
        </w:rPr>
        <w:t>  </w:t>
      </w:r>
    </w:p>
    <w:p w14:paraId="474957AC">
      <w:pPr>
        <w:widowControl/>
        <w:shd w:val="clear" w:color="auto" w:fill="FFFFFF"/>
        <w:spacing w:line="500" w:lineRule="exact"/>
        <w:jc w:val="left"/>
        <w:rPr>
          <w:rFonts w:ascii="仿宋_GB2312" w:hAnsi="微软雅黑" w:eastAsia="仿宋_GB2312" w:cs="宋体"/>
          <w:kern w:val="0"/>
          <w:sz w:val="32"/>
          <w:szCs w:val="32"/>
        </w:rPr>
      </w:pPr>
      <w:r>
        <w:rPr>
          <w:rFonts w:hint="eastAsia" w:ascii="仿宋_GB2312" w:hAnsi="微软雅黑" w:eastAsia="仿宋_GB2312" w:cs="宋体"/>
          <w:b/>
          <w:bCs/>
          <w:kern w:val="0"/>
          <w:sz w:val="32"/>
          <w:szCs w:val="32"/>
        </w:rPr>
        <w:t>联系地址、电话：</w:t>
      </w:r>
      <w:r>
        <w:rPr>
          <w:rFonts w:hint="eastAsia" w:ascii="仿宋_GB2312" w:hAnsi="微软雅黑" w:eastAsia="仿宋_GB2312" w:cs="宋体"/>
          <w:kern w:val="0"/>
          <w:sz w:val="32"/>
          <w:szCs w:val="32"/>
          <w:u w:val="single"/>
        </w:rPr>
        <w:t>                                             </w:t>
      </w:r>
      <w:r>
        <w:rPr>
          <w:rFonts w:hint="eastAsia" w:ascii="仿宋_GB2312" w:hAnsi="微软雅黑" w:eastAsia="仿宋_GB2312" w:cs="宋体"/>
          <w:kern w:val="0"/>
          <w:sz w:val="32"/>
          <w:szCs w:val="32"/>
        </w:rPr>
        <w:t>  </w:t>
      </w:r>
    </w:p>
    <w:p w14:paraId="0BC410FC">
      <w:pPr>
        <w:widowControl/>
        <w:shd w:val="clear" w:color="auto" w:fill="FFFFFF"/>
        <w:spacing w:line="500" w:lineRule="exact"/>
        <w:ind w:firstLine="56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 委托人 </w:t>
      </w:r>
      <w:r>
        <w:rPr>
          <w:rFonts w:hint="eastAsia" w:ascii="仿宋_GB2312" w:hAnsi="微软雅黑" w:eastAsia="仿宋_GB2312" w:cs="宋体"/>
          <w:kern w:val="0"/>
          <w:sz w:val="32"/>
          <w:szCs w:val="32"/>
          <w:u w:val="single"/>
        </w:rPr>
        <w:t>         </w:t>
      </w:r>
      <w:r>
        <w:rPr>
          <w:rFonts w:hint="eastAsia" w:ascii="仿宋_GB2312" w:hAnsi="微软雅黑" w:eastAsia="仿宋_GB2312" w:cs="宋体"/>
          <w:kern w:val="0"/>
          <w:sz w:val="32"/>
          <w:szCs w:val="32"/>
        </w:rPr>
        <w:t>就</w:t>
      </w:r>
      <w:r>
        <w:rPr>
          <w:rFonts w:hint="eastAsia" w:ascii="仿宋_GB2312" w:hAnsi="微软雅黑" w:eastAsia="仿宋_GB2312" w:cs="宋体"/>
          <w:kern w:val="0"/>
          <w:sz w:val="32"/>
          <w:szCs w:val="32"/>
          <w:u w:val="single"/>
        </w:rPr>
        <w:t>            </w:t>
      </w:r>
      <w:r>
        <w:rPr>
          <w:rFonts w:hint="eastAsia" w:ascii="仿宋_GB2312" w:hAnsi="微软雅黑" w:eastAsia="仿宋_GB2312" w:cs="宋体"/>
          <w:kern w:val="0"/>
          <w:sz w:val="32"/>
          <w:szCs w:val="32"/>
        </w:rPr>
        <w:t>公司破产清算（重整、和解）案，特委托</w:t>
      </w:r>
      <w:r>
        <w:rPr>
          <w:rFonts w:hint="eastAsia" w:ascii="仿宋_GB2312" w:hAnsi="微软雅黑" w:eastAsia="仿宋_GB2312" w:cs="宋体"/>
          <w:kern w:val="0"/>
          <w:sz w:val="32"/>
          <w:szCs w:val="32"/>
          <w:u w:val="single"/>
        </w:rPr>
        <w:t>         </w:t>
      </w:r>
      <w:r>
        <w:rPr>
          <w:rFonts w:hint="eastAsia" w:ascii="仿宋_GB2312" w:hAnsi="微软雅黑" w:eastAsia="仿宋_GB2312" w:cs="宋体"/>
          <w:kern w:val="0"/>
          <w:sz w:val="32"/>
          <w:szCs w:val="32"/>
        </w:rPr>
        <w:t>作为代理人参加破产程序。受托人的代理权限为特别授权，包括但不限于：</w:t>
      </w:r>
    </w:p>
    <w:p w14:paraId="2100FB7F">
      <w:pPr>
        <w:widowControl/>
        <w:shd w:val="clear" w:color="auto" w:fill="FFFFFF"/>
        <w:spacing w:line="500" w:lineRule="exact"/>
        <w:ind w:firstLine="56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1.债权申报、变更、放弃，提交相关证明文件、材料、与管理人审核、复核、确认债权、提出异议等与债权申报审核有关的事项；</w:t>
      </w:r>
    </w:p>
    <w:p w14:paraId="67370F3C">
      <w:pPr>
        <w:widowControl/>
        <w:shd w:val="clear" w:color="auto" w:fill="FFFFFF"/>
        <w:spacing w:line="500" w:lineRule="exact"/>
        <w:ind w:firstLine="56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2.提出取回权申请；</w:t>
      </w:r>
    </w:p>
    <w:p w14:paraId="1EBEDD45">
      <w:pPr>
        <w:widowControl/>
        <w:shd w:val="clear" w:color="auto" w:fill="FFFFFF"/>
        <w:spacing w:line="500" w:lineRule="exact"/>
        <w:ind w:firstLine="56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3.参加债权人会议并行使异议权、表决权；</w:t>
      </w:r>
    </w:p>
    <w:p w14:paraId="08BE85CC">
      <w:pPr>
        <w:widowControl/>
        <w:shd w:val="clear" w:color="auto" w:fill="FFFFFF"/>
        <w:spacing w:line="500" w:lineRule="exact"/>
        <w:ind w:firstLine="56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4.签署、递交、接收和传递与本案相关的法律文件；</w:t>
      </w:r>
    </w:p>
    <w:p w14:paraId="0C8C9C33">
      <w:pPr>
        <w:widowControl/>
        <w:shd w:val="clear" w:color="auto" w:fill="FFFFFF"/>
        <w:spacing w:line="500" w:lineRule="exact"/>
        <w:ind w:firstLine="56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5.办理受领分配款的有关手续；</w:t>
      </w:r>
    </w:p>
    <w:p w14:paraId="73D66096">
      <w:pPr>
        <w:widowControl/>
        <w:shd w:val="clear" w:color="auto" w:fill="FFFFFF"/>
        <w:spacing w:line="500" w:lineRule="exact"/>
        <w:ind w:firstLine="56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6.代为办理与本案有关的其他事项。</w:t>
      </w:r>
    </w:p>
    <w:p w14:paraId="4047CA9C">
      <w:pPr>
        <w:widowControl/>
        <w:shd w:val="clear" w:color="auto" w:fill="FFFFFF"/>
        <w:spacing w:line="500" w:lineRule="exact"/>
        <w:ind w:firstLine="588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 </w:t>
      </w:r>
    </w:p>
    <w:p w14:paraId="01AE5A8B">
      <w:pPr>
        <w:widowControl/>
        <w:shd w:val="clear" w:color="auto" w:fill="FFFFFF"/>
        <w:spacing w:line="500" w:lineRule="exact"/>
        <w:ind w:firstLine="540"/>
        <w:jc w:val="left"/>
        <w:rPr>
          <w:rFonts w:ascii="仿宋_GB2312" w:hAnsi="微软雅黑" w:eastAsia="仿宋_GB2312" w:cs="宋体"/>
          <w:kern w:val="0"/>
          <w:sz w:val="32"/>
          <w:szCs w:val="32"/>
        </w:rPr>
      </w:pPr>
      <w:r>
        <w:rPr>
          <w:rFonts w:hint="eastAsia" w:ascii="仿宋_GB2312" w:hAnsi="微软雅黑" w:eastAsia="仿宋_GB2312" w:cs="宋体"/>
          <w:b/>
          <w:bCs/>
          <w:kern w:val="0"/>
          <w:sz w:val="32"/>
          <w:szCs w:val="32"/>
          <w:u w:val="single"/>
        </w:rPr>
        <w:t>说明：该文本仅供参考，申报人可另行制作授权委托书。</w:t>
      </w:r>
    </w:p>
    <w:p w14:paraId="02F488D5">
      <w:pPr>
        <w:widowControl/>
        <w:shd w:val="clear" w:color="auto" w:fill="FFFFFF"/>
        <w:ind w:firstLine="588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 </w:t>
      </w:r>
    </w:p>
    <w:p w14:paraId="000B6D1E">
      <w:pPr>
        <w:widowControl/>
        <w:shd w:val="clear" w:color="auto" w:fill="FFFFFF"/>
        <w:ind w:firstLine="3840" w:firstLineChars="1200"/>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委托人（签字或盖章）： </w:t>
      </w:r>
    </w:p>
    <w:p w14:paraId="59DFF2D4">
      <w:pPr>
        <w:widowControl/>
        <w:shd w:val="clear" w:color="auto" w:fill="FFFFFF"/>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                                         </w:t>
      </w:r>
    </w:p>
    <w:p w14:paraId="197E3C28">
      <w:pPr>
        <w:widowControl/>
        <w:shd w:val="clear" w:color="auto" w:fill="FFFFFF"/>
        <w:jc w:val="left"/>
        <w:rPr>
          <w:rFonts w:ascii="仿宋_GB2312" w:hAnsi="微软雅黑" w:eastAsia="仿宋_GB2312" w:cs="宋体"/>
          <w:kern w:val="0"/>
          <w:sz w:val="32"/>
          <w:szCs w:val="32"/>
        </w:rPr>
      </w:pPr>
      <w:r>
        <w:rPr>
          <w:rFonts w:hint="eastAsia" w:ascii="仿宋_GB2312" w:hAnsi="微软雅黑" w:eastAsia="仿宋_GB2312" w:cs="宋体"/>
          <w:kern w:val="0"/>
          <w:sz w:val="32"/>
          <w:szCs w:val="32"/>
        </w:rPr>
        <w:t>                                            </w:t>
      </w:r>
      <w:r>
        <w:rPr>
          <w:rFonts w:ascii="仿宋_GB2312" w:hAnsi="微软雅黑" w:eastAsia="仿宋_GB2312" w:cs="宋体"/>
          <w:kern w:val="0"/>
          <w:sz w:val="32"/>
          <w:szCs w:val="32"/>
        </w:rPr>
        <w:t xml:space="preserve">      </w:t>
      </w:r>
      <w:r>
        <w:rPr>
          <w:rFonts w:hint="eastAsia" w:ascii="仿宋_GB2312" w:hAnsi="微软雅黑" w:eastAsia="仿宋_GB2312" w:cs="宋体"/>
          <w:kern w:val="0"/>
          <w:sz w:val="32"/>
          <w:szCs w:val="32"/>
        </w:rPr>
        <w:t> 年   月   日</w:t>
      </w:r>
    </w:p>
    <w:p w14:paraId="11950F44">
      <w:r>
        <w:br w:type="page"/>
      </w:r>
    </w:p>
    <w:p w14:paraId="4A1EADFE">
      <w:pPr>
        <w:widowControl/>
        <w:shd w:val="clear" w:color="auto" w:fill="FFFFFF"/>
        <w:jc w:val="center"/>
        <w:rPr>
          <w:rFonts w:ascii="宋体" w:hAnsi="宋体" w:eastAsia="宋体" w:cs="宋体"/>
          <w:b/>
          <w:bCs/>
          <w:kern w:val="0"/>
          <w:sz w:val="32"/>
          <w:szCs w:val="32"/>
        </w:rPr>
      </w:pPr>
      <w:r>
        <w:rPr>
          <w:rFonts w:hint="eastAsia" w:ascii="宋体" w:hAnsi="宋体" w:eastAsia="宋体" w:cs="宋体"/>
          <w:b/>
          <w:bCs/>
          <w:kern w:val="0"/>
          <w:sz w:val="32"/>
          <w:szCs w:val="32"/>
          <w:lang w:eastAsia="zh-CN"/>
        </w:rPr>
        <w:t>柘荣县新轩商贸有限公司</w:t>
      </w:r>
      <w:r>
        <w:rPr>
          <w:rFonts w:hint="eastAsia" w:ascii="宋体" w:hAnsi="宋体" w:eastAsia="宋体" w:cs="宋体"/>
          <w:b/>
          <w:bCs/>
          <w:kern w:val="0"/>
          <w:sz w:val="32"/>
          <w:szCs w:val="32"/>
        </w:rPr>
        <w:t>破产清算（重整、和解）案</w:t>
      </w:r>
    </w:p>
    <w:p w14:paraId="16BBB4A3">
      <w:pPr>
        <w:widowControl/>
        <w:shd w:val="clear" w:color="auto" w:fill="FFFFFF"/>
        <w:ind w:left="646"/>
        <w:jc w:val="center"/>
        <w:rPr>
          <w:rFonts w:ascii="宋体" w:hAnsi="宋体" w:eastAsia="宋体" w:cs="宋体"/>
          <w:b/>
          <w:bCs/>
          <w:kern w:val="0"/>
          <w:sz w:val="32"/>
          <w:szCs w:val="32"/>
        </w:rPr>
      </w:pPr>
      <w:r>
        <w:rPr>
          <w:rFonts w:hint="eastAsia" w:ascii="宋体" w:hAnsi="宋体" w:eastAsia="宋体" w:cs="宋体"/>
          <w:b/>
          <w:bCs/>
          <w:kern w:val="0"/>
          <w:sz w:val="32"/>
          <w:szCs w:val="32"/>
        </w:rPr>
        <w:t> 法定代表人/主要负责人身份证明</w:t>
      </w:r>
    </w:p>
    <w:p w14:paraId="7C73B0DE">
      <w:pPr>
        <w:widowControl/>
        <w:shd w:val="clear" w:color="auto" w:fill="FFFFFF"/>
        <w:ind w:left="432" w:firstLine="560"/>
        <w:jc w:val="left"/>
        <w:rPr>
          <w:rFonts w:ascii="微软雅黑" w:hAnsi="微软雅黑" w:eastAsia="微软雅黑" w:cs="宋体"/>
          <w:kern w:val="0"/>
          <w:sz w:val="27"/>
          <w:szCs w:val="27"/>
          <w:u w:val="single"/>
        </w:rPr>
      </w:pPr>
    </w:p>
    <w:p w14:paraId="175A5981">
      <w:pPr>
        <w:widowControl/>
        <w:shd w:val="clear" w:color="auto" w:fill="FFFFFF"/>
        <w:ind w:left="432" w:firstLine="640" w:firstLineChars="200"/>
        <w:jc w:val="left"/>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u w:val="single"/>
        </w:rPr>
        <w:t>             </w:t>
      </w:r>
      <w:r>
        <w:rPr>
          <w:rFonts w:hint="eastAsia" w:ascii="仿宋_GB2312" w:hAnsi="微软雅黑" w:eastAsia="仿宋_GB2312" w:cs="宋体"/>
          <w:kern w:val="0"/>
          <w:sz w:val="32"/>
          <w:szCs w:val="32"/>
        </w:rPr>
        <w:t>在</w:t>
      </w:r>
      <w:r>
        <w:rPr>
          <w:rFonts w:hint="eastAsia" w:ascii="仿宋_GB2312" w:hAnsi="微软雅黑" w:eastAsia="仿宋_GB2312" w:cs="宋体"/>
          <w:kern w:val="0"/>
          <w:sz w:val="32"/>
          <w:szCs w:val="32"/>
          <w:u w:val="single"/>
        </w:rPr>
        <w:t>                      </w:t>
      </w:r>
      <w:r>
        <w:rPr>
          <w:rFonts w:hint="eastAsia" w:ascii="仿宋_GB2312" w:hAnsi="微软雅黑" w:eastAsia="仿宋_GB2312" w:cs="宋体"/>
          <w:kern w:val="0"/>
          <w:sz w:val="32"/>
          <w:szCs w:val="32"/>
        </w:rPr>
        <w:t>公司担任</w:t>
      </w:r>
      <w:r>
        <w:rPr>
          <w:rFonts w:hint="eastAsia" w:ascii="仿宋_GB2312" w:hAnsi="微软雅黑" w:eastAsia="仿宋_GB2312" w:cs="宋体"/>
          <w:kern w:val="0"/>
          <w:sz w:val="32"/>
          <w:szCs w:val="32"/>
          <w:u w:val="single"/>
        </w:rPr>
        <w:t>              </w:t>
      </w:r>
      <w:r>
        <w:rPr>
          <w:rFonts w:hint="eastAsia" w:ascii="仿宋_GB2312" w:hAnsi="微软雅黑" w:eastAsia="仿宋_GB2312" w:cs="宋体"/>
          <w:kern w:val="0"/>
          <w:sz w:val="32"/>
          <w:szCs w:val="32"/>
        </w:rPr>
        <w:t>（职务），系</w:t>
      </w:r>
      <w:r>
        <w:rPr>
          <w:rFonts w:hint="eastAsia" w:ascii="仿宋_GB2312" w:hAnsi="微软雅黑" w:eastAsia="仿宋_GB2312" w:cs="宋体"/>
          <w:kern w:val="0"/>
          <w:sz w:val="32"/>
          <w:szCs w:val="32"/>
          <w:u w:val="single"/>
        </w:rPr>
        <w:t>                     </w:t>
      </w:r>
      <w:r>
        <w:rPr>
          <w:rFonts w:hint="eastAsia" w:ascii="仿宋_GB2312" w:hAnsi="微软雅黑" w:eastAsia="仿宋_GB2312" w:cs="宋体"/>
          <w:kern w:val="0"/>
          <w:sz w:val="32"/>
          <w:szCs w:val="32"/>
        </w:rPr>
        <w:t>公司的法定代表人/主要负责人。</w:t>
      </w:r>
    </w:p>
    <w:p w14:paraId="7A11EB37">
      <w:pPr>
        <w:widowControl/>
        <w:shd w:val="clear" w:color="auto" w:fill="FFFFFF"/>
        <w:ind w:left="432" w:firstLine="560"/>
        <w:jc w:val="left"/>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rPr>
        <w:t>特此证明</w:t>
      </w:r>
    </w:p>
    <w:p w14:paraId="183E4ADB">
      <w:pPr>
        <w:widowControl/>
        <w:shd w:val="clear" w:color="auto" w:fill="FFFFFF"/>
        <w:ind w:left="284"/>
        <w:jc w:val="left"/>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rPr>
        <w:t>                              </w:t>
      </w:r>
    </w:p>
    <w:p w14:paraId="56499C1D">
      <w:pPr>
        <w:widowControl/>
        <w:shd w:val="clear" w:color="auto" w:fill="FFFFFF"/>
        <w:ind w:left="284"/>
        <w:jc w:val="left"/>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rPr>
        <w:t> </w:t>
      </w:r>
    </w:p>
    <w:p w14:paraId="7BB5454D">
      <w:pPr>
        <w:widowControl/>
        <w:shd w:val="clear" w:color="auto" w:fill="FFFFFF"/>
        <w:ind w:left="284"/>
        <w:jc w:val="right"/>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u w:val="single"/>
        </w:rPr>
        <w:t>              </w:t>
      </w:r>
      <w:r>
        <w:rPr>
          <w:rFonts w:hint="eastAsia" w:ascii="仿宋_GB2312" w:hAnsi="微软雅黑" w:eastAsia="仿宋_GB2312" w:cs="宋体"/>
          <w:kern w:val="0"/>
          <w:sz w:val="32"/>
          <w:szCs w:val="32"/>
        </w:rPr>
        <w:t> 公司（公章）</w:t>
      </w:r>
    </w:p>
    <w:p w14:paraId="4CDB406B">
      <w:pPr>
        <w:widowControl/>
        <w:shd w:val="clear" w:color="auto" w:fill="FFFFFF"/>
        <w:ind w:left="284"/>
        <w:jc w:val="right"/>
        <w:rPr>
          <w:rFonts w:hint="eastAsia" w:ascii="仿宋_GB2312" w:hAnsi="微软雅黑" w:eastAsia="仿宋_GB2312" w:cs="宋体"/>
          <w:kern w:val="0"/>
          <w:sz w:val="32"/>
          <w:szCs w:val="32"/>
        </w:rPr>
      </w:pPr>
      <w:r>
        <w:rPr>
          <w:rFonts w:hint="eastAsia" w:ascii="仿宋_GB2312" w:hAnsi="微软雅黑" w:eastAsia="仿宋_GB2312"/>
          <w:sz w:val="32"/>
          <w:szCs w:val="32"/>
          <w:shd w:val="clear" w:color="auto" w:fill="FFFFFF"/>
        </w:rPr>
        <w:t>法定代表人签字或盖章</w:t>
      </w:r>
    </w:p>
    <w:p w14:paraId="5476A751">
      <w:pPr>
        <w:widowControl/>
        <w:shd w:val="clear" w:color="auto" w:fill="FFFFFF"/>
        <w:ind w:left="284" w:right="540"/>
        <w:jc w:val="right"/>
        <w:rPr>
          <w:rFonts w:hint="eastAsia" w:ascii="仿宋_GB2312" w:hAnsi="微软雅黑" w:eastAsia="仿宋_GB2312" w:cs="宋体"/>
          <w:kern w:val="0"/>
          <w:sz w:val="32"/>
          <w:szCs w:val="32"/>
        </w:rPr>
      </w:pPr>
      <w:r>
        <w:rPr>
          <w:rFonts w:hint="eastAsia" w:ascii="仿宋_GB2312" w:hAnsi="微软雅黑" w:eastAsia="仿宋_GB2312" w:cs="宋体"/>
          <w:kern w:val="0"/>
          <w:sz w:val="32"/>
          <w:szCs w:val="32"/>
        </w:rPr>
        <w:t>年    月   日</w:t>
      </w:r>
    </w:p>
    <w:p w14:paraId="6B6DE801"/>
    <w:p w14:paraId="4312223B">
      <w:r>
        <w:br w:type="page"/>
      </w:r>
    </w:p>
    <w:p w14:paraId="730E58A6">
      <w:pPr>
        <w:widowControl/>
        <w:shd w:val="clear" w:color="auto" w:fill="FFFFFF"/>
        <w:jc w:val="center"/>
        <w:rPr>
          <w:rFonts w:ascii="方正小标宋简体" w:hAnsi="方正小标宋简体" w:eastAsia="方正小标宋简体" w:cs="方正小标宋简体"/>
          <w:color w:val="000000"/>
          <w:sz w:val="36"/>
          <w:szCs w:val="36"/>
        </w:rPr>
      </w:pPr>
      <w:r>
        <w:rPr>
          <w:rFonts w:hint="eastAsia" w:ascii="宋体" w:hAnsi="宋体" w:eastAsia="宋体" w:cs="宋体"/>
          <w:b/>
          <w:bCs/>
          <w:kern w:val="0"/>
          <w:sz w:val="32"/>
          <w:szCs w:val="32"/>
          <w:lang w:eastAsia="zh-CN"/>
        </w:rPr>
        <w:t>柘荣县新轩商贸有限公司</w:t>
      </w:r>
      <w:r>
        <w:rPr>
          <w:rFonts w:hint="eastAsia" w:ascii="方正小标宋简体" w:hAnsi="方正小标宋简体" w:eastAsia="方正小标宋简体" w:cs="方正小标宋简体"/>
          <w:color w:val="000000"/>
          <w:sz w:val="36"/>
          <w:szCs w:val="36"/>
        </w:rPr>
        <w:t>破产</w:t>
      </w:r>
      <w:r>
        <w:rPr>
          <w:rFonts w:hint="eastAsia" w:ascii="方正小标宋简体" w:hAnsi="方正小标宋简体" w:eastAsia="方正小标宋简体" w:cs="方正小标宋简体"/>
          <w:b/>
          <w:bCs/>
          <w:color w:val="000000"/>
          <w:sz w:val="36"/>
          <w:szCs w:val="36"/>
        </w:rPr>
        <w:t>清算</w:t>
      </w:r>
      <w:r>
        <w:rPr>
          <w:rFonts w:hint="eastAsia" w:ascii="方正小标宋简体" w:hAnsi="方正小标宋简体" w:eastAsia="方正小标宋简体" w:cs="方正小标宋简体"/>
          <w:color w:val="000000"/>
          <w:sz w:val="36"/>
          <w:szCs w:val="36"/>
        </w:rPr>
        <w:t>（重整、和解）案</w:t>
      </w:r>
    </w:p>
    <w:p w14:paraId="364BC86C">
      <w:pPr>
        <w:spacing w:line="520" w:lineRule="exact"/>
        <w:jc w:val="center"/>
        <w:rPr>
          <w:rFonts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sz w:val="36"/>
          <w:szCs w:val="36"/>
        </w:rPr>
        <w:t>当</w:t>
      </w:r>
      <w:r>
        <w:rPr>
          <w:rFonts w:ascii="方正小标宋简体" w:hAnsi="方正小标宋简体" w:eastAsia="方正小标宋简体" w:cs="方正小标宋简体"/>
          <w:color w:val="000000"/>
          <w:sz w:val="36"/>
          <w:szCs w:val="36"/>
        </w:rPr>
        <w:t>事</w:t>
      </w:r>
      <w:r>
        <w:rPr>
          <w:rFonts w:hint="eastAsia" w:ascii="方正小标宋简体" w:hAnsi="方正小标宋简体" w:eastAsia="方正小标宋简体" w:cs="方正小标宋简体"/>
          <w:color w:val="000000"/>
          <w:sz w:val="36"/>
          <w:szCs w:val="36"/>
        </w:rPr>
        <w:t>人送达地址确认书</w:t>
      </w:r>
    </w:p>
    <w:tbl>
      <w:tblPr>
        <w:tblStyle w:val="9"/>
        <w:tblW w:w="9540" w:type="dxa"/>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4"/>
        <w:gridCol w:w="1656"/>
        <w:gridCol w:w="1389"/>
        <w:gridCol w:w="1343"/>
        <w:gridCol w:w="912"/>
        <w:gridCol w:w="258"/>
        <w:gridCol w:w="907"/>
        <w:gridCol w:w="2251"/>
      </w:tblGrid>
      <w:tr w14:paraId="4DA47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824" w:type="dxa"/>
          </w:tcPr>
          <w:p w14:paraId="4AFB0179">
            <w:pPr>
              <w:pStyle w:val="11"/>
              <w:spacing w:line="280" w:lineRule="exact"/>
              <w:jc w:val="center"/>
              <w:rPr>
                <w:rFonts w:hint="default"/>
                <w:b/>
              </w:rPr>
            </w:pPr>
            <w:r>
              <w:rPr>
                <w:rFonts w:asciiTheme="minorEastAsia" w:hAnsiTheme="minorEastAsia" w:eastAsiaTheme="minorEastAsia" w:cstheme="minorEastAsia"/>
                <w:b/>
                <w:sz w:val="21"/>
                <w:szCs w:val="21"/>
              </w:rPr>
              <w:t>受送达人</w:t>
            </w:r>
          </w:p>
        </w:tc>
        <w:tc>
          <w:tcPr>
            <w:tcW w:w="8716" w:type="dxa"/>
            <w:gridSpan w:val="7"/>
            <w:vAlign w:val="center"/>
          </w:tcPr>
          <w:p w14:paraId="64359B67">
            <w:pPr>
              <w:spacing w:line="280" w:lineRule="exact"/>
              <w:jc w:val="center"/>
              <w:rPr>
                <w:rFonts w:asciiTheme="minorEastAsia" w:hAnsiTheme="minorEastAsia" w:eastAsiaTheme="minorEastAsia" w:cstheme="minorEastAsia"/>
                <w:color w:val="000000"/>
                <w:sz w:val="21"/>
                <w:szCs w:val="21"/>
              </w:rPr>
            </w:pPr>
          </w:p>
        </w:tc>
      </w:tr>
      <w:tr w14:paraId="307C9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8" w:hRule="atLeast"/>
        </w:trPr>
        <w:tc>
          <w:tcPr>
            <w:tcW w:w="824" w:type="dxa"/>
          </w:tcPr>
          <w:p w14:paraId="5953FF8A">
            <w:pPr>
              <w:spacing w:line="280" w:lineRule="exact"/>
              <w:jc w:val="center"/>
              <w:rPr>
                <w:rFonts w:asciiTheme="minorEastAsia" w:hAnsiTheme="minorEastAsia" w:eastAsiaTheme="minorEastAsia" w:cstheme="minorEastAsia"/>
                <w:color w:val="000000"/>
                <w:sz w:val="21"/>
                <w:szCs w:val="21"/>
              </w:rPr>
            </w:pPr>
          </w:p>
          <w:p w14:paraId="366D38DC">
            <w:pPr>
              <w:pStyle w:val="11"/>
              <w:spacing w:line="280" w:lineRule="exact"/>
              <w:rPr>
                <w:rFonts w:hint="default" w:asciiTheme="minorEastAsia" w:hAnsiTheme="minorEastAsia" w:eastAsiaTheme="minorEastAsia" w:cstheme="minorEastAsia"/>
                <w:sz w:val="21"/>
                <w:szCs w:val="21"/>
              </w:rPr>
            </w:pPr>
          </w:p>
          <w:p w14:paraId="331A9E31">
            <w:pPr>
              <w:pStyle w:val="11"/>
              <w:spacing w:line="280" w:lineRule="exact"/>
              <w:rPr>
                <w:rFonts w:hint="default" w:asciiTheme="minorEastAsia" w:hAnsiTheme="minorEastAsia" w:eastAsiaTheme="minorEastAsia" w:cstheme="minorEastAsia"/>
                <w:sz w:val="21"/>
                <w:szCs w:val="21"/>
              </w:rPr>
            </w:pPr>
          </w:p>
          <w:p w14:paraId="27B4D036">
            <w:pPr>
              <w:pStyle w:val="11"/>
              <w:spacing w:line="280" w:lineRule="exact"/>
              <w:rPr>
                <w:rFonts w:hint="default" w:asciiTheme="minorEastAsia" w:hAnsiTheme="minorEastAsia" w:eastAsiaTheme="minorEastAsia" w:cstheme="minorEastAsia"/>
                <w:sz w:val="21"/>
                <w:szCs w:val="21"/>
              </w:rPr>
            </w:pPr>
          </w:p>
          <w:p w14:paraId="20714CFA">
            <w:pPr>
              <w:pStyle w:val="11"/>
              <w:spacing w:line="280" w:lineRule="exact"/>
              <w:rPr>
                <w:rFonts w:hint="default" w:asciiTheme="minorEastAsia" w:hAnsiTheme="minorEastAsia" w:eastAsiaTheme="minorEastAsia" w:cstheme="minorEastAsia"/>
                <w:sz w:val="21"/>
                <w:szCs w:val="21"/>
              </w:rPr>
            </w:pPr>
          </w:p>
          <w:p w14:paraId="31D6CD54">
            <w:pPr>
              <w:pStyle w:val="11"/>
              <w:spacing w:line="280" w:lineRule="exact"/>
              <w:rPr>
                <w:rFonts w:hint="default" w:asciiTheme="minorEastAsia" w:hAnsiTheme="minorEastAsia" w:eastAsiaTheme="minorEastAsia" w:cstheme="minorEastAsia"/>
                <w:sz w:val="21"/>
                <w:szCs w:val="21"/>
              </w:rPr>
            </w:pPr>
          </w:p>
          <w:p w14:paraId="59A968D4">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告</w:t>
            </w:r>
          </w:p>
          <w:p w14:paraId="449DFC5C">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知</w:t>
            </w:r>
          </w:p>
          <w:p w14:paraId="71E95A6D">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事</w:t>
            </w:r>
          </w:p>
          <w:p w14:paraId="42F41B57">
            <w:pPr>
              <w:pStyle w:val="11"/>
              <w:spacing w:line="280" w:lineRule="exact"/>
              <w:jc w:val="center"/>
              <w:rPr>
                <w:rFonts w:hint="default" w:asciiTheme="minorEastAsia" w:hAnsiTheme="minorEastAsia" w:eastAsiaTheme="minorEastAsia" w:cstheme="minorEastAsia"/>
                <w:sz w:val="21"/>
                <w:szCs w:val="21"/>
              </w:rPr>
            </w:pPr>
            <w:r>
              <w:rPr>
                <w:rFonts w:asciiTheme="minorEastAsia" w:hAnsiTheme="minorEastAsia" w:eastAsiaTheme="minorEastAsia" w:cstheme="minorEastAsia"/>
                <w:b/>
                <w:sz w:val="21"/>
                <w:szCs w:val="21"/>
              </w:rPr>
              <w:t>项</w:t>
            </w:r>
          </w:p>
        </w:tc>
        <w:tc>
          <w:tcPr>
            <w:tcW w:w="8716" w:type="dxa"/>
            <w:gridSpan w:val="7"/>
          </w:tcPr>
          <w:p w14:paraId="1C930114">
            <w:pPr>
              <w:spacing w:line="280" w:lineRule="exact"/>
              <w:ind w:firstLine="420" w:firstLineChars="200"/>
              <w:jc w:val="left"/>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1.依照《最高人民法院关于推进破产案件依法高效审理的意见》第3条规定，管理人在接管债务人财产、接受债权申报等执行职务过程中，应当要求债务人、债权人及其他利害关系人书面确认送达地址、电子送达方式及法律后果。有关送达规则，参照适用《最高人民法院关于进一步加强民事送达工作的若干意见》的规定。</w:t>
            </w:r>
          </w:p>
          <w:p w14:paraId="3AFA9CE2">
            <w:pPr>
              <w:spacing w:line="280" w:lineRule="exact"/>
              <w:ind w:firstLine="420" w:firstLineChars="200"/>
              <w:jc w:val="left"/>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2.依照《最高人民法院关于推进破产案件依法高效审理的意见》第1条第2款规定，对于企业破产法及相关司法解释规定需要通知或者告知的事项，人民法院、管理人可以采用电话、短信、传真、电子邮件、即时通信、通讯群组等能够确认其收悉的简便方式通知或者告知债权人、债务人及其他利害关系人。</w:t>
            </w:r>
          </w:p>
          <w:p w14:paraId="6D7DDA1B">
            <w:pPr>
              <w:spacing w:line="280" w:lineRule="exact"/>
              <w:ind w:firstLine="420" w:firstLineChars="200"/>
              <w:jc w:val="left"/>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3.为便于债权人及时接收管理人、人民法院送达的各类文书，保证破产程序顺利进行，当</w:t>
            </w:r>
            <w:r>
              <w:rPr>
                <w:rFonts w:asciiTheme="minorEastAsia" w:hAnsiTheme="minorEastAsia" w:eastAsiaTheme="minorEastAsia" w:cstheme="minorEastAsia"/>
                <w:kern w:val="0"/>
                <w:sz w:val="21"/>
                <w:szCs w:val="21"/>
              </w:rPr>
              <w:t>事人</w:t>
            </w:r>
            <w:r>
              <w:rPr>
                <w:rFonts w:hint="eastAsia" w:asciiTheme="minorEastAsia" w:hAnsiTheme="minorEastAsia" w:eastAsiaTheme="minorEastAsia" w:cstheme="minorEastAsia"/>
                <w:kern w:val="0"/>
                <w:sz w:val="21"/>
                <w:szCs w:val="21"/>
              </w:rPr>
              <w:t>应当如实提供确切的送达地址及联系方式等内容；受送达人确认的送达地址、送达联系方式系其委托诉讼代理人的地址或联系方式的，应当同时提供其本人或其他指定代收人的送达地址、送达联系方式。</w:t>
            </w:r>
          </w:p>
          <w:p w14:paraId="28FD5EBD">
            <w:pPr>
              <w:spacing w:line="280" w:lineRule="exact"/>
              <w:ind w:firstLine="420" w:firstLineChars="200"/>
              <w:jc w:val="left"/>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4.确认的地址及联系方式适用于本案各个破产程序，包括：破产清算、和解、重整（含预重整）、衍生诉讼（一</w:t>
            </w:r>
            <w:r>
              <w:rPr>
                <w:rFonts w:asciiTheme="minorEastAsia" w:hAnsiTheme="minorEastAsia" w:eastAsiaTheme="minorEastAsia" w:cstheme="minorEastAsia"/>
                <w:kern w:val="0"/>
                <w:sz w:val="21"/>
                <w:szCs w:val="21"/>
              </w:rPr>
              <w:t>审、二审、执行程序）</w:t>
            </w:r>
            <w:r>
              <w:rPr>
                <w:rFonts w:hint="eastAsia" w:asciiTheme="minorEastAsia" w:hAnsiTheme="minorEastAsia" w:eastAsiaTheme="minorEastAsia" w:cstheme="minorEastAsia"/>
                <w:kern w:val="0"/>
                <w:sz w:val="21"/>
                <w:szCs w:val="21"/>
              </w:rPr>
              <w:t>以及同期与破产事务相关的其他事项。</w:t>
            </w:r>
          </w:p>
          <w:p w14:paraId="52762820">
            <w:pPr>
              <w:spacing w:line="280" w:lineRule="exact"/>
              <w:ind w:firstLine="420" w:firstLineChars="200"/>
              <w:jc w:val="left"/>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5.破产案件</w:t>
            </w:r>
            <w:r>
              <w:rPr>
                <w:rFonts w:asciiTheme="minorEastAsia" w:hAnsiTheme="minorEastAsia" w:eastAsiaTheme="minorEastAsia" w:cstheme="minorEastAsia"/>
                <w:kern w:val="0"/>
                <w:sz w:val="21"/>
                <w:szCs w:val="21"/>
              </w:rPr>
              <w:t>审理</w:t>
            </w:r>
            <w:r>
              <w:rPr>
                <w:rFonts w:hint="eastAsia" w:asciiTheme="minorEastAsia" w:hAnsiTheme="minorEastAsia" w:eastAsiaTheme="minorEastAsia" w:cstheme="minorEastAsia"/>
                <w:kern w:val="0"/>
                <w:sz w:val="21"/>
                <w:szCs w:val="21"/>
              </w:rPr>
              <w:t>期间如果上述内容有变更，应及时告知管理人变更后的内容。</w:t>
            </w:r>
          </w:p>
          <w:p w14:paraId="32B38308">
            <w:pPr>
              <w:spacing w:line="280" w:lineRule="exact"/>
              <w:ind w:firstLine="420" w:firstLineChars="200"/>
              <w:jc w:val="left"/>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6.如果提供的送达地址不确切，或不及时告知变更后的送达地址，导致相关文书经邮寄无法送达或未及时送达的，自文书、材料等退回之日为送达之日。</w:t>
            </w:r>
          </w:p>
          <w:p w14:paraId="1B59BEB6">
            <w:pPr>
              <w:spacing w:line="280" w:lineRule="exact"/>
              <w:ind w:firstLine="420" w:firstLineChars="200"/>
              <w:jc w:val="left"/>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7.经受送达人同意，管理人、人民法院可以采用能够确认其收悉的电子方式送达相关法律文书，送达信息到达受送达人特定系统的日期为送达日期。</w:t>
            </w:r>
          </w:p>
        </w:tc>
      </w:tr>
      <w:tr w14:paraId="6D5B5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824" w:type="dxa"/>
            <w:vMerge w:val="restart"/>
          </w:tcPr>
          <w:p w14:paraId="05A0148A">
            <w:pPr>
              <w:spacing w:line="280" w:lineRule="exact"/>
              <w:jc w:val="center"/>
              <w:rPr>
                <w:rFonts w:asciiTheme="minorEastAsia" w:hAnsiTheme="minorEastAsia" w:eastAsiaTheme="minorEastAsia" w:cstheme="minorEastAsia"/>
                <w:color w:val="000000"/>
                <w:sz w:val="21"/>
                <w:szCs w:val="21"/>
              </w:rPr>
            </w:pPr>
          </w:p>
          <w:p w14:paraId="5765F77E">
            <w:pPr>
              <w:pStyle w:val="11"/>
              <w:spacing w:line="280" w:lineRule="exact"/>
              <w:rPr>
                <w:rFonts w:hint="default"/>
              </w:rPr>
            </w:pPr>
          </w:p>
          <w:p w14:paraId="3CC49498">
            <w:pPr>
              <w:pStyle w:val="11"/>
              <w:spacing w:line="280" w:lineRule="exact"/>
              <w:rPr>
                <w:rFonts w:hint="default"/>
              </w:rPr>
            </w:pPr>
          </w:p>
          <w:p w14:paraId="5864B762">
            <w:pPr>
              <w:pStyle w:val="11"/>
              <w:spacing w:line="280" w:lineRule="exact"/>
              <w:rPr>
                <w:rFonts w:hint="default"/>
              </w:rPr>
            </w:pPr>
          </w:p>
          <w:p w14:paraId="31546071">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送</w:t>
            </w:r>
          </w:p>
          <w:p w14:paraId="70C2AA74">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达</w:t>
            </w:r>
          </w:p>
          <w:p w14:paraId="0442D63D">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地</w:t>
            </w:r>
          </w:p>
          <w:p w14:paraId="4C42E464">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址</w:t>
            </w:r>
          </w:p>
          <w:p w14:paraId="7343D93B">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及</w:t>
            </w:r>
          </w:p>
          <w:p w14:paraId="09303C61">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方</w:t>
            </w:r>
          </w:p>
          <w:p w14:paraId="13D9228E">
            <w:pPr>
              <w:pStyle w:val="11"/>
              <w:spacing w:line="280" w:lineRule="exact"/>
              <w:jc w:val="center"/>
              <w:rPr>
                <w:rFonts w:hint="default" w:asciiTheme="minorEastAsia" w:hAnsiTheme="minorEastAsia" w:eastAsiaTheme="minorEastAsia" w:cstheme="minorEastAsia"/>
                <w:sz w:val="21"/>
                <w:szCs w:val="21"/>
              </w:rPr>
            </w:pPr>
            <w:r>
              <w:rPr>
                <w:rFonts w:asciiTheme="minorEastAsia" w:hAnsiTheme="minorEastAsia" w:eastAsiaTheme="minorEastAsia" w:cstheme="minorEastAsia"/>
                <w:b/>
                <w:sz w:val="21"/>
                <w:szCs w:val="21"/>
              </w:rPr>
              <w:t>式</w:t>
            </w:r>
          </w:p>
        </w:tc>
        <w:tc>
          <w:tcPr>
            <w:tcW w:w="1656" w:type="dxa"/>
          </w:tcPr>
          <w:p w14:paraId="7F1F67F5">
            <w:pPr>
              <w:pStyle w:val="11"/>
              <w:spacing w:line="280" w:lineRule="exact"/>
              <w:jc w:val="center"/>
              <w:rPr>
                <w:rFonts w:hint="default" w:eastAsiaTheme="minorEastAsia"/>
              </w:rPr>
            </w:pPr>
            <w:r>
              <w:rPr>
                <w:rFonts w:asciiTheme="minorEastAsia" w:hAnsiTheme="minorEastAsia" w:eastAsiaTheme="minorEastAsia" w:cstheme="minorEastAsia"/>
                <w:sz w:val="21"/>
                <w:szCs w:val="21"/>
              </w:rPr>
              <w:t>指定签收人</w:t>
            </w:r>
          </w:p>
        </w:tc>
        <w:tc>
          <w:tcPr>
            <w:tcW w:w="2732" w:type="dxa"/>
            <w:gridSpan w:val="2"/>
          </w:tcPr>
          <w:p w14:paraId="41337819">
            <w:pPr>
              <w:spacing w:line="280" w:lineRule="exact"/>
              <w:rPr>
                <w:rFonts w:asciiTheme="minorEastAsia" w:hAnsiTheme="minorEastAsia" w:eastAsiaTheme="minorEastAsia" w:cstheme="minorEastAsia"/>
                <w:color w:val="000000"/>
                <w:sz w:val="21"/>
                <w:szCs w:val="21"/>
              </w:rPr>
            </w:pPr>
          </w:p>
        </w:tc>
        <w:tc>
          <w:tcPr>
            <w:tcW w:w="1170" w:type="dxa"/>
            <w:gridSpan w:val="2"/>
          </w:tcPr>
          <w:p w14:paraId="2518C66B">
            <w:pPr>
              <w:spacing w:line="28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联系</w:t>
            </w:r>
            <w:r>
              <w:rPr>
                <w:rFonts w:asciiTheme="minorEastAsia" w:hAnsiTheme="minorEastAsia" w:eastAsiaTheme="minorEastAsia" w:cstheme="minorEastAsia"/>
                <w:color w:val="000000"/>
                <w:sz w:val="21"/>
                <w:szCs w:val="21"/>
              </w:rPr>
              <w:t>电话</w:t>
            </w:r>
          </w:p>
        </w:tc>
        <w:tc>
          <w:tcPr>
            <w:tcW w:w="3158" w:type="dxa"/>
            <w:gridSpan w:val="2"/>
          </w:tcPr>
          <w:p w14:paraId="17B5B9E1">
            <w:pPr>
              <w:spacing w:line="280" w:lineRule="exact"/>
              <w:rPr>
                <w:rFonts w:asciiTheme="minorEastAsia" w:hAnsiTheme="minorEastAsia" w:eastAsiaTheme="minorEastAsia" w:cstheme="minorEastAsia"/>
                <w:color w:val="000000"/>
                <w:sz w:val="21"/>
                <w:szCs w:val="21"/>
              </w:rPr>
            </w:pPr>
          </w:p>
        </w:tc>
      </w:tr>
      <w:tr w14:paraId="519B1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824" w:type="dxa"/>
            <w:vMerge w:val="continue"/>
          </w:tcPr>
          <w:p w14:paraId="4C2471C1">
            <w:pPr>
              <w:spacing w:line="280" w:lineRule="exact"/>
              <w:rPr>
                <w:rFonts w:asciiTheme="minorEastAsia" w:hAnsiTheme="minorEastAsia" w:eastAsiaTheme="minorEastAsia" w:cstheme="minorEastAsia"/>
                <w:color w:val="000000"/>
                <w:sz w:val="21"/>
                <w:szCs w:val="21"/>
              </w:rPr>
            </w:pPr>
          </w:p>
        </w:tc>
        <w:tc>
          <w:tcPr>
            <w:tcW w:w="1656" w:type="dxa"/>
          </w:tcPr>
          <w:p w14:paraId="714AF11D">
            <w:pPr>
              <w:pStyle w:val="11"/>
              <w:spacing w:line="280" w:lineRule="exact"/>
              <w:jc w:val="center"/>
              <w:rPr>
                <w:rFonts w:hint="default" w:eastAsiaTheme="minorEastAsia"/>
              </w:rPr>
            </w:pPr>
            <w:r>
              <w:rPr>
                <w:rFonts w:asciiTheme="minorEastAsia" w:hAnsiTheme="minorEastAsia" w:eastAsiaTheme="minorEastAsia" w:cstheme="minorEastAsia"/>
                <w:sz w:val="21"/>
                <w:szCs w:val="21"/>
              </w:rPr>
              <w:t>证件类型</w:t>
            </w:r>
          </w:p>
        </w:tc>
        <w:tc>
          <w:tcPr>
            <w:tcW w:w="1389" w:type="dxa"/>
          </w:tcPr>
          <w:p w14:paraId="195B8A14">
            <w:pPr>
              <w:spacing w:line="280" w:lineRule="exact"/>
              <w:rPr>
                <w:rFonts w:asciiTheme="minorEastAsia" w:hAnsiTheme="minorEastAsia" w:eastAsiaTheme="minorEastAsia" w:cstheme="minorEastAsia"/>
                <w:color w:val="000000"/>
                <w:sz w:val="21"/>
                <w:szCs w:val="21"/>
              </w:rPr>
            </w:pPr>
          </w:p>
        </w:tc>
        <w:tc>
          <w:tcPr>
            <w:tcW w:w="1343" w:type="dxa"/>
          </w:tcPr>
          <w:p w14:paraId="113170DB">
            <w:pPr>
              <w:pStyle w:val="11"/>
              <w:spacing w:line="280" w:lineRule="exact"/>
              <w:jc w:val="center"/>
              <w:rPr>
                <w:rFonts w:hint="default" w:eastAsiaTheme="minorEastAsia"/>
              </w:rPr>
            </w:pPr>
            <w:r>
              <w:rPr>
                <w:rFonts w:asciiTheme="minorEastAsia" w:hAnsiTheme="minorEastAsia" w:eastAsiaTheme="minorEastAsia" w:cstheme="minorEastAsia"/>
                <w:sz w:val="21"/>
                <w:szCs w:val="21"/>
              </w:rPr>
              <w:t>证件号码</w:t>
            </w:r>
          </w:p>
        </w:tc>
        <w:tc>
          <w:tcPr>
            <w:tcW w:w="4328" w:type="dxa"/>
            <w:gridSpan w:val="4"/>
          </w:tcPr>
          <w:p w14:paraId="68AC7604">
            <w:pPr>
              <w:spacing w:line="280" w:lineRule="exact"/>
              <w:rPr>
                <w:rFonts w:asciiTheme="minorEastAsia" w:hAnsiTheme="minorEastAsia" w:eastAsiaTheme="minorEastAsia" w:cstheme="minorEastAsia"/>
                <w:color w:val="000000"/>
                <w:sz w:val="21"/>
                <w:szCs w:val="21"/>
              </w:rPr>
            </w:pPr>
          </w:p>
        </w:tc>
      </w:tr>
      <w:tr w14:paraId="6EE79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4" w:hRule="atLeast"/>
        </w:trPr>
        <w:tc>
          <w:tcPr>
            <w:tcW w:w="824" w:type="dxa"/>
            <w:vMerge w:val="continue"/>
          </w:tcPr>
          <w:p w14:paraId="1443FB05">
            <w:pPr>
              <w:spacing w:line="280" w:lineRule="exact"/>
              <w:rPr>
                <w:rFonts w:asciiTheme="minorEastAsia" w:hAnsiTheme="minorEastAsia" w:eastAsiaTheme="minorEastAsia" w:cstheme="minorEastAsia"/>
                <w:color w:val="000000"/>
                <w:sz w:val="21"/>
                <w:szCs w:val="21"/>
              </w:rPr>
            </w:pPr>
          </w:p>
        </w:tc>
        <w:tc>
          <w:tcPr>
            <w:tcW w:w="1656" w:type="dxa"/>
            <w:vAlign w:val="center"/>
          </w:tcPr>
          <w:p w14:paraId="0FE5BDD4">
            <w:pPr>
              <w:pStyle w:val="11"/>
              <w:spacing w:line="280" w:lineRule="exact"/>
              <w:jc w:val="center"/>
              <w:rPr>
                <w:rFonts w:hint="default" w:eastAsiaTheme="minorEastAsia"/>
              </w:rPr>
            </w:pPr>
            <w:r>
              <w:rPr>
                <w:rFonts w:asciiTheme="minorEastAsia" w:hAnsiTheme="minorEastAsia" w:eastAsiaTheme="minorEastAsia" w:cstheme="minorEastAsia"/>
                <w:sz w:val="21"/>
                <w:szCs w:val="21"/>
              </w:rPr>
              <w:t>确认送达地址</w:t>
            </w:r>
          </w:p>
        </w:tc>
        <w:tc>
          <w:tcPr>
            <w:tcW w:w="7060" w:type="dxa"/>
            <w:gridSpan w:val="6"/>
          </w:tcPr>
          <w:p w14:paraId="7FADAE48">
            <w:pPr>
              <w:spacing w:line="280" w:lineRule="exact"/>
              <w:rPr>
                <w:rFonts w:asciiTheme="minorEastAsia" w:hAnsiTheme="minorEastAsia" w:eastAsiaTheme="minorEastAsia" w:cstheme="minorEastAsia"/>
                <w:color w:val="000000"/>
                <w:sz w:val="21"/>
                <w:szCs w:val="21"/>
              </w:rPr>
            </w:pPr>
          </w:p>
        </w:tc>
      </w:tr>
      <w:tr w14:paraId="44837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1" w:hRule="atLeast"/>
        </w:trPr>
        <w:tc>
          <w:tcPr>
            <w:tcW w:w="824" w:type="dxa"/>
            <w:vMerge w:val="continue"/>
          </w:tcPr>
          <w:p w14:paraId="2F48CA83">
            <w:pPr>
              <w:spacing w:line="280" w:lineRule="exact"/>
              <w:rPr>
                <w:rFonts w:asciiTheme="minorEastAsia" w:hAnsiTheme="minorEastAsia" w:eastAsiaTheme="minorEastAsia" w:cstheme="minorEastAsia"/>
                <w:color w:val="000000"/>
                <w:sz w:val="21"/>
                <w:szCs w:val="21"/>
              </w:rPr>
            </w:pPr>
          </w:p>
        </w:tc>
        <w:tc>
          <w:tcPr>
            <w:tcW w:w="1656" w:type="dxa"/>
            <w:vMerge w:val="restart"/>
          </w:tcPr>
          <w:p w14:paraId="3665855C">
            <w:pPr>
              <w:keepNext w:val="0"/>
              <w:keepLines w:val="0"/>
              <w:pageBreakBefore w:val="0"/>
              <w:widowControl w:val="0"/>
              <w:kinsoku/>
              <w:wordWrap/>
              <w:overflowPunct/>
              <w:topLinePunct w:val="0"/>
              <w:bidi w:val="0"/>
              <w:snapToGrid/>
              <w:spacing w:line="240" w:lineRule="exact"/>
              <w:jc w:val="center"/>
              <w:textAlignment w:val="auto"/>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接收破产</w:t>
            </w:r>
            <w:r>
              <w:rPr>
                <w:rFonts w:asciiTheme="minorEastAsia" w:hAnsiTheme="minorEastAsia" w:eastAsiaTheme="minorEastAsia" w:cstheme="minorEastAsia"/>
                <w:color w:val="000000"/>
                <w:sz w:val="21"/>
                <w:szCs w:val="21"/>
              </w:rPr>
              <w:t>相关事项通知、告知</w:t>
            </w:r>
            <w:r>
              <w:rPr>
                <w:rFonts w:hint="eastAsia" w:asciiTheme="minorEastAsia" w:hAnsiTheme="minorEastAsia" w:eastAsiaTheme="minorEastAsia" w:cstheme="minorEastAsia"/>
                <w:color w:val="000000"/>
                <w:sz w:val="21"/>
                <w:szCs w:val="21"/>
              </w:rPr>
              <w:t>及法律</w:t>
            </w:r>
            <w:r>
              <w:rPr>
                <w:rFonts w:asciiTheme="minorEastAsia" w:hAnsiTheme="minorEastAsia" w:eastAsiaTheme="minorEastAsia" w:cstheme="minorEastAsia"/>
                <w:color w:val="000000"/>
                <w:sz w:val="21"/>
                <w:szCs w:val="21"/>
              </w:rPr>
              <w:t>文书</w:t>
            </w:r>
            <w:r>
              <w:rPr>
                <w:rFonts w:hint="eastAsia" w:asciiTheme="minorEastAsia" w:hAnsiTheme="minorEastAsia" w:eastAsiaTheme="minorEastAsia" w:cstheme="minorEastAsia"/>
                <w:color w:val="000000"/>
                <w:sz w:val="21"/>
                <w:szCs w:val="21"/>
              </w:rPr>
              <w:t>电子送达方式</w:t>
            </w:r>
          </w:p>
          <w:p w14:paraId="55349E49">
            <w:pPr>
              <w:pStyle w:val="11"/>
              <w:keepNext w:val="0"/>
              <w:keepLines w:val="0"/>
              <w:pageBreakBefore w:val="0"/>
              <w:widowControl w:val="0"/>
              <w:kinsoku/>
              <w:wordWrap/>
              <w:overflowPunct/>
              <w:topLinePunct w:val="0"/>
              <w:bidi w:val="0"/>
              <w:snapToGrid/>
              <w:spacing w:line="240" w:lineRule="exact"/>
              <w:textAlignment w:val="auto"/>
              <w:rPr>
                <w:rFonts w:hint="default"/>
                <w:b/>
              </w:rPr>
            </w:pPr>
            <w:r>
              <w:rPr>
                <w:rFonts w:asciiTheme="minorEastAsia" w:hAnsiTheme="minorEastAsia" w:eastAsiaTheme="minorEastAsia" w:cstheme="minorEastAsia"/>
                <w:b/>
                <w:kern w:val="2"/>
                <w:sz w:val="21"/>
                <w:szCs w:val="21"/>
                <w:u w:val="single"/>
              </w:rPr>
              <w:t>（</w:t>
            </w:r>
            <w:r>
              <w:rPr>
                <w:rFonts w:hint="eastAsia" w:asciiTheme="minorEastAsia" w:hAnsiTheme="minorEastAsia" w:eastAsiaTheme="minorEastAsia" w:cstheme="minorEastAsia"/>
                <w:b/>
                <w:kern w:val="2"/>
                <w:sz w:val="21"/>
                <w:szCs w:val="21"/>
                <w:u w:val="single"/>
                <w:lang w:eastAsia="zh-CN"/>
              </w:rPr>
              <w:t>依法</w:t>
            </w:r>
            <w:r>
              <w:rPr>
                <w:rFonts w:asciiTheme="minorEastAsia" w:hAnsiTheme="minorEastAsia" w:eastAsiaTheme="minorEastAsia" w:cstheme="minorEastAsia"/>
                <w:b/>
                <w:kern w:val="2"/>
                <w:sz w:val="21"/>
                <w:szCs w:val="21"/>
                <w:u w:val="single"/>
              </w:rPr>
              <w:t>至少</w:t>
            </w:r>
            <w:r>
              <w:rPr>
                <w:rFonts w:hint="default" w:asciiTheme="minorEastAsia" w:hAnsiTheme="minorEastAsia" w:eastAsiaTheme="minorEastAsia" w:cstheme="minorEastAsia"/>
                <w:b/>
                <w:kern w:val="2"/>
                <w:sz w:val="21"/>
                <w:szCs w:val="21"/>
                <w:u w:val="single"/>
              </w:rPr>
              <w:t>选择其中一种</w:t>
            </w:r>
            <w:r>
              <w:rPr>
                <w:rFonts w:hint="eastAsia" w:asciiTheme="minorEastAsia" w:hAnsiTheme="minorEastAsia" w:eastAsiaTheme="minorEastAsia" w:cstheme="minorEastAsia"/>
                <w:b/>
                <w:kern w:val="2"/>
                <w:sz w:val="21"/>
                <w:szCs w:val="21"/>
                <w:u w:val="single"/>
                <w:lang w:eastAsia="zh-CN"/>
              </w:rPr>
              <w:t>，默认为手机号码</w:t>
            </w:r>
            <w:r>
              <w:rPr>
                <w:rFonts w:hint="default" w:asciiTheme="minorEastAsia" w:hAnsiTheme="minorEastAsia" w:eastAsiaTheme="minorEastAsia" w:cstheme="minorEastAsia"/>
                <w:b/>
                <w:kern w:val="2"/>
                <w:sz w:val="21"/>
                <w:szCs w:val="21"/>
                <w:u w:val="single"/>
              </w:rPr>
              <w:t>）</w:t>
            </w:r>
          </w:p>
        </w:tc>
        <w:tc>
          <w:tcPr>
            <w:tcW w:w="3644" w:type="dxa"/>
            <w:gridSpan w:val="3"/>
            <w:vMerge w:val="restart"/>
          </w:tcPr>
          <w:p w14:paraId="00D91A19">
            <w:pPr>
              <w:spacing w:line="28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sym w:font="Wingdings 2" w:char="0052"/>
            </w:r>
            <w:r>
              <w:rPr>
                <w:rFonts w:hint="eastAsia" w:asciiTheme="minorEastAsia" w:hAnsiTheme="minorEastAsia" w:eastAsiaTheme="minorEastAsia" w:cstheme="minorEastAsia"/>
                <w:color w:val="000000"/>
                <w:sz w:val="21"/>
                <w:szCs w:val="21"/>
              </w:rPr>
              <w:t>手机号码：</w:t>
            </w:r>
          </w:p>
          <w:p w14:paraId="0A749CDE">
            <w:pPr>
              <w:spacing w:line="28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fldChar w:fldCharType="begin">
                <w:ffData>
                  <w:name w:val="Check4"/>
                  <w:enabled/>
                  <w:calcOnExit w:val="0"/>
                  <w:checkBox>
                    <w:sizeAuto/>
                    <w:default w:val="0"/>
                    <w:checked w:val="0"/>
                  </w:checkBox>
                </w:ffData>
              </w:fldChar>
            </w:r>
            <w:bookmarkStart w:id="0" w:name="Check4"/>
            <w:r>
              <w:rPr>
                <w:rFonts w:hint="eastAsia" w:asciiTheme="minorEastAsia" w:hAnsiTheme="minorEastAsia" w:eastAsiaTheme="minorEastAsia" w:cstheme="minorEastAsia"/>
                <w:color w:val="000000"/>
                <w:sz w:val="21"/>
                <w:szCs w:val="21"/>
              </w:rPr>
              <w:instrText xml:space="preserve"> FORMCHECKBOX </w:instrText>
            </w:r>
            <w:r>
              <w:rPr>
                <w:rFonts w:asciiTheme="minorEastAsia" w:hAnsiTheme="minorEastAsia" w:eastAsiaTheme="minorEastAsia" w:cstheme="minorEastAsia"/>
                <w:color w:val="000000"/>
                <w:sz w:val="21"/>
                <w:szCs w:val="21"/>
              </w:rPr>
              <w:fldChar w:fldCharType="separate"/>
            </w:r>
            <w:r>
              <w:rPr>
                <w:rFonts w:hint="eastAsia" w:asciiTheme="minorEastAsia" w:hAnsiTheme="minorEastAsia" w:eastAsiaTheme="minorEastAsia" w:cstheme="minorEastAsia"/>
                <w:color w:val="000000"/>
                <w:sz w:val="21"/>
                <w:szCs w:val="21"/>
              </w:rPr>
              <w:fldChar w:fldCharType="end"/>
            </w:r>
            <w:bookmarkEnd w:id="0"/>
            <w:r>
              <w:rPr>
                <w:rFonts w:hint="eastAsia" w:asciiTheme="minorEastAsia" w:hAnsiTheme="minorEastAsia" w:eastAsiaTheme="minorEastAsia" w:cstheme="minorEastAsia"/>
                <w:color w:val="000000"/>
                <w:sz w:val="21"/>
                <w:szCs w:val="21"/>
              </w:rPr>
              <w:t>传真号码：</w:t>
            </w:r>
          </w:p>
          <w:p w14:paraId="02C1F9A6">
            <w:pPr>
              <w:spacing w:line="28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fldChar w:fldCharType="begin">
                <w:ffData>
                  <w:name w:val="Check4"/>
                  <w:enabled/>
                  <w:calcOnExit w:val="0"/>
                  <w:checkBox>
                    <w:sizeAuto/>
                    <w:default w:val="0"/>
                    <w:checked w:val="0"/>
                  </w:checkBox>
                </w:ffData>
              </w:fldChar>
            </w:r>
            <w:r>
              <w:rPr>
                <w:rFonts w:hint="eastAsia" w:asciiTheme="minorEastAsia" w:hAnsiTheme="minorEastAsia" w:eastAsiaTheme="minorEastAsia" w:cstheme="minorEastAsia"/>
                <w:color w:val="000000"/>
                <w:sz w:val="21"/>
                <w:szCs w:val="21"/>
              </w:rPr>
              <w:instrText xml:space="preserve"> FORMCHECKBOX </w:instrText>
            </w:r>
            <w:r>
              <w:rPr>
                <w:rFonts w:asciiTheme="minorEastAsia" w:hAnsiTheme="minorEastAsia" w:eastAsiaTheme="minorEastAsia" w:cstheme="minorEastAsia"/>
                <w:color w:val="000000"/>
                <w:sz w:val="21"/>
                <w:szCs w:val="21"/>
              </w:rPr>
              <w:fldChar w:fldCharType="separate"/>
            </w:r>
            <w:r>
              <w:rPr>
                <w:rFonts w:hint="eastAsia" w:asciiTheme="minorEastAsia" w:hAnsiTheme="minorEastAsia" w:eastAsiaTheme="minorEastAsia" w:cstheme="minorEastAsia"/>
                <w:color w:val="000000"/>
                <w:sz w:val="21"/>
                <w:szCs w:val="21"/>
              </w:rPr>
              <w:fldChar w:fldCharType="end"/>
            </w:r>
            <w:r>
              <w:rPr>
                <w:rFonts w:hint="eastAsia" w:asciiTheme="minorEastAsia" w:hAnsiTheme="minorEastAsia" w:eastAsiaTheme="minorEastAsia" w:cstheme="minorEastAsia"/>
                <w:color w:val="000000"/>
                <w:sz w:val="21"/>
                <w:szCs w:val="21"/>
              </w:rPr>
              <w:t>钉钉</w:t>
            </w:r>
            <w:r>
              <w:rPr>
                <w:rFonts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000000"/>
                <w:sz w:val="21"/>
                <w:szCs w:val="21"/>
              </w:rPr>
              <w:t>群</w:t>
            </w:r>
            <w:r>
              <w:rPr>
                <w:rFonts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000000"/>
                <w:sz w:val="21"/>
                <w:szCs w:val="21"/>
              </w:rPr>
              <w:t>：</w:t>
            </w:r>
          </w:p>
          <w:p w14:paraId="6C5D3463">
            <w:pPr>
              <w:spacing w:line="28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fldChar w:fldCharType="begin">
                <w:ffData>
                  <w:name w:val="Check5"/>
                  <w:enabled/>
                  <w:calcOnExit w:val="0"/>
                  <w:checkBox>
                    <w:sizeAuto/>
                    <w:default w:val="0"/>
                    <w:checked w:val="0"/>
                  </w:checkBox>
                </w:ffData>
              </w:fldChar>
            </w:r>
            <w:r>
              <w:rPr>
                <w:rFonts w:hint="eastAsia" w:asciiTheme="minorEastAsia" w:hAnsiTheme="minorEastAsia" w:eastAsiaTheme="minorEastAsia" w:cstheme="minorEastAsia"/>
                <w:color w:val="000000"/>
                <w:sz w:val="21"/>
                <w:szCs w:val="21"/>
              </w:rPr>
              <w:instrText xml:space="preserve"> FORMCHECKBOX </w:instrText>
            </w:r>
            <w:r>
              <w:rPr>
                <w:rFonts w:asciiTheme="minorEastAsia" w:hAnsiTheme="minorEastAsia" w:eastAsiaTheme="minorEastAsia" w:cstheme="minorEastAsia"/>
                <w:color w:val="000000"/>
                <w:sz w:val="21"/>
                <w:szCs w:val="21"/>
              </w:rPr>
              <w:fldChar w:fldCharType="separate"/>
            </w:r>
            <w:r>
              <w:rPr>
                <w:rFonts w:hint="eastAsia" w:asciiTheme="minorEastAsia" w:hAnsiTheme="minorEastAsia" w:eastAsiaTheme="minorEastAsia" w:cstheme="minorEastAsia"/>
                <w:color w:val="000000"/>
                <w:sz w:val="21"/>
                <w:szCs w:val="21"/>
              </w:rPr>
              <w:fldChar w:fldCharType="end"/>
            </w:r>
            <w:r>
              <w:rPr>
                <w:rFonts w:hint="eastAsia" w:asciiTheme="minorEastAsia" w:hAnsiTheme="minorEastAsia" w:eastAsiaTheme="minorEastAsia" w:cstheme="minorEastAsia"/>
                <w:color w:val="000000"/>
                <w:sz w:val="21"/>
                <w:szCs w:val="21"/>
              </w:rPr>
              <w:t>微信号码</w:t>
            </w:r>
            <w:r>
              <w:rPr>
                <w:rFonts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000000"/>
                <w:sz w:val="21"/>
                <w:szCs w:val="21"/>
              </w:rPr>
              <w:t>群</w:t>
            </w:r>
            <w:r>
              <w:rPr>
                <w:rFonts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000000"/>
                <w:sz w:val="21"/>
                <w:szCs w:val="21"/>
              </w:rPr>
              <w:t>：</w:t>
            </w:r>
          </w:p>
          <w:p w14:paraId="54D463DD">
            <w:pPr>
              <w:spacing w:line="28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fldChar w:fldCharType="begin">
                <w:ffData>
                  <w:name w:val="Check5"/>
                  <w:enabled/>
                  <w:calcOnExit w:val="0"/>
                  <w:checkBox>
                    <w:sizeAuto/>
                    <w:default w:val="0"/>
                    <w:checked w:val="0"/>
                  </w:checkBox>
                </w:ffData>
              </w:fldChar>
            </w:r>
            <w:r>
              <w:rPr>
                <w:rFonts w:hint="eastAsia" w:asciiTheme="minorEastAsia" w:hAnsiTheme="minorEastAsia" w:eastAsiaTheme="minorEastAsia" w:cstheme="minorEastAsia"/>
                <w:color w:val="000000"/>
                <w:sz w:val="21"/>
                <w:szCs w:val="21"/>
              </w:rPr>
              <w:instrText xml:space="preserve"> FORMCHECKBOX </w:instrText>
            </w:r>
            <w:r>
              <w:rPr>
                <w:rFonts w:asciiTheme="minorEastAsia" w:hAnsiTheme="minorEastAsia" w:eastAsiaTheme="minorEastAsia" w:cstheme="minorEastAsia"/>
                <w:color w:val="000000"/>
                <w:sz w:val="21"/>
                <w:szCs w:val="21"/>
              </w:rPr>
              <w:fldChar w:fldCharType="separate"/>
            </w:r>
            <w:r>
              <w:rPr>
                <w:rFonts w:hint="eastAsia" w:asciiTheme="minorEastAsia" w:hAnsiTheme="minorEastAsia" w:eastAsiaTheme="minorEastAsia" w:cstheme="minorEastAsia"/>
                <w:color w:val="000000"/>
                <w:sz w:val="21"/>
                <w:szCs w:val="21"/>
              </w:rPr>
              <w:fldChar w:fldCharType="end"/>
            </w:r>
            <w:r>
              <w:rPr>
                <w:rFonts w:hint="eastAsia" w:asciiTheme="minorEastAsia" w:hAnsiTheme="minorEastAsia" w:eastAsiaTheme="minorEastAsia" w:cstheme="minorEastAsia"/>
                <w:color w:val="000000"/>
                <w:sz w:val="21"/>
                <w:szCs w:val="21"/>
              </w:rPr>
              <w:t>QQ号码</w:t>
            </w:r>
            <w:r>
              <w:rPr>
                <w:rFonts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000000"/>
                <w:sz w:val="21"/>
                <w:szCs w:val="21"/>
              </w:rPr>
              <w:t>群</w:t>
            </w:r>
            <w:r>
              <w:rPr>
                <w:rFonts w:asciiTheme="minorEastAsia" w:hAnsiTheme="minorEastAsia" w:eastAsiaTheme="minorEastAsia" w:cstheme="minorEastAsia"/>
                <w:color w:val="000000"/>
                <w:sz w:val="21"/>
                <w:szCs w:val="21"/>
              </w:rPr>
              <w:t>）</w:t>
            </w:r>
            <w:r>
              <w:rPr>
                <w:rFonts w:hint="eastAsia" w:asciiTheme="minorEastAsia" w:hAnsiTheme="minorEastAsia" w:eastAsiaTheme="minorEastAsia" w:cstheme="minorEastAsia"/>
                <w:color w:val="000000"/>
                <w:sz w:val="21"/>
                <w:szCs w:val="21"/>
              </w:rPr>
              <w:t>：</w:t>
            </w:r>
          </w:p>
          <w:p w14:paraId="451560F8">
            <w:pPr>
              <w:spacing w:line="28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fldChar w:fldCharType="begin">
                <w:ffData>
                  <w:name w:val="Check5"/>
                  <w:enabled/>
                  <w:calcOnExit w:val="0"/>
                  <w:checkBox>
                    <w:sizeAuto/>
                    <w:default w:val="0"/>
                    <w:checked w:val="0"/>
                  </w:checkBox>
                </w:ffData>
              </w:fldChar>
            </w:r>
            <w:bookmarkStart w:id="1" w:name="Check5"/>
            <w:r>
              <w:rPr>
                <w:rFonts w:hint="eastAsia" w:asciiTheme="minorEastAsia" w:hAnsiTheme="minorEastAsia" w:eastAsiaTheme="minorEastAsia" w:cstheme="minorEastAsia"/>
                <w:color w:val="000000"/>
                <w:sz w:val="21"/>
                <w:szCs w:val="21"/>
              </w:rPr>
              <w:instrText xml:space="preserve"> FORMCHECKBOX </w:instrText>
            </w:r>
            <w:r>
              <w:rPr>
                <w:rFonts w:asciiTheme="minorEastAsia" w:hAnsiTheme="minorEastAsia" w:eastAsiaTheme="minorEastAsia" w:cstheme="minorEastAsia"/>
                <w:color w:val="000000"/>
                <w:sz w:val="21"/>
                <w:szCs w:val="21"/>
              </w:rPr>
              <w:fldChar w:fldCharType="separate"/>
            </w:r>
            <w:r>
              <w:rPr>
                <w:rFonts w:hint="eastAsia" w:asciiTheme="minorEastAsia" w:hAnsiTheme="minorEastAsia" w:eastAsiaTheme="minorEastAsia" w:cstheme="minorEastAsia"/>
                <w:color w:val="000000"/>
                <w:sz w:val="21"/>
                <w:szCs w:val="21"/>
              </w:rPr>
              <w:fldChar w:fldCharType="end"/>
            </w:r>
            <w:bookmarkEnd w:id="1"/>
            <w:r>
              <w:rPr>
                <w:rFonts w:hint="eastAsia" w:asciiTheme="minorEastAsia" w:hAnsiTheme="minorEastAsia" w:eastAsiaTheme="minorEastAsia" w:cstheme="minorEastAsia"/>
                <w:color w:val="000000"/>
                <w:sz w:val="21"/>
                <w:szCs w:val="21"/>
              </w:rPr>
              <w:t>电子邮件地址：</w:t>
            </w:r>
          </w:p>
        </w:tc>
        <w:tc>
          <w:tcPr>
            <w:tcW w:w="3416" w:type="dxa"/>
            <w:gridSpan w:val="3"/>
          </w:tcPr>
          <w:p w14:paraId="194FC0E0">
            <w:pPr>
              <w:spacing w:line="28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送达地址及联系方式是否需要保密</w:t>
            </w:r>
          </w:p>
          <w:p w14:paraId="193D6338">
            <w:pPr>
              <w:spacing w:line="280" w:lineRule="exact"/>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fldChar w:fldCharType="begin">
                <w:ffData>
                  <w:name w:val="Check5"/>
                  <w:enabled/>
                  <w:calcOnExit w:val="0"/>
                  <w:checkBox>
                    <w:sizeAuto/>
                    <w:default w:val="0"/>
                    <w:checked w:val="0"/>
                  </w:checkBox>
                </w:ffData>
              </w:fldChar>
            </w:r>
            <w:r>
              <w:rPr>
                <w:rFonts w:hint="eastAsia" w:asciiTheme="minorEastAsia" w:hAnsiTheme="minorEastAsia" w:eastAsiaTheme="minorEastAsia" w:cstheme="minorEastAsia"/>
                <w:color w:val="000000"/>
                <w:sz w:val="21"/>
                <w:szCs w:val="21"/>
              </w:rPr>
              <w:instrText xml:space="preserve"> FORMCHECKBOX </w:instrText>
            </w:r>
            <w:r>
              <w:rPr>
                <w:rFonts w:asciiTheme="minorEastAsia" w:hAnsiTheme="minorEastAsia" w:eastAsiaTheme="minorEastAsia" w:cstheme="minorEastAsia"/>
                <w:color w:val="000000"/>
                <w:sz w:val="21"/>
                <w:szCs w:val="21"/>
              </w:rPr>
              <w:fldChar w:fldCharType="separate"/>
            </w:r>
            <w:r>
              <w:rPr>
                <w:rFonts w:hint="eastAsia" w:asciiTheme="minorEastAsia" w:hAnsiTheme="minorEastAsia" w:eastAsiaTheme="minorEastAsia" w:cstheme="minorEastAsia"/>
                <w:color w:val="000000"/>
                <w:sz w:val="21"/>
                <w:szCs w:val="21"/>
              </w:rPr>
              <w:fldChar w:fldCharType="end"/>
            </w:r>
            <w:r>
              <w:rPr>
                <w:rFonts w:hint="eastAsia" w:asciiTheme="minorEastAsia" w:hAnsiTheme="minorEastAsia" w:eastAsiaTheme="minorEastAsia" w:cstheme="minorEastAsia"/>
                <w:color w:val="000000"/>
                <w:sz w:val="21"/>
                <w:szCs w:val="21"/>
              </w:rPr>
              <w:t>是；</w:t>
            </w:r>
            <w:r>
              <w:rPr>
                <w:rFonts w:hint="eastAsia" w:asciiTheme="minorEastAsia" w:hAnsiTheme="minorEastAsia" w:eastAsiaTheme="minorEastAsia" w:cstheme="minorEastAsia"/>
                <w:color w:val="000000"/>
                <w:sz w:val="21"/>
                <w:szCs w:val="21"/>
              </w:rPr>
              <w:fldChar w:fldCharType="begin">
                <w:ffData>
                  <w:name w:val="Check2"/>
                  <w:enabled/>
                  <w:calcOnExit w:val="0"/>
                  <w:checkBox>
                    <w:sizeAuto/>
                    <w:default w:val="0"/>
                    <w:checked w:val="0"/>
                  </w:checkBox>
                </w:ffData>
              </w:fldChar>
            </w:r>
            <w:r>
              <w:rPr>
                <w:rFonts w:hint="eastAsia" w:asciiTheme="minorEastAsia" w:hAnsiTheme="minorEastAsia" w:eastAsiaTheme="minorEastAsia" w:cstheme="minorEastAsia"/>
                <w:color w:val="000000"/>
                <w:sz w:val="21"/>
                <w:szCs w:val="21"/>
              </w:rPr>
              <w:instrText xml:space="preserve"> FORMCHECKBOX </w:instrText>
            </w:r>
            <w:r>
              <w:rPr>
                <w:rFonts w:asciiTheme="minorEastAsia" w:hAnsiTheme="minorEastAsia" w:eastAsiaTheme="minorEastAsia" w:cstheme="minorEastAsia"/>
                <w:color w:val="000000"/>
                <w:sz w:val="21"/>
                <w:szCs w:val="21"/>
              </w:rPr>
              <w:fldChar w:fldCharType="separate"/>
            </w:r>
            <w:r>
              <w:rPr>
                <w:rFonts w:hint="eastAsia" w:asciiTheme="minorEastAsia" w:hAnsiTheme="minorEastAsia" w:eastAsiaTheme="minorEastAsia" w:cstheme="minorEastAsia"/>
                <w:color w:val="000000"/>
                <w:sz w:val="21"/>
                <w:szCs w:val="21"/>
              </w:rPr>
              <w:fldChar w:fldCharType="end"/>
            </w:r>
            <w:r>
              <w:rPr>
                <w:rFonts w:hint="eastAsia" w:asciiTheme="minorEastAsia" w:hAnsiTheme="minorEastAsia" w:eastAsiaTheme="minorEastAsia" w:cstheme="minorEastAsia"/>
                <w:color w:val="000000"/>
                <w:sz w:val="21"/>
                <w:szCs w:val="21"/>
              </w:rPr>
              <w:t>否。</w:t>
            </w:r>
          </w:p>
        </w:tc>
      </w:tr>
      <w:tr w14:paraId="3C6E3A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trPr>
        <w:tc>
          <w:tcPr>
            <w:tcW w:w="824" w:type="dxa"/>
            <w:vMerge w:val="continue"/>
          </w:tcPr>
          <w:p w14:paraId="6253D2CB">
            <w:pPr>
              <w:spacing w:line="280" w:lineRule="exact"/>
              <w:rPr>
                <w:rFonts w:asciiTheme="minorEastAsia" w:hAnsiTheme="minorEastAsia" w:eastAsiaTheme="minorEastAsia" w:cstheme="minorEastAsia"/>
                <w:color w:val="000000"/>
                <w:sz w:val="21"/>
                <w:szCs w:val="21"/>
              </w:rPr>
            </w:pPr>
          </w:p>
        </w:tc>
        <w:tc>
          <w:tcPr>
            <w:tcW w:w="1656" w:type="dxa"/>
            <w:vMerge w:val="continue"/>
          </w:tcPr>
          <w:p w14:paraId="34511160">
            <w:pPr>
              <w:spacing w:line="280" w:lineRule="exact"/>
              <w:jc w:val="center"/>
              <w:rPr>
                <w:rFonts w:asciiTheme="minorEastAsia" w:hAnsiTheme="minorEastAsia" w:eastAsiaTheme="minorEastAsia" w:cstheme="minorEastAsia"/>
                <w:color w:val="000000"/>
                <w:sz w:val="21"/>
                <w:szCs w:val="21"/>
              </w:rPr>
            </w:pPr>
          </w:p>
        </w:tc>
        <w:tc>
          <w:tcPr>
            <w:tcW w:w="3644" w:type="dxa"/>
            <w:gridSpan w:val="3"/>
            <w:vMerge w:val="continue"/>
          </w:tcPr>
          <w:p w14:paraId="43805AE0">
            <w:pPr>
              <w:spacing w:line="280" w:lineRule="exact"/>
              <w:rPr>
                <w:rFonts w:asciiTheme="minorEastAsia" w:hAnsiTheme="minorEastAsia" w:eastAsiaTheme="minorEastAsia" w:cstheme="minorEastAsia"/>
                <w:color w:val="000000"/>
                <w:sz w:val="21"/>
                <w:szCs w:val="21"/>
              </w:rPr>
            </w:pPr>
          </w:p>
        </w:tc>
        <w:tc>
          <w:tcPr>
            <w:tcW w:w="1165" w:type="dxa"/>
            <w:gridSpan w:val="2"/>
            <w:vAlign w:val="center"/>
          </w:tcPr>
          <w:p w14:paraId="197210DF">
            <w:pPr>
              <w:spacing w:line="28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邮政编码</w:t>
            </w:r>
          </w:p>
        </w:tc>
        <w:tc>
          <w:tcPr>
            <w:tcW w:w="2251" w:type="dxa"/>
          </w:tcPr>
          <w:p w14:paraId="03F2FEA4">
            <w:pPr>
              <w:spacing w:line="280" w:lineRule="exact"/>
              <w:rPr>
                <w:rFonts w:asciiTheme="minorEastAsia" w:hAnsiTheme="minorEastAsia" w:eastAsiaTheme="minorEastAsia" w:cstheme="minorEastAsia"/>
                <w:color w:val="000000"/>
                <w:sz w:val="21"/>
                <w:szCs w:val="21"/>
              </w:rPr>
            </w:pPr>
          </w:p>
        </w:tc>
      </w:tr>
      <w:tr w14:paraId="1AE81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0" w:hRule="atLeast"/>
        </w:trPr>
        <w:tc>
          <w:tcPr>
            <w:tcW w:w="824" w:type="dxa"/>
            <w:vMerge w:val="continue"/>
          </w:tcPr>
          <w:p w14:paraId="5791423A">
            <w:pPr>
              <w:spacing w:line="280" w:lineRule="exact"/>
              <w:rPr>
                <w:rFonts w:asciiTheme="minorEastAsia" w:hAnsiTheme="minorEastAsia" w:eastAsiaTheme="minorEastAsia" w:cstheme="minorEastAsia"/>
                <w:color w:val="000000"/>
                <w:sz w:val="21"/>
                <w:szCs w:val="21"/>
              </w:rPr>
            </w:pPr>
          </w:p>
        </w:tc>
        <w:tc>
          <w:tcPr>
            <w:tcW w:w="1656" w:type="dxa"/>
          </w:tcPr>
          <w:p w14:paraId="4E583A7C">
            <w:pPr>
              <w:spacing w:line="28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其他送达地址和送达方式</w:t>
            </w:r>
          </w:p>
          <w:p w14:paraId="3CFC4F5D">
            <w:pPr>
              <w:spacing w:line="280" w:lineRule="exact"/>
              <w:jc w:val="center"/>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b/>
                <w:bCs/>
                <w:color w:val="000000"/>
                <w:sz w:val="21"/>
                <w:szCs w:val="21"/>
              </w:rPr>
              <w:t>（</w:t>
            </w:r>
            <w:r>
              <w:rPr>
                <w:rFonts w:hint="eastAsia" w:asciiTheme="minorEastAsia" w:hAnsiTheme="minorEastAsia" w:eastAsiaTheme="minorEastAsia" w:cstheme="minorEastAsia"/>
                <w:b/>
                <w:bCs/>
                <w:kern w:val="0"/>
                <w:sz w:val="21"/>
                <w:szCs w:val="21"/>
              </w:rPr>
              <w:t>根据上述告知事项第3条的规定填写</w:t>
            </w:r>
            <w:r>
              <w:rPr>
                <w:rFonts w:hint="eastAsia" w:asciiTheme="minorEastAsia" w:hAnsiTheme="minorEastAsia" w:eastAsiaTheme="minorEastAsia" w:cstheme="minorEastAsia"/>
                <w:b/>
                <w:bCs/>
                <w:color w:val="000000"/>
                <w:sz w:val="21"/>
                <w:szCs w:val="21"/>
              </w:rPr>
              <w:t>）</w:t>
            </w:r>
          </w:p>
        </w:tc>
        <w:tc>
          <w:tcPr>
            <w:tcW w:w="7060" w:type="dxa"/>
            <w:gridSpan w:val="6"/>
          </w:tcPr>
          <w:p w14:paraId="76F19BE6">
            <w:pPr>
              <w:spacing w:line="280" w:lineRule="exact"/>
              <w:rPr>
                <w:rFonts w:asciiTheme="minorEastAsia" w:hAnsiTheme="minorEastAsia" w:eastAsiaTheme="minorEastAsia" w:cstheme="minorEastAsia"/>
                <w:color w:val="000000"/>
                <w:sz w:val="21"/>
                <w:szCs w:val="21"/>
              </w:rPr>
            </w:pPr>
          </w:p>
        </w:tc>
      </w:tr>
      <w:tr w14:paraId="6AE29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824" w:type="dxa"/>
          </w:tcPr>
          <w:p w14:paraId="61845799">
            <w:pPr>
              <w:spacing w:line="280" w:lineRule="exact"/>
              <w:jc w:val="center"/>
              <w:rPr>
                <w:rFonts w:asciiTheme="minorEastAsia" w:hAnsiTheme="minorEastAsia" w:eastAsiaTheme="minorEastAsia" w:cstheme="minorEastAsia"/>
                <w:color w:val="000000"/>
                <w:sz w:val="21"/>
                <w:szCs w:val="21"/>
              </w:rPr>
            </w:pPr>
          </w:p>
          <w:p w14:paraId="10554C99">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受送</w:t>
            </w:r>
          </w:p>
          <w:p w14:paraId="7DB4C87F">
            <w:pPr>
              <w:pStyle w:val="11"/>
              <w:spacing w:line="280" w:lineRule="exact"/>
              <w:jc w:val="center"/>
              <w:rPr>
                <w:rFonts w:hint="default" w:asciiTheme="minorEastAsia" w:hAnsiTheme="minorEastAsia" w:eastAsiaTheme="minorEastAsia" w:cstheme="minorEastAsia"/>
                <w:sz w:val="21"/>
                <w:szCs w:val="21"/>
              </w:rPr>
            </w:pPr>
            <w:r>
              <w:rPr>
                <w:rFonts w:asciiTheme="minorEastAsia" w:hAnsiTheme="minorEastAsia" w:eastAsiaTheme="minorEastAsia" w:cstheme="minorEastAsia"/>
                <w:b/>
                <w:sz w:val="21"/>
                <w:szCs w:val="21"/>
              </w:rPr>
              <w:t>达人确认</w:t>
            </w:r>
          </w:p>
        </w:tc>
        <w:tc>
          <w:tcPr>
            <w:tcW w:w="8716" w:type="dxa"/>
            <w:gridSpan w:val="7"/>
          </w:tcPr>
          <w:p w14:paraId="02BCAC51">
            <w:pPr>
              <w:spacing w:line="280" w:lineRule="exact"/>
              <w:ind w:firstLine="420" w:firstLineChars="200"/>
              <w:jc w:val="left"/>
              <w:rPr>
                <w:rFonts w:asciiTheme="minorEastAsia" w:hAnsiTheme="minorEastAsia" w:eastAsiaTheme="minorEastAsia" w:cstheme="minorEastAsia"/>
                <w:kern w:val="0"/>
                <w:sz w:val="21"/>
                <w:szCs w:val="21"/>
              </w:rPr>
            </w:pPr>
            <w:r>
              <w:rPr>
                <w:rFonts w:hint="eastAsia" w:asciiTheme="minorEastAsia" w:hAnsiTheme="minorEastAsia" w:eastAsiaTheme="minorEastAsia" w:cstheme="minorEastAsia"/>
                <w:kern w:val="0"/>
                <w:sz w:val="21"/>
                <w:szCs w:val="21"/>
              </w:rPr>
              <w:t>我</w:t>
            </w:r>
            <w:r>
              <w:rPr>
                <w:rFonts w:hint="eastAsia" w:asciiTheme="minorEastAsia" w:hAnsiTheme="minorEastAsia" w:eastAsiaTheme="minorEastAsia" w:cstheme="minorEastAsia"/>
                <w:color w:val="000000"/>
                <w:sz w:val="21"/>
                <w:szCs w:val="21"/>
              </w:rPr>
              <w:t>已清楚知晓本确认书的告知事项，保证所确认的各项内容准确有效，并</w:t>
            </w:r>
            <w:r>
              <w:rPr>
                <w:rFonts w:asciiTheme="minorEastAsia" w:hAnsiTheme="minorEastAsia" w:eastAsiaTheme="minorEastAsia" w:cstheme="minorEastAsia"/>
                <w:color w:val="000000"/>
                <w:sz w:val="21"/>
                <w:szCs w:val="21"/>
              </w:rPr>
              <w:t>同意</w:t>
            </w:r>
            <w:r>
              <w:rPr>
                <w:rFonts w:hint="eastAsia" w:asciiTheme="minorEastAsia" w:hAnsiTheme="minorEastAsia" w:eastAsiaTheme="minorEastAsia" w:cstheme="minorEastAsia"/>
                <w:kern w:val="0"/>
                <w:sz w:val="21"/>
                <w:szCs w:val="21"/>
              </w:rPr>
              <w:t>人民法院、管理人采用上</w:t>
            </w:r>
            <w:r>
              <w:rPr>
                <w:rFonts w:asciiTheme="minorEastAsia" w:hAnsiTheme="minorEastAsia" w:eastAsiaTheme="minorEastAsia" w:cstheme="minorEastAsia"/>
                <w:kern w:val="0"/>
                <w:sz w:val="21"/>
                <w:szCs w:val="21"/>
              </w:rPr>
              <w:t>述确定</w:t>
            </w:r>
            <w:r>
              <w:rPr>
                <w:rFonts w:hint="eastAsia" w:asciiTheme="minorEastAsia" w:hAnsiTheme="minorEastAsia" w:eastAsiaTheme="minorEastAsia" w:cstheme="minorEastAsia"/>
                <w:kern w:val="0"/>
                <w:sz w:val="21"/>
                <w:szCs w:val="21"/>
              </w:rPr>
              <w:t>的</w:t>
            </w:r>
            <w:r>
              <w:rPr>
                <w:rFonts w:asciiTheme="minorEastAsia" w:hAnsiTheme="minorEastAsia" w:eastAsiaTheme="minorEastAsia" w:cstheme="minorEastAsia"/>
                <w:kern w:val="0"/>
                <w:sz w:val="21"/>
                <w:szCs w:val="21"/>
              </w:rPr>
              <w:t>方式</w:t>
            </w:r>
            <w:r>
              <w:rPr>
                <w:rFonts w:hint="eastAsia" w:asciiTheme="minorEastAsia" w:hAnsiTheme="minorEastAsia" w:eastAsiaTheme="minorEastAsia" w:cstheme="minorEastAsia"/>
                <w:kern w:val="0"/>
                <w:sz w:val="21"/>
                <w:szCs w:val="21"/>
              </w:rPr>
              <w:t>及管理</w:t>
            </w:r>
            <w:r>
              <w:rPr>
                <w:rFonts w:asciiTheme="minorEastAsia" w:hAnsiTheme="minorEastAsia" w:eastAsiaTheme="minorEastAsia" w:cstheme="minorEastAsia"/>
                <w:kern w:val="0"/>
                <w:sz w:val="21"/>
                <w:szCs w:val="21"/>
              </w:rPr>
              <w:t>人</w:t>
            </w:r>
            <w:r>
              <w:rPr>
                <w:rFonts w:hint="eastAsia" w:asciiTheme="minorEastAsia" w:hAnsiTheme="minorEastAsia" w:eastAsiaTheme="minorEastAsia" w:cstheme="minorEastAsia"/>
                <w:kern w:val="0"/>
                <w:sz w:val="21"/>
                <w:szCs w:val="21"/>
              </w:rPr>
              <w:t>后续</w:t>
            </w:r>
            <w:r>
              <w:rPr>
                <w:rFonts w:asciiTheme="minorEastAsia" w:hAnsiTheme="minorEastAsia" w:eastAsiaTheme="minorEastAsia" w:cstheme="minorEastAsia"/>
                <w:kern w:val="0"/>
                <w:sz w:val="21"/>
                <w:szCs w:val="21"/>
              </w:rPr>
              <w:t>因工作需要建立</w:t>
            </w:r>
            <w:r>
              <w:rPr>
                <w:rFonts w:hint="eastAsia" w:asciiTheme="minorEastAsia" w:hAnsiTheme="minorEastAsia" w:eastAsiaTheme="minorEastAsia" w:cstheme="minorEastAsia"/>
                <w:kern w:val="0"/>
                <w:sz w:val="21"/>
                <w:szCs w:val="21"/>
              </w:rPr>
              <w:t>的</w:t>
            </w:r>
            <w:r>
              <w:rPr>
                <w:rFonts w:asciiTheme="minorEastAsia" w:hAnsiTheme="minorEastAsia" w:eastAsiaTheme="minorEastAsia" w:cstheme="minorEastAsia"/>
                <w:kern w:val="0"/>
                <w:sz w:val="21"/>
                <w:szCs w:val="21"/>
              </w:rPr>
              <w:t>通讯群组</w:t>
            </w:r>
            <w:r>
              <w:rPr>
                <w:rFonts w:hint="eastAsia" w:asciiTheme="minorEastAsia" w:hAnsiTheme="minorEastAsia" w:eastAsiaTheme="minorEastAsia" w:cstheme="minorEastAsia"/>
                <w:kern w:val="0"/>
                <w:sz w:val="21"/>
                <w:szCs w:val="21"/>
              </w:rPr>
              <w:t>采用</w:t>
            </w:r>
            <w:r>
              <w:rPr>
                <w:rFonts w:asciiTheme="minorEastAsia" w:hAnsiTheme="minorEastAsia" w:eastAsiaTheme="minorEastAsia" w:cstheme="minorEastAsia"/>
                <w:kern w:val="0"/>
                <w:sz w:val="21"/>
                <w:szCs w:val="21"/>
              </w:rPr>
              <w:t>电子通知、告知</w:t>
            </w:r>
            <w:r>
              <w:rPr>
                <w:rFonts w:hint="eastAsia" w:asciiTheme="minorEastAsia" w:hAnsiTheme="minorEastAsia" w:eastAsiaTheme="minorEastAsia" w:cstheme="minorEastAsia"/>
                <w:kern w:val="0"/>
                <w:sz w:val="21"/>
                <w:szCs w:val="21"/>
              </w:rPr>
              <w:t>相关事项</w:t>
            </w:r>
            <w:r>
              <w:rPr>
                <w:rFonts w:asciiTheme="minorEastAsia" w:hAnsiTheme="minorEastAsia" w:eastAsiaTheme="minorEastAsia" w:cstheme="minorEastAsia"/>
                <w:kern w:val="0"/>
                <w:sz w:val="21"/>
                <w:szCs w:val="21"/>
              </w:rPr>
              <w:t>及送达法律文书</w:t>
            </w:r>
            <w:r>
              <w:rPr>
                <w:rFonts w:hint="eastAsia" w:asciiTheme="minorEastAsia" w:hAnsiTheme="minorEastAsia" w:eastAsiaTheme="minorEastAsia" w:cstheme="minorEastAsia"/>
                <w:kern w:val="0"/>
                <w:sz w:val="21"/>
                <w:szCs w:val="21"/>
              </w:rPr>
              <w:t>。上</w:t>
            </w:r>
            <w:r>
              <w:rPr>
                <w:rFonts w:asciiTheme="minorEastAsia" w:hAnsiTheme="minorEastAsia" w:eastAsiaTheme="minorEastAsia" w:cstheme="minorEastAsia"/>
                <w:kern w:val="0"/>
                <w:sz w:val="21"/>
                <w:szCs w:val="21"/>
              </w:rPr>
              <w:t>述信息</w:t>
            </w:r>
            <w:r>
              <w:rPr>
                <w:rFonts w:hint="eastAsia" w:asciiTheme="minorEastAsia" w:hAnsiTheme="minorEastAsia" w:eastAsiaTheme="minorEastAsia" w:cstheme="minorEastAsia"/>
                <w:color w:val="000000"/>
                <w:sz w:val="21"/>
                <w:szCs w:val="21"/>
              </w:rPr>
              <w:t>如有变更，将及时书面通知管理人，否则将自行承担未接收破产</w:t>
            </w:r>
            <w:r>
              <w:rPr>
                <w:rFonts w:asciiTheme="minorEastAsia" w:hAnsiTheme="minorEastAsia" w:eastAsiaTheme="minorEastAsia" w:cstheme="minorEastAsia"/>
                <w:color w:val="000000"/>
                <w:sz w:val="21"/>
                <w:szCs w:val="21"/>
              </w:rPr>
              <w:t>事项</w:t>
            </w:r>
            <w:r>
              <w:rPr>
                <w:rFonts w:hint="eastAsia" w:asciiTheme="minorEastAsia" w:hAnsiTheme="minorEastAsia" w:eastAsiaTheme="minorEastAsia" w:cstheme="minorEastAsia"/>
                <w:color w:val="000000"/>
                <w:sz w:val="21"/>
                <w:szCs w:val="21"/>
              </w:rPr>
              <w:t>通知、</w:t>
            </w:r>
            <w:r>
              <w:rPr>
                <w:rFonts w:asciiTheme="minorEastAsia" w:hAnsiTheme="minorEastAsia" w:eastAsiaTheme="minorEastAsia" w:cstheme="minorEastAsia"/>
                <w:color w:val="000000"/>
                <w:sz w:val="21"/>
                <w:szCs w:val="21"/>
              </w:rPr>
              <w:t>告知或</w:t>
            </w:r>
            <w:r>
              <w:rPr>
                <w:rFonts w:hint="eastAsia" w:asciiTheme="minorEastAsia" w:hAnsiTheme="minorEastAsia" w:eastAsiaTheme="minorEastAsia" w:cstheme="minorEastAsia"/>
                <w:color w:val="000000"/>
                <w:sz w:val="21"/>
                <w:szCs w:val="21"/>
              </w:rPr>
              <w:t>无法送达产生的法律后果。</w:t>
            </w:r>
          </w:p>
          <w:p w14:paraId="1E77F707">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受送达人（签名或者盖章）：</w:t>
            </w:r>
          </w:p>
          <w:p w14:paraId="587566F8">
            <w:pPr>
              <w:pStyle w:val="11"/>
              <w:spacing w:line="280" w:lineRule="exact"/>
              <w:jc w:val="center"/>
              <w:rPr>
                <w:rFonts w:hint="default" w:asciiTheme="minorEastAsia" w:hAnsiTheme="minorEastAsia" w:eastAsiaTheme="minorEastAsia" w:cstheme="minorEastAsia"/>
                <w:b/>
                <w:sz w:val="21"/>
                <w:szCs w:val="21"/>
              </w:rPr>
            </w:pPr>
          </w:p>
          <w:p w14:paraId="55D2041B">
            <w:pPr>
              <w:spacing w:line="280" w:lineRule="exact"/>
              <w:ind w:firstLine="435"/>
              <w:rPr>
                <w:rFonts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年    月     日</w:t>
            </w:r>
          </w:p>
        </w:tc>
      </w:tr>
      <w:tr w14:paraId="6F6E5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824" w:type="dxa"/>
          </w:tcPr>
          <w:p w14:paraId="401787FD">
            <w:pPr>
              <w:pStyle w:val="11"/>
              <w:spacing w:line="280" w:lineRule="exact"/>
              <w:jc w:val="center"/>
              <w:rPr>
                <w:rFonts w:hint="default" w:asciiTheme="minorEastAsia" w:hAnsiTheme="minorEastAsia" w:eastAsiaTheme="minorEastAsia" w:cstheme="minorEastAsia"/>
                <w:b/>
                <w:sz w:val="21"/>
                <w:szCs w:val="21"/>
              </w:rPr>
            </w:pPr>
            <w:r>
              <w:rPr>
                <w:rFonts w:asciiTheme="minorEastAsia" w:hAnsiTheme="minorEastAsia" w:eastAsiaTheme="minorEastAsia" w:cstheme="minorEastAsia"/>
                <w:b/>
                <w:sz w:val="21"/>
                <w:szCs w:val="21"/>
              </w:rPr>
              <w:t>备</w:t>
            </w:r>
          </w:p>
          <w:p w14:paraId="4E9724B3">
            <w:pPr>
              <w:pStyle w:val="11"/>
              <w:spacing w:line="280" w:lineRule="exact"/>
              <w:jc w:val="center"/>
              <w:rPr>
                <w:rFonts w:hint="default" w:asciiTheme="minorEastAsia" w:hAnsiTheme="minorEastAsia" w:eastAsiaTheme="minorEastAsia" w:cstheme="minorEastAsia"/>
                <w:sz w:val="21"/>
                <w:szCs w:val="21"/>
              </w:rPr>
            </w:pPr>
            <w:r>
              <w:rPr>
                <w:rFonts w:asciiTheme="minorEastAsia" w:hAnsiTheme="minorEastAsia" w:eastAsiaTheme="minorEastAsia" w:cstheme="minorEastAsia"/>
                <w:b/>
                <w:sz w:val="21"/>
                <w:szCs w:val="21"/>
              </w:rPr>
              <w:t>注</w:t>
            </w:r>
          </w:p>
        </w:tc>
        <w:tc>
          <w:tcPr>
            <w:tcW w:w="8716" w:type="dxa"/>
            <w:gridSpan w:val="7"/>
          </w:tcPr>
          <w:p w14:paraId="32B37280">
            <w:pPr>
              <w:spacing w:line="280" w:lineRule="exact"/>
              <w:rPr>
                <w:rFonts w:asciiTheme="minorEastAsia" w:hAnsiTheme="minorEastAsia" w:eastAsiaTheme="minorEastAsia" w:cstheme="minorEastAsia"/>
                <w:color w:val="000000"/>
                <w:sz w:val="21"/>
                <w:szCs w:val="21"/>
              </w:rPr>
            </w:pPr>
          </w:p>
        </w:tc>
      </w:tr>
    </w:tbl>
    <w:p w14:paraId="1CDC767B">
      <w:pPr>
        <w:widowControl/>
        <w:shd w:val="clear" w:color="auto" w:fill="FFFFFF"/>
        <w:jc w:val="center"/>
        <w:rPr>
          <w:rFonts w:ascii="宋体" w:hAnsi="宋体" w:eastAsia="宋体" w:cs="宋体"/>
          <w:b/>
          <w:bCs/>
          <w:kern w:val="0"/>
          <w:sz w:val="32"/>
          <w:szCs w:val="32"/>
        </w:rPr>
      </w:pPr>
      <w:r>
        <w:rPr>
          <w:rFonts w:hint="eastAsia" w:ascii="宋体" w:hAnsi="宋体" w:eastAsia="宋体" w:cs="宋体"/>
          <w:b/>
          <w:bCs/>
          <w:kern w:val="0"/>
          <w:sz w:val="32"/>
          <w:szCs w:val="32"/>
          <w:lang w:eastAsia="zh-CN"/>
        </w:rPr>
        <w:t>柘荣县新轩商贸有限公司</w:t>
      </w:r>
      <w:r>
        <w:rPr>
          <w:rFonts w:hint="eastAsia" w:ascii="宋体" w:hAnsi="宋体" w:eastAsia="宋体" w:cs="宋体"/>
          <w:b/>
          <w:bCs/>
          <w:kern w:val="0"/>
          <w:sz w:val="32"/>
          <w:szCs w:val="32"/>
        </w:rPr>
        <w:t>破产清算（重整、和解）案</w:t>
      </w:r>
    </w:p>
    <w:p w14:paraId="7B8C1F07">
      <w:pPr>
        <w:widowControl/>
        <w:shd w:val="clear" w:color="auto" w:fill="FFFFFF"/>
        <w:jc w:val="center"/>
        <w:rPr>
          <w:rFonts w:ascii="宋体" w:hAnsi="宋体" w:eastAsia="宋体" w:cs="宋体"/>
          <w:b/>
          <w:bCs/>
          <w:kern w:val="0"/>
          <w:sz w:val="32"/>
          <w:szCs w:val="32"/>
        </w:rPr>
      </w:pPr>
      <w:r>
        <w:rPr>
          <w:rFonts w:hint="eastAsia" w:ascii="宋体" w:hAnsi="宋体" w:eastAsia="宋体" w:cs="宋体"/>
          <w:b/>
          <w:bCs/>
          <w:kern w:val="0"/>
          <w:sz w:val="32"/>
          <w:szCs w:val="32"/>
        </w:rPr>
        <w:t>债权申报材料清单</w:t>
      </w:r>
    </w:p>
    <w:tbl>
      <w:tblPr>
        <w:tblStyle w:val="9"/>
        <w:tblW w:w="8928" w:type="dxa"/>
        <w:tblInd w:w="0" w:type="dxa"/>
        <w:shd w:val="clear" w:color="auto" w:fill="FFFFFF"/>
        <w:tblLayout w:type="autofit"/>
        <w:tblCellMar>
          <w:top w:w="0" w:type="dxa"/>
          <w:left w:w="0" w:type="dxa"/>
          <w:bottom w:w="0" w:type="dxa"/>
          <w:right w:w="0" w:type="dxa"/>
        </w:tblCellMar>
      </w:tblPr>
      <w:tblGrid>
        <w:gridCol w:w="466"/>
        <w:gridCol w:w="780"/>
        <w:gridCol w:w="4682"/>
        <w:gridCol w:w="840"/>
        <w:gridCol w:w="840"/>
        <w:gridCol w:w="1320"/>
      </w:tblGrid>
      <w:tr w14:paraId="7C71CE29">
        <w:tblPrEx>
          <w:shd w:val="clear" w:color="auto" w:fill="FFFFFF"/>
          <w:tblCellMar>
            <w:top w:w="0" w:type="dxa"/>
            <w:left w:w="0" w:type="dxa"/>
            <w:bottom w:w="0" w:type="dxa"/>
            <w:right w:w="0" w:type="dxa"/>
          </w:tblCellMar>
        </w:tblPrEx>
        <w:tc>
          <w:tcPr>
            <w:tcW w:w="8928" w:type="dxa"/>
            <w:gridSpan w:val="6"/>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64DE9FE7">
            <w:pPr>
              <w:widowControl/>
              <w:jc w:val="left"/>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申报人</w:t>
            </w:r>
            <w:r>
              <w:rPr>
                <w:rFonts w:hint="eastAsia" w:ascii="仿宋_GB2312" w:hAnsi="微软雅黑" w:eastAsia="仿宋_GB2312" w:cs="宋体"/>
                <w:kern w:val="0"/>
                <w:sz w:val="27"/>
                <w:szCs w:val="27"/>
              </w:rPr>
              <w:t>：</w:t>
            </w:r>
          </w:p>
        </w:tc>
      </w:tr>
      <w:tr w14:paraId="0CB643AC">
        <w:tblPrEx>
          <w:shd w:val="clear" w:color="auto" w:fill="FFFFFF"/>
          <w:tblCellMar>
            <w:top w:w="0" w:type="dxa"/>
            <w:left w:w="0" w:type="dxa"/>
            <w:bottom w:w="0" w:type="dxa"/>
            <w:right w:w="0" w:type="dxa"/>
          </w:tblCellMar>
        </w:tblPrEx>
        <w:tc>
          <w:tcPr>
            <w:tcW w:w="5928" w:type="dxa"/>
            <w:gridSpan w:val="3"/>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4FF59E4">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申报债权材料目录</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3E33A6E">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份数</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28741AB">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页数</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CCA0D6D">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原件或</w:t>
            </w:r>
          </w:p>
          <w:p w14:paraId="1A15754E">
            <w:pPr>
              <w:widowControl/>
              <w:jc w:val="center"/>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复印件</w:t>
            </w:r>
          </w:p>
        </w:tc>
      </w:tr>
      <w:tr w14:paraId="11451BA0">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EAF852D">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1</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07D6DEF">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债权申报登记表</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BEA43C4">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540CDBC5">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6123F7A1">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7BA7B1C4">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5614C121">
            <w:pPr>
              <w:widowControl/>
              <w:jc w:val="center"/>
              <w:rPr>
                <w:rFonts w:ascii="仿宋_GB2312" w:hAnsi="微软雅黑" w:eastAsia="仿宋_GB2312" w:cs="宋体"/>
                <w:kern w:val="0"/>
                <w:sz w:val="27"/>
                <w:szCs w:val="27"/>
              </w:rPr>
            </w:pPr>
            <w:r>
              <w:rPr>
                <w:rFonts w:hint="eastAsia" w:ascii="仿宋_GB2312" w:hAnsi="微软雅黑" w:eastAsia="仿宋_GB2312" w:cs="宋体"/>
                <w:kern w:val="0"/>
                <w:sz w:val="27"/>
                <w:szCs w:val="27"/>
              </w:rPr>
              <w:t>2</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456C1D99">
            <w:pPr>
              <w:widowControl/>
              <w:jc w:val="left"/>
              <w:rPr>
                <w:rFonts w:ascii="仿宋_GB2312" w:hAnsi="微软雅黑" w:eastAsia="仿宋_GB2312" w:cs="宋体"/>
                <w:kern w:val="0"/>
                <w:sz w:val="27"/>
                <w:szCs w:val="27"/>
              </w:rPr>
            </w:pPr>
            <w:r>
              <w:rPr>
                <w:rFonts w:hint="eastAsia" w:ascii="仿宋_GB2312" w:hAnsi="微软雅黑" w:eastAsia="仿宋_GB2312" w:cs="宋体"/>
                <w:kern w:val="0"/>
                <w:sz w:val="27"/>
                <w:szCs w:val="27"/>
              </w:rPr>
              <w:t>债权申报书</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7D02540">
            <w:pPr>
              <w:widowControl/>
              <w:jc w:val="center"/>
              <w:rPr>
                <w:rFonts w:ascii="仿宋_GB2312" w:hAnsi="微软雅黑" w:eastAsia="仿宋_GB2312" w:cs="宋体"/>
                <w:kern w:val="0"/>
                <w:sz w:val="27"/>
                <w:szCs w:val="27"/>
              </w:rPr>
            </w:pP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BB31606">
            <w:pPr>
              <w:widowControl/>
              <w:jc w:val="center"/>
              <w:rPr>
                <w:rFonts w:ascii="仿宋_GB2312" w:hAnsi="微软雅黑" w:eastAsia="仿宋_GB2312" w:cs="宋体"/>
                <w:kern w:val="0"/>
                <w:sz w:val="27"/>
                <w:szCs w:val="27"/>
              </w:rPr>
            </w:pP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42EEC5F">
            <w:pPr>
              <w:widowControl/>
              <w:jc w:val="center"/>
              <w:rPr>
                <w:rFonts w:ascii="仿宋_GB2312" w:hAnsi="微软雅黑" w:eastAsia="仿宋_GB2312" w:cs="宋体"/>
                <w:kern w:val="0"/>
                <w:sz w:val="27"/>
                <w:szCs w:val="27"/>
              </w:rPr>
            </w:pPr>
          </w:p>
        </w:tc>
      </w:tr>
      <w:tr w14:paraId="0EADF24B">
        <w:tblPrEx>
          <w:shd w:val="clear" w:color="auto" w:fill="FFFFFF"/>
          <w:tblCellMar>
            <w:top w:w="0" w:type="dxa"/>
            <w:left w:w="0" w:type="dxa"/>
            <w:bottom w:w="0" w:type="dxa"/>
            <w:right w:w="0" w:type="dxa"/>
          </w:tblCellMar>
        </w:tblPrEx>
        <w:trPr>
          <w:trHeight w:val="4153" w:hRule="atLeast"/>
        </w:trPr>
        <w:tc>
          <w:tcPr>
            <w:tcW w:w="466"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5573305">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3</w:t>
            </w:r>
          </w:p>
        </w:tc>
        <w:tc>
          <w:tcPr>
            <w:tcW w:w="78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06E0ABE">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w:t>
            </w:r>
          </w:p>
          <w:p w14:paraId="495DA83F">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单位</w:t>
            </w:r>
          </w:p>
        </w:tc>
        <w:tc>
          <w:tcPr>
            <w:tcW w:w="4682"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7AC3D62">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□营业执照复印件  </w:t>
            </w:r>
          </w:p>
          <w:p w14:paraId="79371608">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□组织机构代码复印件</w:t>
            </w:r>
          </w:p>
          <w:p w14:paraId="3A29E231">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□法定代表人/主要负责人身份证明      </w:t>
            </w:r>
          </w:p>
          <w:p w14:paraId="2D4D6EF7">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□法定代表人身份证复印件</w:t>
            </w:r>
          </w:p>
          <w:p w14:paraId="185CBE1A">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□授权委托书</w:t>
            </w:r>
          </w:p>
          <w:p w14:paraId="1E8922A2">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□代理人身份证明</w:t>
            </w:r>
          </w:p>
        </w:tc>
        <w:tc>
          <w:tcPr>
            <w:tcW w:w="840"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2F7FFD3">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5CAE5E25">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vMerge w:val="restart"/>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52036C4">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695D609F">
        <w:tblPrEx>
          <w:shd w:val="clear" w:color="auto" w:fill="FFFFFF"/>
          <w:tblCellMar>
            <w:top w:w="0" w:type="dxa"/>
            <w:left w:w="0" w:type="dxa"/>
            <w:bottom w:w="0" w:type="dxa"/>
            <w:right w:w="0" w:type="dxa"/>
          </w:tblCellMar>
        </w:tblPrEx>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14:paraId="01F5EB2F">
            <w:pPr>
              <w:widowControl/>
              <w:jc w:val="left"/>
              <w:rPr>
                <w:rFonts w:ascii="微软雅黑" w:hAnsi="微软雅黑" w:eastAsia="微软雅黑" w:cs="宋体"/>
                <w:kern w:val="0"/>
                <w:sz w:val="18"/>
                <w:szCs w:val="18"/>
              </w:rPr>
            </w:pPr>
          </w:p>
        </w:tc>
        <w:tc>
          <w:tcPr>
            <w:tcW w:w="78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C48C506">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w:t>
            </w:r>
          </w:p>
          <w:p w14:paraId="6411738B">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个人</w:t>
            </w:r>
          </w:p>
        </w:tc>
        <w:tc>
          <w:tcPr>
            <w:tcW w:w="4682"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639D0041">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□身份证证明复印件</w:t>
            </w:r>
          </w:p>
          <w:p w14:paraId="36AA0F96">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□授权委托书</w:t>
            </w:r>
          </w:p>
          <w:p w14:paraId="0A79CA86">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□代理人身份证明复印件</w:t>
            </w:r>
          </w:p>
        </w:tc>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14:paraId="35A4C4D2">
            <w:pPr>
              <w:widowControl/>
              <w:jc w:val="left"/>
              <w:rPr>
                <w:rFonts w:ascii="微软雅黑" w:hAnsi="微软雅黑" w:eastAsia="微软雅黑" w:cs="宋体"/>
                <w:kern w:val="0"/>
                <w:sz w:val="18"/>
                <w:szCs w:val="18"/>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14:paraId="41D90ED9">
            <w:pPr>
              <w:widowControl/>
              <w:jc w:val="left"/>
              <w:rPr>
                <w:rFonts w:ascii="微软雅黑" w:hAnsi="微软雅黑" w:eastAsia="微软雅黑" w:cs="宋体"/>
                <w:kern w:val="0"/>
                <w:sz w:val="18"/>
                <w:szCs w:val="18"/>
              </w:rPr>
            </w:pPr>
          </w:p>
        </w:tc>
        <w:tc>
          <w:tcPr>
            <w:tcW w:w="0" w:type="auto"/>
            <w:vMerge w:val="continue"/>
            <w:tcBorders>
              <w:top w:val="single" w:color="auto" w:sz="8" w:space="0"/>
              <w:left w:val="single" w:color="auto" w:sz="8" w:space="0"/>
              <w:bottom w:val="single" w:color="auto" w:sz="8" w:space="0"/>
              <w:right w:val="single" w:color="auto" w:sz="8" w:space="0"/>
            </w:tcBorders>
            <w:shd w:val="clear" w:color="auto" w:fill="FFFFFF"/>
            <w:vAlign w:val="center"/>
          </w:tcPr>
          <w:p w14:paraId="77FD55FA">
            <w:pPr>
              <w:widowControl/>
              <w:jc w:val="left"/>
              <w:rPr>
                <w:rFonts w:ascii="微软雅黑" w:hAnsi="微软雅黑" w:eastAsia="微软雅黑" w:cs="宋体"/>
                <w:kern w:val="0"/>
                <w:sz w:val="18"/>
                <w:szCs w:val="18"/>
              </w:rPr>
            </w:pPr>
          </w:p>
        </w:tc>
      </w:tr>
      <w:tr w14:paraId="734DD2A1">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9CB1A60">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4</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7B1B9822">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送达地址确认书</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6D3FC88">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52F2E4D">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23F1ACA5">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532C46FE">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B81891C">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5</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56E181D6">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债权人会议议事规则和表决规则</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62207113">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37A36C1">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BFE3E45">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5778492C">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61C5706">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6</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0F9F3A0B">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证据材料</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9165F61">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E70B41F">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77C31558">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4C72C728">
        <w:tblPrEx>
          <w:shd w:val="clear" w:color="auto" w:fill="FFFFFF"/>
          <w:tblCellMar>
            <w:top w:w="0" w:type="dxa"/>
            <w:left w:w="0" w:type="dxa"/>
            <w:bottom w:w="0" w:type="dxa"/>
            <w:right w:w="0" w:type="dxa"/>
          </w:tblCellMar>
        </w:tblPrEx>
        <w:tc>
          <w:tcPr>
            <w:tcW w:w="466"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37247E42">
            <w:pPr>
              <w:widowControl/>
              <w:jc w:val="center"/>
              <w:rPr>
                <w:rFonts w:ascii="微软雅黑" w:hAnsi="微软雅黑" w:eastAsia="微软雅黑" w:cs="宋体"/>
                <w:kern w:val="0"/>
                <w:sz w:val="18"/>
                <w:szCs w:val="18"/>
              </w:rPr>
            </w:pPr>
            <w:r>
              <w:rPr>
                <w:rFonts w:ascii="仿宋_GB2312" w:hAnsi="微软雅黑" w:eastAsia="仿宋_GB2312" w:cs="宋体"/>
                <w:kern w:val="0"/>
                <w:sz w:val="27"/>
                <w:szCs w:val="27"/>
              </w:rPr>
              <w:t>7</w:t>
            </w:r>
          </w:p>
        </w:tc>
        <w:tc>
          <w:tcPr>
            <w:tcW w:w="5462" w:type="dxa"/>
            <w:gridSpan w:val="2"/>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242EF70D">
            <w:pPr>
              <w:widowControl/>
              <w:jc w:val="left"/>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41F516C8">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84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06E26EDE">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c>
          <w:tcPr>
            <w:tcW w:w="1320" w:type="dxa"/>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vAlign w:val="center"/>
          </w:tcPr>
          <w:p w14:paraId="1F2315FE">
            <w:pPr>
              <w:widowControl/>
              <w:jc w:val="center"/>
              <w:rPr>
                <w:rFonts w:ascii="微软雅黑" w:hAnsi="微软雅黑" w:eastAsia="微软雅黑" w:cs="宋体"/>
                <w:kern w:val="0"/>
                <w:sz w:val="18"/>
                <w:szCs w:val="18"/>
              </w:rPr>
            </w:pPr>
            <w:r>
              <w:rPr>
                <w:rFonts w:hint="eastAsia" w:ascii="仿宋_GB2312" w:hAnsi="微软雅黑" w:eastAsia="仿宋_GB2312" w:cs="宋体"/>
                <w:kern w:val="0"/>
                <w:sz w:val="27"/>
                <w:szCs w:val="27"/>
              </w:rPr>
              <w:t> </w:t>
            </w:r>
          </w:p>
        </w:tc>
      </w:tr>
      <w:tr w14:paraId="45A2ADE2">
        <w:tblPrEx>
          <w:shd w:val="clear" w:color="auto" w:fill="FFFFFF"/>
          <w:tblCellMar>
            <w:top w:w="0" w:type="dxa"/>
            <w:left w:w="0" w:type="dxa"/>
            <w:bottom w:w="0" w:type="dxa"/>
            <w:right w:w="0" w:type="dxa"/>
          </w:tblCellMar>
        </w:tblPrEx>
        <w:tc>
          <w:tcPr>
            <w:tcW w:w="8928" w:type="dxa"/>
            <w:gridSpan w:val="6"/>
            <w:tcBorders>
              <w:top w:val="single" w:color="auto" w:sz="8" w:space="0"/>
              <w:left w:val="single" w:color="auto" w:sz="8" w:space="0"/>
              <w:bottom w:val="single" w:color="auto" w:sz="8" w:space="0"/>
              <w:right w:val="single" w:color="auto" w:sz="8" w:space="0"/>
            </w:tcBorders>
            <w:shd w:val="clear" w:color="auto" w:fill="FFFFFF"/>
            <w:tcMar>
              <w:top w:w="75" w:type="dxa"/>
              <w:left w:w="75" w:type="dxa"/>
              <w:bottom w:w="75" w:type="dxa"/>
              <w:right w:w="75" w:type="dxa"/>
            </w:tcMar>
          </w:tcPr>
          <w:p w14:paraId="4DFD30BD">
            <w:pPr>
              <w:widowControl/>
              <w:ind w:firstLine="548"/>
              <w:jc w:val="left"/>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提交人声明：本次提交的所有申报债权文件真实、合法，不存在变造、伪造等情形，否则愿意承担由此产生的法律责任。</w:t>
            </w:r>
          </w:p>
          <w:p w14:paraId="0C3579BA">
            <w:pPr>
              <w:widowControl/>
              <w:ind w:firstLine="548"/>
              <w:jc w:val="left"/>
              <w:rPr>
                <w:rFonts w:ascii="微软雅黑" w:hAnsi="微软雅黑" w:eastAsia="微软雅黑" w:cs="宋体"/>
                <w:kern w:val="0"/>
                <w:sz w:val="18"/>
                <w:szCs w:val="18"/>
              </w:rPr>
            </w:pPr>
            <w:r>
              <w:rPr>
                <w:rFonts w:hint="eastAsia" w:ascii="仿宋_GB2312" w:hAnsi="微软雅黑" w:eastAsia="仿宋_GB2312" w:cs="宋体"/>
                <w:b/>
                <w:bCs/>
                <w:kern w:val="0"/>
                <w:sz w:val="27"/>
                <w:szCs w:val="27"/>
              </w:rPr>
              <w:t>签收人声明：本次申报债权文件的签收并不代表签收人对其申报债权以及提交文件材料真实性、合法性及关联性的确认。</w:t>
            </w:r>
          </w:p>
        </w:tc>
      </w:tr>
    </w:tbl>
    <w:p w14:paraId="0D3714DA">
      <w:pPr>
        <w:widowControl/>
        <w:shd w:val="clear" w:color="auto" w:fill="FFFFFF"/>
        <w:jc w:val="left"/>
        <w:rPr>
          <w:rFonts w:ascii="微软雅黑" w:hAnsi="微软雅黑" w:eastAsia="微软雅黑" w:cs="宋体"/>
          <w:kern w:val="0"/>
          <w:sz w:val="18"/>
          <w:szCs w:val="18"/>
        </w:rPr>
      </w:pPr>
      <w:r>
        <w:rPr>
          <w:rFonts w:hint="eastAsia" w:ascii="微软雅黑" w:hAnsi="微软雅黑" w:eastAsia="微软雅黑" w:cs="宋体"/>
          <w:kern w:val="0"/>
          <w:sz w:val="27"/>
          <w:szCs w:val="27"/>
        </w:rPr>
        <w:t>提交人：</w:t>
      </w:r>
      <w:r>
        <w:rPr>
          <w:rFonts w:hint="eastAsia" w:ascii="微软雅黑" w:hAnsi="微软雅黑" w:eastAsia="微软雅黑" w:cs="宋体"/>
          <w:kern w:val="0"/>
          <w:sz w:val="27"/>
          <w:szCs w:val="27"/>
          <w:u w:val="single"/>
        </w:rPr>
        <w:t>                    </w:t>
      </w:r>
      <w:r>
        <w:rPr>
          <w:rFonts w:hint="eastAsia" w:ascii="微软雅黑" w:hAnsi="微软雅黑" w:eastAsia="微软雅黑" w:cs="宋体"/>
          <w:kern w:val="0"/>
          <w:sz w:val="27"/>
          <w:szCs w:val="27"/>
        </w:rPr>
        <w:t>              签收人：</w:t>
      </w:r>
      <w:r>
        <w:rPr>
          <w:rFonts w:hint="eastAsia" w:ascii="微软雅黑" w:hAnsi="微软雅黑" w:eastAsia="微软雅黑" w:cs="宋体"/>
          <w:kern w:val="0"/>
          <w:sz w:val="27"/>
          <w:szCs w:val="27"/>
          <w:u w:val="single"/>
        </w:rPr>
        <w:t>                    </w:t>
      </w:r>
    </w:p>
    <w:p w14:paraId="23A6317F">
      <w:pPr>
        <w:widowControl/>
        <w:shd w:val="clear" w:color="auto" w:fill="FFFFFF"/>
        <w:jc w:val="left"/>
        <w:rPr>
          <w:rFonts w:ascii="微软雅黑" w:hAnsi="微软雅黑" w:eastAsia="微软雅黑" w:cs="宋体"/>
          <w:kern w:val="0"/>
          <w:sz w:val="18"/>
          <w:szCs w:val="18"/>
        </w:rPr>
      </w:pPr>
      <w:r>
        <w:rPr>
          <w:rFonts w:hint="eastAsia" w:ascii="微软雅黑" w:hAnsi="微软雅黑" w:eastAsia="微软雅黑" w:cs="宋体"/>
          <w:kern w:val="0"/>
          <w:sz w:val="27"/>
          <w:szCs w:val="27"/>
        </w:rPr>
        <w:t>提交时间：</w:t>
      </w:r>
      <w:r>
        <w:rPr>
          <w:rFonts w:hint="eastAsia" w:ascii="微软雅黑" w:hAnsi="微软雅黑" w:eastAsia="微软雅黑" w:cs="宋体"/>
          <w:kern w:val="0"/>
          <w:sz w:val="27"/>
          <w:szCs w:val="27"/>
          <w:u w:val="single"/>
        </w:rPr>
        <w:t>                  </w:t>
      </w:r>
      <w:r>
        <w:rPr>
          <w:rFonts w:hint="eastAsia" w:ascii="微软雅黑" w:hAnsi="微软雅黑" w:eastAsia="微软雅黑" w:cs="宋体"/>
          <w:kern w:val="0"/>
          <w:sz w:val="27"/>
          <w:szCs w:val="27"/>
        </w:rPr>
        <w:t>              签收时间：</w:t>
      </w:r>
      <w:r>
        <w:rPr>
          <w:rFonts w:hint="eastAsia" w:ascii="微软雅黑" w:hAnsi="微软雅黑" w:eastAsia="微软雅黑" w:cs="宋体"/>
          <w:kern w:val="0"/>
          <w:sz w:val="27"/>
          <w:szCs w:val="27"/>
          <w:u w:val="single"/>
        </w:rPr>
        <w:t>                   </w:t>
      </w:r>
    </w:p>
    <w:p w14:paraId="4BC7943B"/>
    <w:p w14:paraId="1114A1BA">
      <w:r>
        <w:br w:type="page"/>
      </w:r>
    </w:p>
    <w:p w14:paraId="7F875F43">
      <w:pPr>
        <w:spacing w:after="380" w:line="640" w:lineRule="exact"/>
        <w:ind w:firstLine="883"/>
        <w:jc w:val="center"/>
        <w:rPr>
          <w:rFonts w:ascii="黑体" w:hAnsi="黑体" w:eastAsia="黑体" w:cs="黑体"/>
          <w:color w:val="000000"/>
          <w:sz w:val="44"/>
          <w:szCs w:val="44"/>
        </w:rPr>
      </w:pPr>
      <w:r>
        <w:rPr>
          <w:rFonts w:hint="eastAsia" w:ascii="黑体" w:hAnsi="黑体" w:eastAsia="黑体" w:cs="黑体"/>
          <w:color w:val="000000"/>
          <w:sz w:val="44"/>
          <w:szCs w:val="44"/>
        </w:rPr>
        <w:t>债权人会议议事规则</w:t>
      </w:r>
    </w:p>
    <w:p w14:paraId="5E170546">
      <w:pPr>
        <w:spacing w:line="560" w:lineRule="exact"/>
        <w:ind w:left="643"/>
        <w:jc w:val="left"/>
        <w:rPr>
          <w:rFonts w:hint="eastAsia" w:ascii="黑体" w:hAnsi="黑体" w:eastAsia="黑体" w:cs="黑体"/>
          <w:color w:val="000000"/>
          <w:sz w:val="32"/>
          <w:szCs w:val="32"/>
        </w:rPr>
      </w:pPr>
      <w:r>
        <w:rPr>
          <w:rFonts w:hint="eastAsia" w:ascii="黑体" w:hAnsi="黑体" w:eastAsia="黑体" w:cs="黑体"/>
          <w:b/>
          <w:color w:val="000000"/>
          <w:sz w:val="32"/>
          <w:szCs w:val="32"/>
        </w:rPr>
        <w:t>一、一般规定</w:t>
      </w:r>
    </w:p>
    <w:p w14:paraId="39D2533E">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第一条 为保障债权人会议依法独立、规范、有效地行使职权，根据《中华人民共和国企业破产法》（以下简称《企业破产法》）及最高人民法院相关司法解释的规定，结合债务人的实际情况，制定本规则。</w:t>
      </w:r>
    </w:p>
    <w:p w14:paraId="4C664ED7">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第二条 债权人会议应根据《企业破产法》及最高人民法院相关司法解释的规定，在</w:t>
      </w:r>
      <w:r>
        <w:rPr>
          <w:rFonts w:hint="eastAsia" w:ascii="仿宋_GB2312" w:hAnsi="仿宋_GB2312" w:eastAsia="仿宋_GB2312" w:cs="仿宋_GB2312"/>
          <w:color w:val="auto"/>
          <w:sz w:val="32"/>
          <w:szCs w:val="32"/>
          <w:lang w:val="en-US" w:eastAsia="zh-CN"/>
        </w:rPr>
        <w:t>柘荣县</w:t>
      </w:r>
      <w:r>
        <w:rPr>
          <w:rFonts w:hint="eastAsia" w:ascii="仿宋_GB2312" w:hAnsi="仿宋_GB2312" w:eastAsia="仿宋_GB2312" w:cs="仿宋_GB2312"/>
          <w:color w:val="auto"/>
          <w:sz w:val="32"/>
          <w:szCs w:val="32"/>
        </w:rPr>
        <w:t>人民法院</w:t>
      </w:r>
      <w:r>
        <w:rPr>
          <w:rFonts w:hint="eastAsia" w:ascii="仿宋_GB2312" w:hAnsi="仿宋_GB2312" w:eastAsia="仿宋_GB2312" w:cs="仿宋_GB2312"/>
          <w:color w:val="000000"/>
          <w:sz w:val="32"/>
          <w:szCs w:val="32"/>
        </w:rPr>
        <w:t>的指导和监督下，认真履行职责，维护全体债权人的合法权益。</w:t>
      </w:r>
    </w:p>
    <w:p w14:paraId="5EB4742E">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第三条 债权人会议是全体债权人议事和决策的主要形式和临时机构。</w:t>
      </w:r>
    </w:p>
    <w:p w14:paraId="417365D3">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第四条 依法申报债权的债权人为债权人会议的成员，有权参加债权人会议，享有表决权。</w:t>
      </w:r>
    </w:p>
    <w:p w14:paraId="600EB101">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债权尚未确定的债权人，除人民法院能够为其行使表决权而临时确定债权额的，不得行使表决权。</w:t>
      </w:r>
    </w:p>
    <w:p w14:paraId="1287ECB5">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对债务人的特定财产享有担保权的债权人，未放弃优先受偿权利的，对于本规则第六条第七项、第十项规定的事项不享有表决权。</w:t>
      </w:r>
    </w:p>
    <w:p w14:paraId="23C0B17D">
      <w:pPr>
        <w:numPr>
          <w:ilvl w:val="0"/>
          <w:numId w:val="2"/>
        </w:numPr>
        <w:spacing w:line="56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管理人及其聘请的中介机构应当列席债权人会议，向债权人会议报告职务执行情况，并回答询问。</w:t>
      </w:r>
    </w:p>
    <w:p w14:paraId="5AADAAAD">
      <w:pPr>
        <w:spacing w:line="560" w:lineRule="exact"/>
        <w:ind w:left="641"/>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二、债权人会议的召开和表决</w:t>
      </w:r>
    </w:p>
    <w:p w14:paraId="1904E384">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第六条 第一次债权人会议由人民法院召集。以后的债权人会议，在人民法院认为必要时，或者管理人、债权人委员会、占债权总额四分之一以上的债权人向债权人会议主席提议时召开。</w:t>
      </w:r>
    </w:p>
    <w:p w14:paraId="0F14D00B">
      <w:pPr>
        <w:spacing w:line="56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第七条 第一次债权人会议可以采用现场方式或网络在线视频方式召开。第一次债权人会议以后的债权人会议可以由管理人根据实际情况采用非在线视频通讯群组、书面等其他非现场方式召开。债权人会议以非现场方式召开的，管理人会核实参会人员身份，记录并保存会议过程。</w:t>
      </w:r>
    </w:p>
    <w:p w14:paraId="0DD68FAC">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第八条 召开债权人会议时，首先由人民法院或者债权人会议主席宣布会议议题，而后根据会议议程主持议事。人民法院或者债权人会议主席有权决定每一议题的议事时间、是否停止讨论、是否转入下一议题等。人民法院或者债权人会议主席控制会议进程，节约时间，提高议事效率和决策的科学性。</w:t>
      </w:r>
    </w:p>
    <w:p w14:paraId="49B40873">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第九条 除非人民法院或者债权人会议主席同意，否则债权人会议不讨论未列入本次会议议题的事项。</w:t>
      </w:r>
    </w:p>
    <w:p w14:paraId="2FB80CCF">
      <w:pPr>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第十条 与会债权人及其代理人应当在债权人范围内进行讨论议事，不得与列席会议人员进行讨论，除非人民法院或者债权人会议主席决定听取列席人员意见和建议。</w:t>
      </w:r>
    </w:p>
    <w:p w14:paraId="6E930671">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第十一条 列席会议人员不得介入债权人会议议事过程，不得影响会议讨论、表决和作出决议。</w:t>
      </w:r>
    </w:p>
    <w:p w14:paraId="6021BF7D">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第十二条 人民法院或者债权人会议主席根据与会债权人情况主持会议进程，不因列席会议人员的意见或其他行为影响而改变会议进程或者会议议题。</w:t>
      </w:r>
    </w:p>
    <w:p w14:paraId="6236E6FB">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第十三条 会议出现意见相持而无法表决或者表决同意与表决不同意的意见相等时，应由人民法院或者债权人会议主席视会议情况决定继续议事或者暂时休会。</w:t>
      </w:r>
    </w:p>
    <w:p w14:paraId="653E12E3">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第十四条 债权人会议的决议，由出席会议的有表决权的债权人过半数通过，并且其所代表的债权额必须占无财产担保债权总额的半数以上。但《企业破产法》或司法解释另有规定的除外。</w:t>
      </w:r>
    </w:p>
    <w:p w14:paraId="49BBC33F">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第十五条 债权人会议决议方式为投票表决。召开现场债权人会议的，与会债权人表决后，由工作人员按照《企业破产法》及相关规定对表决票进行统计。不召开现场会议的债权人会议，表决票由管理人寄送至各债权人，各债权人可以通过通信、传真、网络投票等方式进行非现场表决，但各表决票需在管理人规定的投票截止日之前送达至管理人。</w:t>
      </w:r>
    </w:p>
    <w:p w14:paraId="48C8C7D6">
      <w:pPr>
        <w:spacing w:line="560" w:lineRule="exact"/>
        <w:ind w:firstLine="64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第十六条 债权人会议的所有决议，对于全体债权人均有约束力。</w:t>
      </w:r>
    </w:p>
    <w:p w14:paraId="31767721">
      <w:pPr>
        <w:spacing w:line="560" w:lineRule="exact"/>
        <w:ind w:left="643"/>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b/>
          <w:bCs/>
          <w:color w:val="000000"/>
          <w:sz w:val="32"/>
          <w:szCs w:val="32"/>
        </w:rPr>
        <w:t>三、附则</w:t>
      </w:r>
    </w:p>
    <w:p w14:paraId="1E3F0C3D">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第十九条 本规则未尽事宜，依照《企业破产法》及最高人民法院的相关司法解释的规定执行。</w:t>
      </w:r>
    </w:p>
    <w:p w14:paraId="1ADB3D7D">
      <w:pPr>
        <w:spacing w:after="520" w:line="560" w:lineRule="exact"/>
        <w:ind w:firstLine="640" w:firstLineChars="200"/>
        <w:jc w:val="left"/>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第二十条 本规则由管理人负责解释并修订。</w:t>
      </w:r>
    </w:p>
    <w:p w14:paraId="198868EF">
      <w:pPr>
        <w:spacing w:after="520" w:line="560" w:lineRule="exact"/>
        <w:ind w:firstLine="640"/>
        <w:jc w:val="left"/>
        <w:rPr>
          <w:rFonts w:hint="eastAsia" w:ascii="仿宋_GB2312" w:hAnsi="仿宋_GB2312" w:eastAsia="仿宋_GB2312" w:cs="仿宋_GB2312"/>
          <w:b/>
          <w:bCs/>
          <w:color w:val="000000"/>
          <w:sz w:val="32"/>
          <w:szCs w:val="32"/>
          <w:u w:val="single"/>
        </w:rPr>
      </w:pPr>
      <w:r>
        <w:rPr>
          <w:rFonts w:hint="eastAsia" w:ascii="仿宋_GB2312" w:hAnsi="仿宋_GB2312" w:eastAsia="仿宋_GB2312" w:cs="仿宋_GB2312"/>
          <w:b/>
          <w:bCs/>
          <w:color w:val="000000"/>
          <w:sz w:val="32"/>
          <w:szCs w:val="32"/>
          <w:u w:val="single"/>
        </w:rPr>
        <w:t>本人对以上债权人会议议事规则已阅读并知晓，同时签字确认无异议。</w:t>
      </w:r>
    </w:p>
    <w:p w14:paraId="5F3340B3">
      <w:pPr>
        <w:spacing w:line="560" w:lineRule="exact"/>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14:paraId="0959A61D">
      <w:pPr>
        <w:spacing w:line="56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确认签字：</w:t>
      </w:r>
    </w:p>
    <w:p w14:paraId="244B7D78">
      <w:pPr>
        <w:spacing w:line="560" w:lineRule="exact"/>
        <w:jc w:val="righ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年   月   日</w:t>
      </w:r>
    </w:p>
    <w:p w14:paraId="245C4BCD">
      <w:pPr>
        <w:pStyle w:val="2"/>
        <w:spacing w:line="500" w:lineRule="exact"/>
        <w:jc w:val="center"/>
        <w:rPr>
          <w:rFonts w:hint="eastAsia" w:ascii="黑体" w:hAnsi="黑体" w:eastAsia="黑体" w:cs="黑体"/>
          <w:b w:val="0"/>
          <w:bCs w:val="0"/>
          <w:sz w:val="44"/>
        </w:rPr>
      </w:pPr>
    </w:p>
    <w:p w14:paraId="00493604">
      <w:pPr>
        <w:pStyle w:val="2"/>
        <w:spacing w:line="500" w:lineRule="exact"/>
        <w:jc w:val="center"/>
        <w:rPr>
          <w:rFonts w:ascii="黑体" w:hAnsi="黑体" w:eastAsia="黑体" w:cs="黑体"/>
          <w:b w:val="0"/>
          <w:bCs w:val="0"/>
          <w:sz w:val="44"/>
        </w:rPr>
      </w:pPr>
      <w:bookmarkStart w:id="2" w:name="_GoBack"/>
      <w:bookmarkEnd w:id="2"/>
      <w:r>
        <w:rPr>
          <w:rFonts w:hint="eastAsia" w:ascii="黑体" w:hAnsi="黑体" w:eastAsia="黑体" w:cs="黑体"/>
          <w:b w:val="0"/>
          <w:bCs w:val="0"/>
          <w:sz w:val="44"/>
        </w:rPr>
        <w:t>债权人会议表决规则</w:t>
      </w:r>
    </w:p>
    <w:p w14:paraId="1B630471">
      <w:pPr>
        <w:spacing w:line="500" w:lineRule="exact"/>
        <w:ind w:firstLine="560"/>
      </w:pPr>
    </w:p>
    <w:p w14:paraId="7A2BB4D4">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为确保破产程序顺利进行，管理人根据《中华人民共和国企业破产法》的规定，制定债权人会议表决规则如下：</w:t>
      </w:r>
    </w:p>
    <w:p w14:paraId="4FEDFC91">
      <w:pPr>
        <w:numPr>
          <w:ilvl w:val="0"/>
          <w:numId w:val="3"/>
        </w:numPr>
        <w:spacing w:line="560" w:lineRule="exact"/>
        <w:ind w:firstLine="643"/>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color w:val="000000"/>
          <w:sz w:val="32"/>
          <w:szCs w:val="32"/>
        </w:rPr>
        <w:t>表决方式</w:t>
      </w:r>
    </w:p>
    <w:p w14:paraId="298C5464">
      <w:pPr>
        <w:spacing w:line="56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1．债权人会议现场表决：各债权人或授权代表现场领取表决票，现场投票表决，现场统计表决结果。</w:t>
      </w:r>
    </w:p>
    <w:p w14:paraId="5F3F83F4">
      <w:pPr>
        <w:spacing w:before="100"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（1）有表决权的债权人，由其授权代表或本人进行表决，每一表决权人一票。</w:t>
      </w:r>
    </w:p>
    <w:p w14:paraId="5D20176F">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（2）对管理人制作的表决事项、方案等，由全体债权人共同投票表决，依照法律规定决定是否区分组别。</w:t>
      </w:r>
    </w:p>
    <w:p w14:paraId="31A3C515">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2．非现场会议表决：管理人可将需债权人会议表决事项以通信或其他信息传递方式付诸表决，具体如下：</w:t>
      </w:r>
    </w:p>
    <w:p w14:paraId="6608E899">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（1）管理人可将记载有表决事项的表决票及有关材料以书面、传真短信、电子邮件、即时通信、通讯群组、全国企业破产重整案件信息网破产管理系统等非现场方式送达债权人或其代理人；</w:t>
      </w:r>
    </w:p>
    <w:p w14:paraId="2489D6AD">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（2）管理人告知表决事项的送达地址及联系方式，以债权人申报债权时提交的送达地址确认书为准，债权人应如实填写联系人手机号码、电子邮箱、QQ、微信、钉钉等信息，如有变动应以书面方式通知管理人；</w:t>
      </w:r>
    </w:p>
    <w:p w14:paraId="7CF3D1DF">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（3）管理人通过其他送达方式告知表决事项的，债权人可以自行打印表决票，除向管理人现场提交以外，还可以在填写表决票后以邮寄、电子邮箱、通讯软件等送达形式在管理人规定的期限内提交。</w:t>
      </w:r>
    </w:p>
    <w:p w14:paraId="28AD9390">
      <w:pPr>
        <w:numPr>
          <w:ilvl w:val="0"/>
          <w:numId w:val="3"/>
        </w:numPr>
        <w:spacing w:line="560" w:lineRule="exact"/>
        <w:ind w:firstLine="643"/>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color w:val="000000"/>
          <w:sz w:val="32"/>
          <w:szCs w:val="32"/>
        </w:rPr>
        <w:t>表决意见</w:t>
      </w:r>
    </w:p>
    <w:p w14:paraId="1403B1D0">
      <w:pPr>
        <w:spacing w:line="56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表决票设置两种表决意见，“同意”或者“不同意”，若债权人在同一张表决票的表决意见栏中既在“同意”的选项中打钩又在“不同意”的选项中打钩，或在表决意见栏中填写其他内容、未填写任何内容的，或交回的表决票为空白者，或拒不交回表决票的，视为“弃票”。</w:t>
      </w:r>
    </w:p>
    <w:p w14:paraId="731B738E">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非现场会议表决的，债权人应当在表决票记载的表决期限内提交表决意见，除另行通知外，表决期限以告知表决事项后五个工作日为限。</w:t>
      </w:r>
      <w:r>
        <w:rPr>
          <w:rFonts w:hint="eastAsia" w:ascii="仿宋_GB2312" w:hAnsi="仿宋_GB2312" w:eastAsia="仿宋_GB2312" w:cs="仿宋_GB2312"/>
          <w:b/>
          <w:bCs/>
          <w:color w:val="000000"/>
          <w:sz w:val="32"/>
          <w:szCs w:val="32"/>
        </w:rPr>
        <w:t>债权人未作表决、表决意见不明确或在表决期限截止日前非因不可抗力等原因未提交表决意见且管理人未同意逾期提交的，视为“同意”。</w:t>
      </w:r>
    </w:p>
    <w:p w14:paraId="02619349">
      <w:pPr>
        <w:numPr>
          <w:ilvl w:val="0"/>
          <w:numId w:val="3"/>
        </w:numPr>
        <w:spacing w:line="560" w:lineRule="exact"/>
        <w:ind w:firstLine="643"/>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color w:val="000000"/>
          <w:sz w:val="32"/>
          <w:szCs w:val="32"/>
        </w:rPr>
        <w:t>表决票的发放、收集和统计</w:t>
      </w:r>
    </w:p>
    <w:p w14:paraId="78AC421A">
      <w:pPr>
        <w:spacing w:line="56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1．表决票由管理人工作人员在会议现场发放；</w:t>
      </w:r>
    </w:p>
    <w:p w14:paraId="5F07BD0E">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2．债权人填写完毕后，由管理人工作人员现场收集，现场邀请法院书记员、法官助理或债权人进行监票并统计表决结果；</w:t>
      </w:r>
    </w:p>
    <w:p w14:paraId="2F17C119">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3．非现场表决的，由管理人工作人员以通信或其他信息传递方式告知表决事项，邮寄的送达地址及联系方式以债权人申报债权时提交的地址确认书为准。</w:t>
      </w:r>
    </w:p>
    <w:p w14:paraId="0BF3BFE1">
      <w:pPr>
        <w:numPr>
          <w:ilvl w:val="0"/>
          <w:numId w:val="3"/>
        </w:numPr>
        <w:spacing w:line="560" w:lineRule="exact"/>
        <w:ind w:firstLine="643"/>
        <w:jc w:val="left"/>
        <w:rPr>
          <w:rFonts w:hint="eastAsia" w:ascii="仿宋_GB2312" w:hAnsi="仿宋_GB2312" w:eastAsia="仿宋_GB2312" w:cs="仿宋_GB2312"/>
          <w:b/>
          <w:bCs/>
          <w:sz w:val="32"/>
          <w:szCs w:val="32"/>
        </w:rPr>
      </w:pPr>
      <w:r>
        <w:rPr>
          <w:rFonts w:hint="eastAsia" w:ascii="仿宋_GB2312" w:hAnsi="仿宋_GB2312" w:eastAsia="仿宋_GB2312" w:cs="仿宋_GB2312"/>
          <w:b/>
          <w:bCs/>
          <w:color w:val="000000"/>
          <w:sz w:val="32"/>
          <w:szCs w:val="32"/>
        </w:rPr>
        <w:t>表决结果的确定</w:t>
      </w:r>
    </w:p>
    <w:p w14:paraId="6E82FD4D">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出席会议的有表决权的债权人过半数同意提交债权人会议表决的具体方案，并且其所代表的债权额占无财产担保债权总额的二分之一以上的，即为本次债权人会议表决通过提交债权人会议表决的具体方案。《企业破产法》或司法解释另有规定的除外。</w:t>
      </w:r>
    </w:p>
    <w:p w14:paraId="50D1E72A">
      <w:pPr>
        <w:numPr>
          <w:ilvl w:val="0"/>
          <w:numId w:val="3"/>
        </w:numPr>
        <w:spacing w:line="560" w:lineRule="exact"/>
        <w:ind w:firstLine="643"/>
        <w:jc w:val="left"/>
        <w:rPr>
          <w:rFonts w:hint="eastAsia" w:ascii="仿宋_GB2312" w:hAnsi="仿宋_GB2312" w:eastAsia="仿宋_GB2312" w:cs="仿宋_GB2312"/>
          <w:b/>
          <w:sz w:val="32"/>
          <w:szCs w:val="32"/>
        </w:rPr>
      </w:pPr>
      <w:r>
        <w:rPr>
          <w:rFonts w:hint="eastAsia" w:ascii="仿宋_GB2312" w:hAnsi="仿宋_GB2312" w:eastAsia="仿宋_GB2312" w:cs="仿宋_GB2312"/>
          <w:b/>
          <w:color w:val="000000"/>
          <w:sz w:val="32"/>
          <w:szCs w:val="32"/>
        </w:rPr>
        <w:t>表决结果的公布</w:t>
      </w:r>
    </w:p>
    <w:p w14:paraId="43884CC3">
      <w:pPr>
        <w:spacing w:line="560" w:lineRule="exact"/>
        <w:ind w:firstLine="64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管理人在表决期限截止后，对表决结果进行统计确定。管理人将表决结果通过任一通讯方式向债权人会议公布，视为债权人会议正式作出决议。</w:t>
      </w:r>
    </w:p>
    <w:p w14:paraId="130AEEAD">
      <w:pPr>
        <w:spacing w:line="560" w:lineRule="exact"/>
        <w:ind w:firstLine="640"/>
        <w:rPr>
          <w:rFonts w:hint="eastAsia" w:ascii="仿宋_GB2312" w:hAnsi="仿宋_GB2312" w:eastAsia="仿宋_GB2312" w:cs="仿宋_GB2312"/>
          <w:b/>
          <w:bCs/>
          <w:color w:val="000000"/>
          <w:sz w:val="32"/>
          <w:szCs w:val="32"/>
          <w:u w:val="single"/>
        </w:rPr>
      </w:pPr>
      <w:r>
        <w:rPr>
          <w:rFonts w:hint="eastAsia" w:ascii="仿宋_GB2312" w:hAnsi="仿宋_GB2312" w:eastAsia="仿宋_GB2312" w:cs="仿宋_GB2312"/>
          <w:b/>
          <w:bCs/>
          <w:color w:val="000000"/>
          <w:sz w:val="32"/>
          <w:szCs w:val="32"/>
          <w:u w:val="single"/>
        </w:rPr>
        <w:t>本人对以上债权人会议表决规则已阅读并知晓，同时签字确认无异议。</w:t>
      </w:r>
    </w:p>
    <w:p w14:paraId="76B200CF">
      <w:pPr>
        <w:ind w:right="1280"/>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14:paraId="3DED6C31">
      <w:pPr>
        <w:ind w:right="1280"/>
        <w:jc w:val="center"/>
        <w:rPr>
          <w:rFonts w:ascii="仿宋_GB2312" w:hAnsi="仿宋_GB2312" w:eastAsia="仿宋_GB2312" w:cs="仿宋_GB2312"/>
          <w:color w:val="000000"/>
          <w:sz w:val="32"/>
          <w:szCs w:val="32"/>
        </w:rPr>
      </w:pPr>
    </w:p>
    <w:p w14:paraId="61BF589B">
      <w:pPr>
        <w:ind w:right="1280"/>
        <w:jc w:val="center"/>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确认签字：  </w:t>
      </w:r>
    </w:p>
    <w:p w14:paraId="19922E84">
      <w:pPr>
        <w:spacing w:line="560" w:lineRule="exact"/>
        <w:ind w:right="1050" w:rightChars="500" w:firstLine="640"/>
        <w:jc w:val="right"/>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 xml:space="preserve">年  月  日 </w:t>
      </w:r>
      <w:r>
        <w:rPr>
          <w:rFonts w:hint="eastAsia" w:ascii="仿宋_GB2312" w:hAnsi="仿宋_GB2312" w:eastAsia="仿宋_GB2312" w:cs="仿宋_GB2312"/>
          <w:color w:val="000000"/>
          <w:sz w:val="26"/>
        </w:rPr>
        <w:t xml:space="preserve"> </w:t>
      </w:r>
    </w:p>
    <w:p w14:paraId="28D2169F">
      <w:pPr>
        <w:spacing w:line="560" w:lineRule="exact"/>
        <w:rPr>
          <w:rFonts w:hint="eastAsia" w:ascii="仿宋_GB2312" w:hAnsi="仿宋_GB2312" w:eastAsia="仿宋_GB2312" w:cs="仿宋_GB2312"/>
          <w:color w:val="000000"/>
          <w:sz w:val="32"/>
          <w:szCs w:val="32"/>
        </w:rPr>
      </w:pPr>
    </w:p>
    <w:p w14:paraId="3BE273CE">
      <w:pPr>
        <w:rPr>
          <w:rFonts w:hint="eastAsia" w:cs="仿宋"/>
          <w:color w:val="000000"/>
          <w:sz w:val="32"/>
          <w:szCs w:val="32"/>
        </w:rPr>
      </w:pPr>
    </w:p>
    <w:p w14:paraId="4FB5CEE0">
      <w:pPr>
        <w:rPr>
          <w:rFonts w:hint="eastAsia"/>
        </w:rPr>
      </w:pPr>
    </w:p>
    <w:sectPr>
      <w:pgSz w:w="11906" w:h="16838"/>
      <w:pgMar w:top="1270" w:right="1800" w:bottom="127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仿宋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Liberation Sans">
    <w:altName w:val="Arial Black"/>
    <w:panose1 w:val="020B0604020202020204"/>
    <w:charset w:val="00"/>
    <w:family w:val="swiss"/>
    <w:pitch w:val="default"/>
    <w:sig w:usb0="00000000" w:usb1="00000000" w:usb2="00000000" w:usb3="00000000" w:csb0="6000009F" w:csb1="DFD70000"/>
  </w:font>
  <w:font w:name="Arial Black">
    <w:panose1 w:val="020B0A04020102020204"/>
    <w:charset w:val="00"/>
    <w:family w:val="auto"/>
    <w:pitch w:val="default"/>
    <w:sig w:usb0="A00002AF" w:usb1="400078FB" w:usb2="00000000" w:usb3="00000000" w:csb0="6000009F" w:csb1="DFD70000"/>
  </w:font>
  <w:font w:name="Noto Sans CJK SC Regular">
    <w:altName w:val="宋体"/>
    <w:panose1 w:val="020B0500000000000000"/>
    <w:charset w:val="86"/>
    <w:family w:val="auto"/>
    <w:pitch w:val="default"/>
    <w:sig w:usb0="00000000" w:usb1="00000000" w:usb2="00000016" w:usb3="00000000" w:csb0="602E0107" w:csb1="00000000"/>
  </w:font>
  <w:font w:name="方正小标宋简体">
    <w:altName w:val="方正舒体"/>
    <w:panose1 w:val="02000000000000000000"/>
    <w:charset w:val="86"/>
    <w:family w:val="script"/>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 w:name="Wingdings 2">
    <w:panose1 w:val="05020102010507070707"/>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755352"/>
    <w:multiLevelType w:val="singleLevel"/>
    <w:tmpl w:val="BF755352"/>
    <w:lvl w:ilvl="0" w:tentative="0">
      <w:start w:val="5"/>
      <w:numFmt w:val="chineseCounting"/>
      <w:suff w:val="space"/>
      <w:lvlText w:val="第%1条"/>
      <w:lvlJc w:val="left"/>
      <w:rPr>
        <w:rFonts w:hint="eastAsia"/>
      </w:rPr>
    </w:lvl>
  </w:abstractNum>
  <w:abstractNum w:abstractNumId="1">
    <w:nsid w:val="CF2929AE"/>
    <w:multiLevelType w:val="singleLevel"/>
    <w:tmpl w:val="CF2929AE"/>
    <w:lvl w:ilvl="0" w:tentative="0">
      <w:start w:val="2"/>
      <w:numFmt w:val="decimal"/>
      <w:lvlText w:val="(%1)"/>
      <w:lvlJc w:val="left"/>
      <w:pPr>
        <w:tabs>
          <w:tab w:val="left" w:pos="312"/>
        </w:tabs>
      </w:pPr>
    </w:lvl>
  </w:abstractNum>
  <w:abstractNum w:abstractNumId="2">
    <w:nsid w:val="3177B3A9"/>
    <w:multiLevelType w:val="singleLevel"/>
    <w:tmpl w:val="3177B3A9"/>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E91"/>
    <w:rsid w:val="003258FB"/>
    <w:rsid w:val="00C677F2"/>
    <w:rsid w:val="00C93E91"/>
    <w:rsid w:val="00D44B8A"/>
    <w:rsid w:val="00F54590"/>
    <w:rsid w:val="063E6E6C"/>
    <w:rsid w:val="174942AA"/>
    <w:rsid w:val="1BDA3D6B"/>
    <w:rsid w:val="272847D0"/>
    <w:rsid w:val="2F3F5A7E"/>
    <w:rsid w:val="35E45B76"/>
    <w:rsid w:val="3F613F15"/>
    <w:rsid w:val="42920FD9"/>
    <w:rsid w:val="45C4609C"/>
    <w:rsid w:val="536C101A"/>
    <w:rsid w:val="5B713B10"/>
    <w:rsid w:val="773FAFF0"/>
    <w:rsid w:val="DDF6DC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uppressAutoHyphens/>
      <w:ind w:firstLine="0" w:firstLineChars="0"/>
      <w:jc w:val="left"/>
      <w:outlineLvl w:val="0"/>
    </w:pPr>
    <w:rPr>
      <w:rFonts w:ascii="Calibri" w:hAnsi="Calibri" w:eastAsia="宋体" w:cs="Times New Roman"/>
      <w:b/>
      <w:bCs/>
      <w:kern w:val="44"/>
      <w:szCs w:val="44"/>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caption"/>
    <w:basedOn w:val="1"/>
    <w:qFormat/>
    <w:uiPriority w:val="0"/>
    <w:pPr>
      <w:widowControl w:val="0"/>
      <w:suppressLineNumbers/>
      <w:suppressAutoHyphens/>
      <w:spacing w:before="120" w:after="120"/>
    </w:pPr>
    <w:rPr>
      <w:rFonts w:ascii="Calibri" w:hAnsi="Calibri" w:eastAsia="宋体" w:cs="Times New Roman"/>
      <w:i/>
      <w:iCs/>
      <w:sz w:val="24"/>
      <w:szCs w:val="24"/>
    </w:rPr>
  </w:style>
  <w:style w:type="paragraph" w:styleId="4">
    <w:name w:val="Body Text"/>
    <w:basedOn w:val="1"/>
    <w:uiPriority w:val="0"/>
    <w:pPr>
      <w:suppressAutoHyphens/>
      <w:spacing w:before="0" w:after="140" w:line="276" w:lineRule="auto"/>
    </w:pPr>
    <w:rPr>
      <w:rFonts w:ascii="Calibri" w:hAnsi="Calibri" w:eastAsia="宋体" w:cs="Times New Roman"/>
    </w:rPr>
  </w:style>
  <w:style w:type="paragraph" w:styleId="5">
    <w:name w:val="Balloon Text"/>
    <w:basedOn w:val="1"/>
    <w:link w:val="13"/>
    <w:uiPriority w:val="0"/>
    <w:rPr>
      <w:rFonts w:ascii="Calibri" w:hAnsi="Calibri" w:eastAsia="仿宋_GB2312" w:cs="Times New Roman"/>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List"/>
    <w:basedOn w:val="4"/>
    <w:uiPriority w:val="0"/>
  </w:style>
  <w:style w:type="paragraph" w:customStyle="1" w:styleId="11">
    <w:name w:val="Default"/>
    <w:unhideWhenUsed/>
    <w:qFormat/>
    <w:uiPriority w:val="99"/>
    <w:pPr>
      <w:widowControl w:val="0"/>
      <w:autoSpaceDE w:val="0"/>
      <w:autoSpaceDN w:val="0"/>
      <w:adjustRightInd w:val="0"/>
    </w:pPr>
    <w:rPr>
      <w:rFonts w:hint="eastAsia" w:ascii="方正仿宋_GBK" w:hAnsi="方正仿宋_GBK" w:eastAsia="方正仿宋_GBK" w:cs="Times New Roman"/>
      <w:color w:val="000000"/>
      <w:kern w:val="0"/>
      <w:sz w:val="24"/>
      <w:szCs w:val="22"/>
      <w:lang w:val="en-US" w:eastAsia="zh-CN" w:bidi="ar-SA"/>
    </w:rPr>
  </w:style>
  <w:style w:type="paragraph" w:customStyle="1" w:styleId="12">
    <w:name w:val="17"/>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3">
    <w:name w:val="批注框文本 字符"/>
    <w:basedOn w:val="10"/>
    <w:link w:val="5"/>
    <w:semiHidden/>
    <w:qFormat/>
    <w:uiPriority w:val="99"/>
    <w:rPr>
      <w:rFonts w:asciiTheme="minorHAnsi" w:hAnsiTheme="minorHAnsi" w:eastAsiaTheme="minorEastAsia" w:cstheme="minorBidi"/>
      <w:sz w:val="18"/>
      <w:szCs w:val="18"/>
    </w:rPr>
  </w:style>
  <w:style w:type="character" w:customStyle="1" w:styleId="14">
    <w:name w:val="页眉 字符"/>
    <w:basedOn w:val="10"/>
    <w:link w:val="7"/>
    <w:qFormat/>
    <w:uiPriority w:val="99"/>
    <w:rPr>
      <w:rFonts w:asciiTheme="minorHAnsi" w:hAnsiTheme="minorHAnsi" w:eastAsiaTheme="minorEastAsia" w:cstheme="minorBidi"/>
      <w:sz w:val="18"/>
      <w:szCs w:val="18"/>
    </w:rPr>
  </w:style>
  <w:style w:type="character" w:customStyle="1" w:styleId="15">
    <w:name w:val="页脚 字符"/>
    <w:basedOn w:val="10"/>
    <w:link w:val="6"/>
    <w:qFormat/>
    <w:uiPriority w:val="99"/>
    <w:rPr>
      <w:rFonts w:asciiTheme="minorHAnsi" w:hAnsiTheme="minorHAnsi" w:eastAsiaTheme="minorEastAsia" w:cstheme="minorBidi"/>
      <w:sz w:val="18"/>
      <w:szCs w:val="18"/>
    </w:rPr>
  </w:style>
  <w:style w:type="character" w:customStyle="1" w:styleId="16">
    <w:name w:val="默认段落字体1"/>
    <w:qFormat/>
    <w:uiPriority w:val="0"/>
    <w:rPr>
      <w:rFonts w:ascii="Times New Roman" w:hAnsi="Times New Roman" w:eastAsia="宋体" w:cs="Times New Roman"/>
    </w:rPr>
  </w:style>
  <w:style w:type="paragraph" w:customStyle="1" w:styleId="17">
    <w:name w:val="Heading"/>
    <w:basedOn w:val="1"/>
    <w:next w:val="4"/>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8">
    <w:name w:val="Index"/>
    <w:basedOn w:val="1"/>
    <w:qFormat/>
    <w:uiPriority w:val="0"/>
    <w:pPr>
      <w:widowControl w:val="0"/>
      <w:suppressLineNumbers/>
      <w:suppressAutoHyphens/>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2587</Words>
  <Characters>2695</Characters>
  <Lines>0</Lines>
  <Paragraphs>0</Paragraphs>
  <TotalTime>1</TotalTime>
  <ScaleCrop>false</ScaleCrop>
  <LinksUpToDate>false</LinksUpToDate>
  <CharactersWithSpaces>2975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2025-06-05T00:38:00Z</dcterms:created>
  <dc:creator>Hlja'</dc:creator>
  <cp:lastModifiedBy>Hlja'</cp:lastModifiedBy>
  <dcterms:modified xsi:type="dcterms:W3CDTF">2025-06-05T00:44:41Z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4B2FFC0037464F41BE006D39C4B65F08_13</vt:lpwstr>
  </property>
  <property fmtid="{D5CDD505-2E9C-101B-9397-08002B2CF9AE}" pid="4" name="KSOTemplateDocerSaveRecord">
    <vt:lpwstr>eyJoZGlkIjoiOGZkN2UxMTRjZDNmODEzYzgyZmE1ZTgxZDk0NWI5NDciLCJ1c2VySWQiOiIyOTExMjAzMTcifQ==</vt:lpwstr>
  </property>
</Properties>
</file>