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28944E">
      <w:pPr>
        <w:spacing w:line="360" w:lineRule="auto"/>
        <w:jc w:val="center"/>
        <w:rPr>
          <w:rFonts w:hint="eastAsia" w:asciiTheme="minorEastAsia" w:hAnsiTheme="minorEastAsia"/>
          <w:b/>
          <w:sz w:val="36"/>
          <w:szCs w:val="36"/>
        </w:rPr>
      </w:pPr>
      <w:r>
        <w:rPr>
          <w:rFonts w:hint="eastAsia" w:asciiTheme="minorEastAsia" w:hAnsiTheme="minorEastAsia"/>
          <w:b/>
          <w:sz w:val="36"/>
          <w:szCs w:val="36"/>
        </w:rPr>
        <w:t>关于邯郸市滏淼生态农业有限公司拥有的房屋建筑物、机器设备及餐饮用品等的竞买公告</w:t>
      </w:r>
    </w:p>
    <w:p w14:paraId="2ACE402A">
      <w:pPr>
        <w:spacing w:line="360" w:lineRule="auto"/>
        <w:jc w:val="center"/>
        <w:rPr>
          <w:rFonts w:hint="eastAsia" w:asciiTheme="minorEastAsia" w:hAnsiTheme="minorEastAsia"/>
          <w:sz w:val="24"/>
          <w:szCs w:val="24"/>
        </w:rPr>
      </w:pPr>
    </w:p>
    <w:p w14:paraId="45805E34">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邯郸市滏淼生态农业有限公司（以下简称“滏淼生态公司”）管理人将于</w:t>
      </w:r>
      <w:r>
        <w:rPr>
          <w:rFonts w:hint="eastAsia" w:asciiTheme="minorEastAsia" w:hAnsiTheme="minorEastAsia"/>
          <w:color w:val="FF0000"/>
          <w:sz w:val="24"/>
          <w:szCs w:val="24"/>
          <w:lang w:eastAsia="zh-CN"/>
        </w:rPr>
        <w:t>2025年6月24日10时至2025年6月25日10时止</w:t>
      </w:r>
      <w:r>
        <w:rPr>
          <w:rFonts w:hint="eastAsia" w:asciiTheme="minorEastAsia" w:hAnsiTheme="minorEastAsia"/>
          <w:sz w:val="24"/>
          <w:szCs w:val="24"/>
        </w:rPr>
        <w:t>（延时的除外）在京东拍卖破产强清平台（网址：</w:t>
      </w:r>
      <w:r>
        <w:rPr>
          <w:rFonts w:asciiTheme="minorEastAsia" w:hAnsiTheme="minorEastAsia"/>
          <w:sz w:val="24"/>
          <w:szCs w:val="24"/>
        </w:rPr>
        <w:t>https://auction.jd.com/bankrupt.html</w:t>
      </w:r>
      <w:r>
        <w:rPr>
          <w:rFonts w:hint="eastAsia" w:asciiTheme="minorEastAsia" w:hAnsiTheme="minorEastAsia"/>
          <w:sz w:val="24"/>
          <w:szCs w:val="24"/>
        </w:rPr>
        <w:t>）进行公开拍卖活动，现公告如下：</w:t>
      </w:r>
    </w:p>
    <w:p w14:paraId="68AACDA6">
      <w:pPr>
        <w:numPr>
          <w:ilvl w:val="0"/>
          <w:numId w:val="1"/>
        </w:numPr>
        <w:spacing w:line="360" w:lineRule="auto"/>
        <w:ind w:firstLine="482" w:firstLineChars="200"/>
        <w:rPr>
          <w:rFonts w:hint="eastAsia" w:asciiTheme="minorEastAsia" w:hAnsiTheme="minorEastAsia"/>
          <w:b/>
          <w:sz w:val="24"/>
          <w:szCs w:val="24"/>
        </w:rPr>
      </w:pPr>
      <w:r>
        <w:rPr>
          <w:rFonts w:hint="eastAsia" w:asciiTheme="minorEastAsia" w:hAnsiTheme="minorEastAsia"/>
          <w:b/>
          <w:sz w:val="24"/>
          <w:szCs w:val="24"/>
        </w:rPr>
        <w:t>拍卖标的物情况简介</w:t>
      </w:r>
    </w:p>
    <w:p w14:paraId="7BA0548F">
      <w:pPr>
        <w:spacing w:line="360" w:lineRule="auto"/>
        <w:ind w:left="482"/>
        <w:rPr>
          <w:rFonts w:hint="eastAsia" w:asciiTheme="minorEastAsia" w:hAnsiTheme="minorEastAsia"/>
          <w:b/>
          <w:sz w:val="24"/>
          <w:szCs w:val="24"/>
        </w:rPr>
      </w:pPr>
      <w:r>
        <w:rPr>
          <w:rFonts w:hint="eastAsia" w:asciiTheme="minorEastAsia" w:hAnsiTheme="minorEastAsia"/>
          <w:b/>
          <w:sz w:val="24"/>
          <w:szCs w:val="24"/>
        </w:rPr>
        <w:t>1、标的物具体情况</w:t>
      </w:r>
    </w:p>
    <w:p w14:paraId="532E90B5">
      <w:pPr>
        <w:wordWrap w:val="0"/>
        <w:spacing w:line="360" w:lineRule="auto"/>
        <w:ind w:left="482"/>
        <w:jc w:val="left"/>
        <w:rPr>
          <w:rFonts w:hint="eastAsia" w:asciiTheme="minorEastAsia" w:hAnsiTheme="minorEastAsia"/>
          <w:b/>
          <w:sz w:val="24"/>
          <w:szCs w:val="24"/>
        </w:rPr>
      </w:pPr>
      <w:r>
        <w:rPr>
          <w:rFonts w:hint="eastAsia" w:asciiTheme="minorEastAsia" w:hAnsiTheme="minorEastAsia"/>
          <w:b/>
          <w:sz w:val="24"/>
          <w:szCs w:val="24"/>
        </w:rPr>
        <w:t>房屋建筑物</w:t>
      </w:r>
      <w:r>
        <w:rPr>
          <w:rFonts w:asciiTheme="minorEastAsia" w:hAnsiTheme="minorEastAsia"/>
          <w:b/>
          <w:sz w:val="24"/>
          <w:szCs w:val="24"/>
        </w:rPr>
        <w:t>VR</w:t>
      </w:r>
      <w:r>
        <w:rPr>
          <w:rFonts w:hint="eastAsia" w:asciiTheme="minorEastAsia" w:hAnsiTheme="minorEastAsia"/>
          <w:b/>
          <w:sz w:val="24"/>
          <w:szCs w:val="24"/>
        </w:rPr>
        <w:t>全景：</w:t>
      </w:r>
      <w:r>
        <w:fldChar w:fldCharType="begin"/>
      </w:r>
      <w:r>
        <w:instrText xml:space="preserve"> HYPERLINK "https://beijingfapaifang.cn/vr/hdfm" </w:instrText>
      </w:r>
      <w:r>
        <w:fldChar w:fldCharType="separate"/>
      </w:r>
      <w:r>
        <w:rPr>
          <w:rStyle w:val="10"/>
          <w:rFonts w:asciiTheme="minorEastAsia" w:hAnsiTheme="minorEastAsia"/>
          <w:b/>
          <w:sz w:val="24"/>
          <w:szCs w:val="24"/>
        </w:rPr>
        <w:t>https://beijingfapaifang.cn/vr/hdfm</w:t>
      </w:r>
      <w:r>
        <w:rPr>
          <w:rStyle w:val="10"/>
          <w:rFonts w:asciiTheme="minorEastAsia" w:hAnsiTheme="minorEastAsia"/>
          <w:b/>
          <w:sz w:val="24"/>
          <w:szCs w:val="24"/>
        </w:rPr>
        <w:fldChar w:fldCharType="end"/>
      </w:r>
    </w:p>
    <w:p w14:paraId="419A3FBB">
      <w:pPr>
        <w:spacing w:line="360" w:lineRule="auto"/>
        <w:ind w:firstLine="482" w:firstLineChars="200"/>
        <w:rPr>
          <w:rFonts w:hint="eastAsia" w:asciiTheme="minorEastAsia" w:hAnsiTheme="minorEastAsia"/>
          <w:color w:val="000000" w:themeColor="text1"/>
          <w:sz w:val="24"/>
          <w:szCs w:val="24"/>
          <w14:textFill>
            <w14:solidFill>
              <w14:schemeClr w14:val="tx1"/>
            </w14:solidFill>
          </w14:textFill>
        </w:rPr>
      </w:pPr>
      <w:r>
        <w:rPr>
          <w:rFonts w:hint="eastAsia" w:asciiTheme="minorEastAsia" w:hAnsiTheme="minorEastAsia"/>
          <w:b/>
          <w:bCs/>
          <w:sz w:val="24"/>
          <w:szCs w:val="24"/>
        </w:rPr>
        <w:t>标的物名称</w:t>
      </w:r>
      <w:r>
        <w:rPr>
          <w:rFonts w:hint="eastAsia" w:asciiTheme="minorEastAsia" w:hAnsiTheme="minorEastAsia"/>
          <w:sz w:val="24"/>
          <w:szCs w:val="24"/>
        </w:rPr>
        <w:t>：</w:t>
      </w:r>
      <w:r>
        <w:rPr>
          <w:rFonts w:hint="eastAsia" w:asciiTheme="minorEastAsia" w:hAnsiTheme="minorEastAsia"/>
          <w:color w:val="000000" w:themeColor="text1"/>
          <w:sz w:val="24"/>
          <w:szCs w:val="24"/>
          <w14:textFill>
            <w14:solidFill>
              <w14:schemeClr w14:val="tx1"/>
            </w14:solidFill>
          </w14:textFill>
        </w:rPr>
        <w:t>邯郸市滏淼生态农业有限公司拥有的房屋建筑物、机器设备及餐饮用品等</w:t>
      </w:r>
    </w:p>
    <w:p w14:paraId="799E1BB7">
      <w:pPr>
        <w:spacing w:line="360" w:lineRule="auto"/>
        <w:ind w:firstLine="482" w:firstLineChars="200"/>
        <w:rPr>
          <w:rStyle w:val="10"/>
          <w:rFonts w:hint="eastAsia" w:asciiTheme="minorEastAsia" w:hAnsiTheme="minorEastAsia"/>
          <w:b/>
          <w:bCs/>
          <w:color w:val="FF0000"/>
          <w:sz w:val="24"/>
          <w:szCs w:val="24"/>
          <w:u w:val="none"/>
        </w:rPr>
      </w:pPr>
      <w:r>
        <w:rPr>
          <w:rFonts w:hint="eastAsia" w:asciiTheme="minorEastAsia" w:hAnsiTheme="minorEastAsia"/>
          <w:b/>
          <w:bCs/>
          <w:color w:val="FF0000"/>
          <w:sz w:val="24"/>
          <w:szCs w:val="24"/>
        </w:rPr>
        <w:t>起拍价：5,431,823.3</w:t>
      </w:r>
      <w:r>
        <w:rPr>
          <w:rFonts w:hint="eastAsia" w:asciiTheme="minorEastAsia" w:hAnsiTheme="minorEastAsia"/>
          <w:b/>
          <w:bCs/>
          <w:color w:val="FF0000"/>
          <w:sz w:val="24"/>
          <w:szCs w:val="24"/>
          <w:lang w:val="en-US" w:eastAsia="zh-CN"/>
        </w:rPr>
        <w:t>3</w:t>
      </w:r>
      <w:r>
        <w:rPr>
          <w:rFonts w:hint="eastAsia" w:asciiTheme="minorEastAsia" w:hAnsiTheme="minorEastAsia"/>
          <w:b/>
          <w:bCs/>
          <w:color w:val="FF0000"/>
          <w:sz w:val="24"/>
          <w:szCs w:val="24"/>
        </w:rPr>
        <w:t>元，保证金：1,086,364.66元，增价幅度：27,159.1</w:t>
      </w:r>
      <w:r>
        <w:rPr>
          <w:rFonts w:hint="eastAsia" w:asciiTheme="minorEastAsia" w:hAnsiTheme="minorEastAsia"/>
          <w:b/>
          <w:bCs/>
          <w:color w:val="FF0000"/>
          <w:sz w:val="24"/>
          <w:szCs w:val="24"/>
          <w:lang w:val="en-US" w:eastAsia="zh-CN"/>
        </w:rPr>
        <w:t>2</w:t>
      </w:r>
      <w:r>
        <w:rPr>
          <w:rFonts w:hint="eastAsia" w:asciiTheme="minorEastAsia" w:hAnsiTheme="minorEastAsia"/>
          <w:b/>
          <w:bCs/>
          <w:color w:val="FF0000"/>
          <w:sz w:val="24"/>
          <w:szCs w:val="24"/>
        </w:rPr>
        <w:t>元(或整倍数)。</w:t>
      </w:r>
    </w:p>
    <w:p w14:paraId="2CA68129">
      <w:pPr>
        <w:wordWrap w:val="0"/>
        <w:spacing w:line="360" w:lineRule="auto"/>
        <w:jc w:val="left"/>
        <w:rPr>
          <w:rFonts w:hint="eastAsia" w:asciiTheme="minorEastAsia" w:hAnsiTheme="minorEastAsia"/>
          <w:b/>
          <w:sz w:val="24"/>
          <w:szCs w:val="24"/>
        </w:rPr>
      </w:pPr>
      <w:r>
        <w:rPr>
          <w:rFonts w:hint="eastAsia" w:asciiTheme="minorEastAsia" w:hAnsiTheme="minorEastAsia"/>
          <w:b/>
          <w:sz w:val="24"/>
          <w:szCs w:val="24"/>
        </w:rPr>
        <w:t>标的物具体情况：</w:t>
      </w:r>
    </w:p>
    <w:p w14:paraId="020EEC8D">
      <w:pPr>
        <w:wordWrap w:val="0"/>
        <w:spacing w:line="360" w:lineRule="auto"/>
        <w:ind w:left="482"/>
        <w:jc w:val="left"/>
        <w:rPr>
          <w:rFonts w:hint="eastAsia" w:asciiTheme="minorEastAsia" w:hAnsiTheme="minorEastAsia"/>
          <w:b/>
          <w:sz w:val="24"/>
          <w:szCs w:val="24"/>
        </w:rPr>
      </w:pPr>
      <w:r>
        <w:rPr>
          <w:rFonts w:hint="eastAsia" w:asciiTheme="minorEastAsia" w:hAnsiTheme="minorEastAsia"/>
          <w:b/>
          <w:sz w:val="24"/>
          <w:szCs w:val="24"/>
        </w:rPr>
        <w:t>(1)房屋建筑物</w:t>
      </w:r>
    </w:p>
    <w:p w14:paraId="1DAB8AAC">
      <w:pPr>
        <w:wordWrap w:val="0"/>
        <w:spacing w:line="360" w:lineRule="auto"/>
        <w:ind w:left="482"/>
        <w:jc w:val="left"/>
        <w:rPr>
          <w:rFonts w:hint="eastAsia" w:asciiTheme="minorEastAsia" w:hAnsiTheme="minorEastAsia"/>
          <w:b/>
          <w:sz w:val="24"/>
          <w:szCs w:val="24"/>
        </w:rPr>
      </w:pPr>
      <w:r>
        <w:rPr>
          <w:rFonts w:hint="eastAsia" w:asciiTheme="minorEastAsia" w:hAnsiTheme="minorEastAsia"/>
          <w:b/>
          <w:sz w:val="24"/>
          <w:szCs w:val="24"/>
        </w:rPr>
        <w:t>坐落：河北省邯郸冀南新区中华大街东侧，生态二路南侧，科创一路北侧</w:t>
      </w:r>
    </w:p>
    <w:tbl>
      <w:tblPr>
        <w:tblStyle w:val="7"/>
        <w:tblW w:w="9081" w:type="dxa"/>
        <w:jc w:val="center"/>
        <w:tblLayout w:type="fixed"/>
        <w:tblCellMar>
          <w:top w:w="0" w:type="dxa"/>
          <w:left w:w="108" w:type="dxa"/>
          <w:bottom w:w="0" w:type="dxa"/>
          <w:right w:w="108" w:type="dxa"/>
        </w:tblCellMar>
      </w:tblPr>
      <w:tblGrid>
        <w:gridCol w:w="763"/>
        <w:gridCol w:w="1741"/>
        <w:gridCol w:w="1356"/>
        <w:gridCol w:w="781"/>
        <w:gridCol w:w="992"/>
        <w:gridCol w:w="851"/>
        <w:gridCol w:w="1417"/>
        <w:gridCol w:w="915"/>
        <w:gridCol w:w="265"/>
      </w:tblGrid>
      <w:tr w14:paraId="6996273C">
        <w:tblPrEx>
          <w:tblCellMar>
            <w:top w:w="0" w:type="dxa"/>
            <w:left w:w="108" w:type="dxa"/>
            <w:bottom w:w="0" w:type="dxa"/>
            <w:right w:w="108" w:type="dxa"/>
          </w:tblCellMar>
        </w:tblPrEx>
        <w:trPr>
          <w:gridAfter w:val="1"/>
          <w:wAfter w:w="265" w:type="dxa"/>
          <w:trHeight w:val="521" w:hRule="atLeast"/>
          <w:jc w:val="center"/>
        </w:trPr>
        <w:tc>
          <w:tcPr>
            <w:tcW w:w="76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442460E">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序号</w:t>
            </w:r>
          </w:p>
        </w:tc>
        <w:tc>
          <w:tcPr>
            <w:tcW w:w="174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D8649D8">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权证编号</w:t>
            </w:r>
          </w:p>
        </w:tc>
        <w:tc>
          <w:tcPr>
            <w:tcW w:w="135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3CBDD9A">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权利类型</w:t>
            </w:r>
          </w:p>
        </w:tc>
        <w:tc>
          <w:tcPr>
            <w:tcW w:w="781"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14:paraId="4F0139C8">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权利性质</w:t>
            </w:r>
          </w:p>
        </w:tc>
        <w:tc>
          <w:tcPr>
            <w:tcW w:w="992"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14:paraId="7D128984">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用途</w:t>
            </w:r>
          </w:p>
        </w:tc>
        <w:tc>
          <w:tcPr>
            <w:tcW w:w="85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B328151">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房屋结构</w:t>
            </w:r>
          </w:p>
        </w:tc>
        <w:tc>
          <w:tcPr>
            <w:tcW w:w="1417" w:type="dxa"/>
            <w:vMerge w:val="restart"/>
            <w:tcBorders>
              <w:top w:val="single" w:color="auto" w:sz="4" w:space="0"/>
              <w:left w:val="single" w:color="auto" w:sz="4" w:space="0"/>
              <w:right w:val="single" w:color="auto" w:sz="4" w:space="0"/>
            </w:tcBorders>
            <w:vAlign w:val="center"/>
          </w:tcPr>
          <w:p w14:paraId="19F976EE">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房屋建筑面积</w:t>
            </w:r>
          </w:p>
        </w:tc>
        <w:tc>
          <w:tcPr>
            <w:tcW w:w="915"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14:paraId="6B97DDB6">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房屋总层数</w:t>
            </w:r>
          </w:p>
        </w:tc>
      </w:tr>
      <w:tr w14:paraId="28124DEC">
        <w:tblPrEx>
          <w:tblCellMar>
            <w:top w:w="0" w:type="dxa"/>
            <w:left w:w="108" w:type="dxa"/>
            <w:bottom w:w="0" w:type="dxa"/>
            <w:right w:w="108" w:type="dxa"/>
          </w:tblCellMar>
        </w:tblPrEx>
        <w:trPr>
          <w:trHeight w:val="309" w:hRule="atLeast"/>
          <w:jc w:val="center"/>
        </w:trPr>
        <w:tc>
          <w:tcPr>
            <w:tcW w:w="763" w:type="dxa"/>
            <w:vMerge w:val="continue"/>
            <w:tcBorders>
              <w:top w:val="single" w:color="auto" w:sz="4" w:space="0"/>
              <w:left w:val="single" w:color="auto" w:sz="4" w:space="0"/>
              <w:bottom w:val="single" w:color="auto" w:sz="4" w:space="0"/>
              <w:right w:val="single" w:color="auto" w:sz="4" w:space="0"/>
            </w:tcBorders>
            <w:vAlign w:val="center"/>
          </w:tcPr>
          <w:p w14:paraId="406C0841">
            <w:pPr>
              <w:widowControl/>
              <w:jc w:val="center"/>
              <w:rPr>
                <w:rFonts w:hint="eastAsia" w:cs="Times New Roman" w:asciiTheme="minorEastAsia" w:hAnsiTheme="minorEastAsia"/>
                <w:kern w:val="0"/>
                <w:sz w:val="20"/>
                <w:szCs w:val="20"/>
              </w:rPr>
            </w:pPr>
          </w:p>
        </w:tc>
        <w:tc>
          <w:tcPr>
            <w:tcW w:w="1741" w:type="dxa"/>
            <w:vMerge w:val="continue"/>
            <w:tcBorders>
              <w:top w:val="single" w:color="auto" w:sz="4" w:space="0"/>
              <w:left w:val="single" w:color="auto" w:sz="4" w:space="0"/>
              <w:bottom w:val="single" w:color="auto" w:sz="4" w:space="0"/>
              <w:right w:val="single" w:color="auto" w:sz="4" w:space="0"/>
            </w:tcBorders>
            <w:vAlign w:val="center"/>
          </w:tcPr>
          <w:p w14:paraId="0B858F31">
            <w:pPr>
              <w:widowControl/>
              <w:jc w:val="center"/>
              <w:rPr>
                <w:rFonts w:hint="eastAsia" w:cs="Times New Roman" w:asciiTheme="minorEastAsia" w:hAnsiTheme="minorEastAsia"/>
                <w:kern w:val="0"/>
                <w:sz w:val="20"/>
                <w:szCs w:val="20"/>
              </w:rPr>
            </w:pPr>
          </w:p>
        </w:tc>
        <w:tc>
          <w:tcPr>
            <w:tcW w:w="1356" w:type="dxa"/>
            <w:vMerge w:val="continue"/>
            <w:tcBorders>
              <w:top w:val="single" w:color="auto" w:sz="4" w:space="0"/>
              <w:left w:val="single" w:color="auto" w:sz="4" w:space="0"/>
              <w:bottom w:val="single" w:color="auto" w:sz="4" w:space="0"/>
              <w:right w:val="single" w:color="auto" w:sz="4" w:space="0"/>
            </w:tcBorders>
            <w:vAlign w:val="center"/>
          </w:tcPr>
          <w:p w14:paraId="1DD2FBA8">
            <w:pPr>
              <w:widowControl/>
              <w:jc w:val="center"/>
              <w:rPr>
                <w:rFonts w:hint="eastAsia" w:cs="Times New Roman" w:asciiTheme="minorEastAsia" w:hAnsiTheme="minorEastAsia"/>
                <w:kern w:val="0"/>
                <w:sz w:val="20"/>
                <w:szCs w:val="20"/>
              </w:rPr>
            </w:pPr>
          </w:p>
        </w:tc>
        <w:tc>
          <w:tcPr>
            <w:tcW w:w="781" w:type="dxa"/>
            <w:vMerge w:val="continue"/>
            <w:tcBorders>
              <w:top w:val="single" w:color="auto" w:sz="4" w:space="0"/>
              <w:left w:val="single" w:color="auto" w:sz="4" w:space="0"/>
              <w:bottom w:val="single" w:color="000000" w:sz="4" w:space="0"/>
              <w:right w:val="single" w:color="auto" w:sz="4" w:space="0"/>
            </w:tcBorders>
            <w:vAlign w:val="center"/>
          </w:tcPr>
          <w:p w14:paraId="420D1FFE">
            <w:pPr>
              <w:widowControl/>
              <w:jc w:val="center"/>
              <w:rPr>
                <w:rFonts w:hint="eastAsia" w:cs="Times New Roman" w:asciiTheme="minorEastAsia" w:hAnsiTheme="minorEastAsia"/>
                <w:kern w:val="0"/>
                <w:sz w:val="20"/>
                <w:szCs w:val="20"/>
              </w:rPr>
            </w:pPr>
          </w:p>
        </w:tc>
        <w:tc>
          <w:tcPr>
            <w:tcW w:w="992" w:type="dxa"/>
            <w:vMerge w:val="continue"/>
            <w:tcBorders>
              <w:top w:val="single" w:color="auto" w:sz="4" w:space="0"/>
              <w:left w:val="single" w:color="auto" w:sz="4" w:space="0"/>
              <w:bottom w:val="single" w:color="000000" w:sz="4" w:space="0"/>
              <w:right w:val="single" w:color="auto" w:sz="4" w:space="0"/>
            </w:tcBorders>
            <w:vAlign w:val="center"/>
          </w:tcPr>
          <w:p w14:paraId="0C912373">
            <w:pPr>
              <w:widowControl/>
              <w:jc w:val="center"/>
              <w:rPr>
                <w:rFonts w:hint="eastAsia" w:cs="Times New Roman" w:asciiTheme="minorEastAsia" w:hAnsiTheme="minorEastAsia"/>
                <w:kern w:val="0"/>
                <w:sz w:val="20"/>
                <w:szCs w:val="20"/>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14:paraId="3709B3E4">
            <w:pPr>
              <w:widowControl/>
              <w:jc w:val="center"/>
              <w:rPr>
                <w:rFonts w:hint="eastAsia" w:cs="Times New Roman" w:asciiTheme="minorEastAsia" w:hAnsiTheme="minorEastAsia"/>
                <w:kern w:val="0"/>
                <w:sz w:val="20"/>
                <w:szCs w:val="20"/>
              </w:rPr>
            </w:pPr>
          </w:p>
        </w:tc>
        <w:tc>
          <w:tcPr>
            <w:tcW w:w="1417" w:type="dxa"/>
            <w:vMerge w:val="continue"/>
            <w:tcBorders>
              <w:left w:val="single" w:color="auto" w:sz="4" w:space="0"/>
              <w:bottom w:val="single" w:color="auto" w:sz="4" w:space="0"/>
              <w:right w:val="single" w:color="auto" w:sz="4" w:space="0"/>
            </w:tcBorders>
            <w:vAlign w:val="center"/>
          </w:tcPr>
          <w:p w14:paraId="46696264">
            <w:pPr>
              <w:widowControl/>
              <w:jc w:val="center"/>
              <w:rPr>
                <w:rFonts w:hint="eastAsia" w:cs="Times New Roman" w:asciiTheme="minorEastAsia" w:hAnsiTheme="minorEastAsia"/>
                <w:kern w:val="0"/>
                <w:sz w:val="20"/>
                <w:szCs w:val="20"/>
              </w:rPr>
            </w:pPr>
          </w:p>
        </w:tc>
        <w:tc>
          <w:tcPr>
            <w:tcW w:w="915" w:type="dxa"/>
            <w:vMerge w:val="continue"/>
            <w:tcBorders>
              <w:top w:val="single" w:color="auto" w:sz="4" w:space="0"/>
              <w:left w:val="single" w:color="auto" w:sz="4" w:space="0"/>
              <w:bottom w:val="single" w:color="auto" w:sz="4" w:space="0"/>
              <w:right w:val="single" w:color="auto" w:sz="4" w:space="0"/>
            </w:tcBorders>
            <w:vAlign w:val="center"/>
          </w:tcPr>
          <w:p w14:paraId="0A4705C0">
            <w:pPr>
              <w:widowControl/>
              <w:jc w:val="center"/>
              <w:rPr>
                <w:rFonts w:hint="eastAsia" w:cs="Times New Roman" w:asciiTheme="minorEastAsia" w:hAnsiTheme="minorEastAsia"/>
                <w:kern w:val="0"/>
                <w:sz w:val="20"/>
                <w:szCs w:val="20"/>
              </w:rPr>
            </w:pPr>
          </w:p>
        </w:tc>
        <w:tc>
          <w:tcPr>
            <w:tcW w:w="265" w:type="dxa"/>
            <w:tcBorders>
              <w:top w:val="nil"/>
              <w:left w:val="nil"/>
              <w:bottom w:val="nil"/>
              <w:right w:val="nil"/>
            </w:tcBorders>
            <w:shd w:val="clear" w:color="auto" w:fill="auto"/>
            <w:vAlign w:val="bottom"/>
          </w:tcPr>
          <w:p w14:paraId="5F1447C6">
            <w:pPr>
              <w:widowControl/>
              <w:jc w:val="center"/>
              <w:rPr>
                <w:rFonts w:hint="eastAsia" w:ascii="宋体" w:hAnsi="宋体" w:eastAsia="宋体" w:cs="Times New Roman"/>
                <w:kern w:val="0"/>
                <w:sz w:val="20"/>
                <w:szCs w:val="20"/>
              </w:rPr>
            </w:pPr>
          </w:p>
        </w:tc>
      </w:tr>
      <w:tr w14:paraId="252A3468">
        <w:tblPrEx>
          <w:tblCellMar>
            <w:top w:w="0" w:type="dxa"/>
            <w:left w:w="108" w:type="dxa"/>
            <w:bottom w:w="0" w:type="dxa"/>
            <w:right w:w="108" w:type="dxa"/>
          </w:tblCellMar>
        </w:tblPrEx>
        <w:trPr>
          <w:trHeight w:val="609" w:hRule="atLeast"/>
          <w:jc w:val="center"/>
        </w:trPr>
        <w:tc>
          <w:tcPr>
            <w:tcW w:w="763" w:type="dxa"/>
            <w:tcBorders>
              <w:top w:val="nil"/>
              <w:left w:val="single" w:color="auto" w:sz="4" w:space="0"/>
              <w:bottom w:val="single" w:color="auto" w:sz="4" w:space="0"/>
              <w:right w:val="single" w:color="auto" w:sz="4" w:space="0"/>
            </w:tcBorders>
            <w:shd w:val="clear" w:color="auto" w:fill="auto"/>
            <w:vAlign w:val="center"/>
          </w:tcPr>
          <w:p w14:paraId="61442C27">
            <w:pPr>
              <w:widowControl/>
              <w:jc w:val="center"/>
              <w:rPr>
                <w:rFonts w:hint="eastAsia" w:cs="Times New Roman" w:asciiTheme="minorEastAsia" w:hAnsiTheme="minorEastAsia"/>
                <w:kern w:val="0"/>
                <w:sz w:val="20"/>
                <w:szCs w:val="20"/>
              </w:rPr>
            </w:pPr>
            <w:r>
              <w:rPr>
                <w:rFonts w:cs="Times New Roman" w:asciiTheme="minorEastAsia" w:hAnsiTheme="minorEastAsia"/>
                <w:kern w:val="0"/>
                <w:sz w:val="20"/>
                <w:szCs w:val="20"/>
              </w:rPr>
              <w:t>1</w:t>
            </w:r>
          </w:p>
        </w:tc>
        <w:tc>
          <w:tcPr>
            <w:tcW w:w="1741" w:type="dxa"/>
            <w:tcBorders>
              <w:top w:val="nil"/>
              <w:left w:val="nil"/>
              <w:bottom w:val="single" w:color="auto" w:sz="4" w:space="0"/>
              <w:right w:val="single" w:color="auto" w:sz="4" w:space="0"/>
            </w:tcBorders>
            <w:shd w:val="clear" w:color="auto" w:fill="auto"/>
            <w:vAlign w:val="center"/>
          </w:tcPr>
          <w:p w14:paraId="0F5EB0B5">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冀（2021）邯郸冀南新区不动产权第0001330号</w:t>
            </w:r>
          </w:p>
        </w:tc>
        <w:tc>
          <w:tcPr>
            <w:tcW w:w="1356" w:type="dxa"/>
            <w:tcBorders>
              <w:top w:val="nil"/>
              <w:left w:val="nil"/>
              <w:bottom w:val="single" w:color="auto" w:sz="4" w:space="0"/>
              <w:right w:val="single" w:color="auto" w:sz="4" w:space="0"/>
            </w:tcBorders>
            <w:shd w:val="clear" w:color="auto" w:fill="auto"/>
            <w:vAlign w:val="center"/>
          </w:tcPr>
          <w:p w14:paraId="3EADCFBE">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国有建设用地使用权/房屋(构筑物)所有权</w:t>
            </w:r>
          </w:p>
        </w:tc>
        <w:tc>
          <w:tcPr>
            <w:tcW w:w="781" w:type="dxa"/>
            <w:tcBorders>
              <w:top w:val="nil"/>
              <w:left w:val="nil"/>
              <w:bottom w:val="single" w:color="auto" w:sz="4" w:space="0"/>
              <w:right w:val="single" w:color="auto" w:sz="4" w:space="0"/>
            </w:tcBorders>
            <w:shd w:val="clear" w:color="auto" w:fill="auto"/>
            <w:vAlign w:val="center"/>
          </w:tcPr>
          <w:p w14:paraId="2D078A82">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出让/自建房</w:t>
            </w:r>
          </w:p>
        </w:tc>
        <w:tc>
          <w:tcPr>
            <w:tcW w:w="992" w:type="dxa"/>
            <w:tcBorders>
              <w:top w:val="nil"/>
              <w:left w:val="nil"/>
              <w:bottom w:val="single" w:color="auto" w:sz="4" w:space="0"/>
              <w:right w:val="single" w:color="auto" w:sz="4" w:space="0"/>
            </w:tcBorders>
            <w:shd w:val="clear" w:color="auto" w:fill="auto"/>
            <w:vAlign w:val="center"/>
          </w:tcPr>
          <w:p w14:paraId="155978F1">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住宿餐饮用地/办公</w:t>
            </w:r>
          </w:p>
        </w:tc>
        <w:tc>
          <w:tcPr>
            <w:tcW w:w="851" w:type="dxa"/>
            <w:tcBorders>
              <w:top w:val="nil"/>
              <w:left w:val="nil"/>
              <w:bottom w:val="single" w:color="auto" w:sz="4" w:space="0"/>
              <w:right w:val="single" w:color="auto" w:sz="4" w:space="0"/>
            </w:tcBorders>
            <w:shd w:val="clear" w:color="auto" w:fill="auto"/>
            <w:vAlign w:val="center"/>
          </w:tcPr>
          <w:p w14:paraId="2481759E">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混合结构</w:t>
            </w:r>
          </w:p>
        </w:tc>
        <w:tc>
          <w:tcPr>
            <w:tcW w:w="1417" w:type="dxa"/>
            <w:tcBorders>
              <w:top w:val="single" w:color="auto" w:sz="4" w:space="0"/>
              <w:left w:val="nil"/>
              <w:bottom w:val="single" w:color="auto" w:sz="4" w:space="0"/>
              <w:right w:val="single" w:color="auto" w:sz="4" w:space="0"/>
            </w:tcBorders>
            <w:vAlign w:val="center"/>
          </w:tcPr>
          <w:p w14:paraId="4AF1E8F2">
            <w:pPr>
              <w:widowControl/>
              <w:jc w:val="center"/>
              <w:rPr>
                <w:rFonts w:hint="eastAsia" w:cs="Times New Roman" w:asciiTheme="minorEastAsia" w:hAnsiTheme="minorEastAsia"/>
                <w:kern w:val="0"/>
                <w:sz w:val="20"/>
                <w:szCs w:val="20"/>
              </w:rPr>
            </w:pPr>
            <w:r>
              <w:rPr>
                <w:rFonts w:cs="Times New Roman" w:asciiTheme="minorEastAsia" w:hAnsiTheme="minorEastAsia"/>
                <w:kern w:val="0"/>
                <w:sz w:val="20"/>
                <w:szCs w:val="20"/>
              </w:rPr>
              <w:t>2,434.12</w:t>
            </w:r>
            <w:r>
              <w:rPr>
                <w:rFonts w:hint="eastAsia" w:cs="Times New Roman" w:asciiTheme="minorEastAsia" w:hAnsiTheme="minorEastAsia"/>
                <w:kern w:val="0"/>
                <w:sz w:val="20"/>
                <w:szCs w:val="20"/>
              </w:rPr>
              <w:t>㎡</w:t>
            </w:r>
          </w:p>
        </w:tc>
        <w:tc>
          <w:tcPr>
            <w:tcW w:w="915" w:type="dxa"/>
            <w:tcBorders>
              <w:top w:val="single" w:color="auto" w:sz="4" w:space="0"/>
              <w:left w:val="single" w:color="auto" w:sz="4" w:space="0"/>
              <w:bottom w:val="single" w:color="auto" w:sz="4" w:space="0"/>
              <w:right w:val="single" w:color="auto" w:sz="4" w:space="0"/>
            </w:tcBorders>
            <w:shd w:val="clear" w:color="auto" w:fill="auto"/>
            <w:vAlign w:val="center"/>
          </w:tcPr>
          <w:p w14:paraId="1589ED7E">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3</w:t>
            </w:r>
          </w:p>
        </w:tc>
        <w:tc>
          <w:tcPr>
            <w:tcW w:w="265" w:type="dxa"/>
            <w:vAlign w:val="center"/>
          </w:tcPr>
          <w:p w14:paraId="359B62CD">
            <w:pPr>
              <w:widowControl/>
              <w:jc w:val="left"/>
              <w:rPr>
                <w:rFonts w:ascii="Times New Roman" w:hAnsi="Times New Roman" w:eastAsia="Times New Roman" w:cs="Times New Roman"/>
                <w:kern w:val="0"/>
                <w:sz w:val="20"/>
                <w:szCs w:val="20"/>
              </w:rPr>
            </w:pPr>
          </w:p>
        </w:tc>
      </w:tr>
      <w:tr w14:paraId="396AA30D">
        <w:tblPrEx>
          <w:tblCellMar>
            <w:top w:w="0" w:type="dxa"/>
            <w:left w:w="108" w:type="dxa"/>
            <w:bottom w:w="0" w:type="dxa"/>
            <w:right w:w="108" w:type="dxa"/>
          </w:tblCellMar>
        </w:tblPrEx>
        <w:trPr>
          <w:trHeight w:val="708" w:hRule="atLeast"/>
          <w:jc w:val="center"/>
        </w:trPr>
        <w:tc>
          <w:tcPr>
            <w:tcW w:w="763" w:type="dxa"/>
            <w:tcBorders>
              <w:top w:val="nil"/>
              <w:left w:val="single" w:color="auto" w:sz="4" w:space="0"/>
              <w:bottom w:val="single" w:color="auto" w:sz="4" w:space="0"/>
              <w:right w:val="single" w:color="auto" w:sz="4" w:space="0"/>
            </w:tcBorders>
            <w:shd w:val="clear" w:color="auto" w:fill="auto"/>
            <w:vAlign w:val="center"/>
          </w:tcPr>
          <w:p w14:paraId="5F293CC4">
            <w:pPr>
              <w:widowControl/>
              <w:jc w:val="center"/>
              <w:rPr>
                <w:rFonts w:hint="eastAsia" w:cs="Times New Roman" w:asciiTheme="minorEastAsia" w:hAnsiTheme="minorEastAsia"/>
                <w:kern w:val="0"/>
                <w:sz w:val="20"/>
                <w:szCs w:val="20"/>
              </w:rPr>
            </w:pPr>
            <w:r>
              <w:rPr>
                <w:rFonts w:cs="Times New Roman" w:asciiTheme="minorEastAsia" w:hAnsiTheme="minorEastAsia"/>
                <w:kern w:val="0"/>
                <w:sz w:val="20"/>
                <w:szCs w:val="20"/>
              </w:rPr>
              <w:t>2</w:t>
            </w:r>
          </w:p>
        </w:tc>
        <w:tc>
          <w:tcPr>
            <w:tcW w:w="1741" w:type="dxa"/>
            <w:tcBorders>
              <w:top w:val="nil"/>
              <w:left w:val="nil"/>
              <w:bottom w:val="single" w:color="auto" w:sz="4" w:space="0"/>
              <w:right w:val="single" w:color="auto" w:sz="4" w:space="0"/>
            </w:tcBorders>
            <w:shd w:val="clear" w:color="auto" w:fill="auto"/>
            <w:vAlign w:val="center"/>
          </w:tcPr>
          <w:p w14:paraId="4C0D13E1">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冀（2021）邯郸冀南新区不动产权第0001331号</w:t>
            </w:r>
          </w:p>
        </w:tc>
        <w:tc>
          <w:tcPr>
            <w:tcW w:w="1356" w:type="dxa"/>
            <w:tcBorders>
              <w:top w:val="nil"/>
              <w:left w:val="nil"/>
              <w:bottom w:val="single" w:color="auto" w:sz="4" w:space="0"/>
              <w:right w:val="single" w:color="auto" w:sz="4" w:space="0"/>
            </w:tcBorders>
            <w:shd w:val="clear" w:color="auto" w:fill="auto"/>
            <w:vAlign w:val="center"/>
          </w:tcPr>
          <w:p w14:paraId="2CC06F10">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国有建设用地使用权/房屋(构筑物)所有权</w:t>
            </w:r>
          </w:p>
        </w:tc>
        <w:tc>
          <w:tcPr>
            <w:tcW w:w="781" w:type="dxa"/>
            <w:tcBorders>
              <w:top w:val="nil"/>
              <w:left w:val="nil"/>
              <w:bottom w:val="single" w:color="auto" w:sz="4" w:space="0"/>
              <w:right w:val="single" w:color="auto" w:sz="4" w:space="0"/>
            </w:tcBorders>
            <w:shd w:val="clear" w:color="auto" w:fill="auto"/>
            <w:vAlign w:val="center"/>
          </w:tcPr>
          <w:p w14:paraId="6D7187DC">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出让/自建房</w:t>
            </w:r>
          </w:p>
        </w:tc>
        <w:tc>
          <w:tcPr>
            <w:tcW w:w="992" w:type="dxa"/>
            <w:tcBorders>
              <w:top w:val="nil"/>
              <w:left w:val="nil"/>
              <w:bottom w:val="single" w:color="auto" w:sz="4" w:space="0"/>
              <w:right w:val="single" w:color="auto" w:sz="4" w:space="0"/>
            </w:tcBorders>
            <w:shd w:val="clear" w:color="auto" w:fill="auto"/>
            <w:vAlign w:val="center"/>
          </w:tcPr>
          <w:p w14:paraId="3775F4F7">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住宿餐饮用地/商业服务</w:t>
            </w:r>
          </w:p>
        </w:tc>
        <w:tc>
          <w:tcPr>
            <w:tcW w:w="851" w:type="dxa"/>
            <w:tcBorders>
              <w:top w:val="nil"/>
              <w:left w:val="nil"/>
              <w:bottom w:val="single" w:color="auto" w:sz="4" w:space="0"/>
              <w:right w:val="single" w:color="auto" w:sz="4" w:space="0"/>
            </w:tcBorders>
            <w:shd w:val="clear" w:color="auto" w:fill="auto"/>
            <w:vAlign w:val="center"/>
          </w:tcPr>
          <w:p w14:paraId="43436CE4">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钢结构</w:t>
            </w:r>
          </w:p>
        </w:tc>
        <w:tc>
          <w:tcPr>
            <w:tcW w:w="1417" w:type="dxa"/>
            <w:tcBorders>
              <w:top w:val="single" w:color="auto" w:sz="4" w:space="0"/>
              <w:left w:val="nil"/>
              <w:bottom w:val="single" w:color="auto" w:sz="4" w:space="0"/>
              <w:right w:val="single" w:color="auto" w:sz="4" w:space="0"/>
            </w:tcBorders>
            <w:vAlign w:val="center"/>
          </w:tcPr>
          <w:p w14:paraId="50CB14A9">
            <w:pPr>
              <w:widowControl/>
              <w:jc w:val="center"/>
              <w:rPr>
                <w:rFonts w:hint="eastAsia" w:cs="Times New Roman" w:asciiTheme="minorEastAsia" w:hAnsiTheme="minorEastAsia"/>
                <w:kern w:val="0"/>
                <w:sz w:val="20"/>
                <w:szCs w:val="20"/>
              </w:rPr>
            </w:pPr>
            <w:r>
              <w:rPr>
                <w:rFonts w:cs="Times New Roman" w:asciiTheme="minorEastAsia" w:hAnsiTheme="minorEastAsia"/>
                <w:kern w:val="0"/>
                <w:sz w:val="20"/>
                <w:szCs w:val="20"/>
              </w:rPr>
              <w:t>5,336.10</w:t>
            </w:r>
            <w:r>
              <w:rPr>
                <w:rFonts w:hint="eastAsia" w:cs="Times New Roman" w:asciiTheme="minorEastAsia" w:hAnsiTheme="minorEastAsia"/>
                <w:kern w:val="0"/>
                <w:sz w:val="20"/>
                <w:szCs w:val="20"/>
              </w:rPr>
              <w:t>㎡</w:t>
            </w:r>
          </w:p>
        </w:tc>
        <w:tc>
          <w:tcPr>
            <w:tcW w:w="915" w:type="dxa"/>
            <w:tcBorders>
              <w:top w:val="single" w:color="auto" w:sz="4" w:space="0"/>
              <w:left w:val="single" w:color="auto" w:sz="4" w:space="0"/>
              <w:bottom w:val="single" w:color="auto" w:sz="4" w:space="0"/>
              <w:right w:val="single" w:color="auto" w:sz="4" w:space="0"/>
            </w:tcBorders>
            <w:shd w:val="clear" w:color="auto" w:fill="auto"/>
            <w:vAlign w:val="center"/>
          </w:tcPr>
          <w:p w14:paraId="0CB53369">
            <w:pPr>
              <w:widowControl/>
              <w:jc w:val="center"/>
              <w:rPr>
                <w:rFonts w:hint="eastAsia" w:cs="Times New Roman" w:asciiTheme="minorEastAsia" w:hAnsiTheme="minorEastAsia"/>
                <w:kern w:val="0"/>
                <w:sz w:val="20"/>
                <w:szCs w:val="20"/>
              </w:rPr>
            </w:pPr>
            <w:r>
              <w:rPr>
                <w:rFonts w:hint="eastAsia" w:cs="Times New Roman" w:asciiTheme="minorEastAsia" w:hAnsiTheme="minorEastAsia"/>
                <w:kern w:val="0"/>
                <w:sz w:val="20"/>
                <w:szCs w:val="20"/>
              </w:rPr>
              <w:t>1</w:t>
            </w:r>
          </w:p>
        </w:tc>
        <w:tc>
          <w:tcPr>
            <w:tcW w:w="265" w:type="dxa"/>
            <w:vAlign w:val="center"/>
          </w:tcPr>
          <w:p w14:paraId="78C85B7C">
            <w:pPr>
              <w:widowControl/>
              <w:jc w:val="left"/>
              <w:rPr>
                <w:rFonts w:ascii="Times New Roman" w:hAnsi="Times New Roman" w:eastAsia="Times New Roman" w:cs="Times New Roman"/>
                <w:kern w:val="0"/>
                <w:sz w:val="20"/>
                <w:szCs w:val="20"/>
              </w:rPr>
            </w:pPr>
          </w:p>
        </w:tc>
      </w:tr>
    </w:tbl>
    <w:p w14:paraId="379267F1">
      <w:pPr>
        <w:wordWrap w:val="0"/>
        <w:spacing w:line="360" w:lineRule="auto"/>
        <w:ind w:left="482"/>
        <w:jc w:val="left"/>
        <w:rPr>
          <w:rFonts w:hint="eastAsia" w:asciiTheme="minorEastAsia" w:hAnsiTheme="minorEastAsia"/>
          <w:b/>
          <w:sz w:val="24"/>
          <w:szCs w:val="24"/>
        </w:rPr>
      </w:pPr>
      <w:r>
        <w:rPr>
          <w:rFonts w:hint="eastAsia" w:asciiTheme="minorEastAsia" w:hAnsiTheme="minorEastAsia"/>
          <w:b/>
          <w:sz w:val="24"/>
          <w:szCs w:val="24"/>
        </w:rPr>
        <w:t>（2）机器设备及餐饮用品</w:t>
      </w:r>
    </w:p>
    <w:p w14:paraId="2DBE3379">
      <w:pPr>
        <w:wordWrap w:val="0"/>
        <w:spacing w:line="360" w:lineRule="auto"/>
        <w:ind w:firstLine="480" w:firstLineChars="200"/>
        <w:jc w:val="left"/>
        <w:rPr>
          <w:rFonts w:hint="eastAsia" w:asciiTheme="minorEastAsia" w:hAnsiTheme="minorEastAsia"/>
          <w:bCs/>
          <w:sz w:val="24"/>
          <w:szCs w:val="24"/>
        </w:rPr>
      </w:pPr>
      <w:r>
        <w:rPr>
          <w:rFonts w:hint="eastAsia" w:asciiTheme="minorEastAsia" w:hAnsiTheme="minorEastAsia"/>
          <w:bCs/>
          <w:sz w:val="24"/>
          <w:szCs w:val="24"/>
        </w:rPr>
        <w:t>主要包括空调设备、配电工程、消防工程、电力工程、供冷热水系统、水电管网类、前厅用具、厨具、圆桌、椅子、电视、空调等。</w:t>
      </w:r>
    </w:p>
    <w:p w14:paraId="6F195B65">
      <w:pPr>
        <w:wordWrap w:val="0"/>
        <w:spacing w:line="360" w:lineRule="auto"/>
        <w:ind w:left="482"/>
        <w:jc w:val="left"/>
        <w:rPr>
          <w:rFonts w:hint="eastAsia" w:asciiTheme="minorEastAsia" w:hAnsiTheme="minorEastAsia"/>
          <w:b/>
          <w:sz w:val="24"/>
          <w:szCs w:val="24"/>
        </w:rPr>
      </w:pPr>
    </w:p>
    <w:p w14:paraId="2AD0B64D">
      <w:pPr>
        <w:spacing w:line="360" w:lineRule="auto"/>
        <w:ind w:firstLine="482" w:firstLineChars="200"/>
        <w:rPr>
          <w:rFonts w:hint="eastAsia" w:asciiTheme="minorEastAsia" w:hAnsiTheme="minorEastAsia"/>
          <w:b/>
          <w:bCs/>
          <w:color w:val="FF0000"/>
          <w:sz w:val="24"/>
          <w:szCs w:val="24"/>
        </w:rPr>
      </w:pPr>
      <w:r>
        <w:rPr>
          <w:rFonts w:hint="eastAsia" w:asciiTheme="minorEastAsia" w:hAnsiTheme="minorEastAsia"/>
          <w:b/>
          <w:bCs/>
          <w:color w:val="FF0000"/>
          <w:sz w:val="24"/>
          <w:szCs w:val="24"/>
        </w:rPr>
        <w:t>重要提示:</w:t>
      </w:r>
    </w:p>
    <w:p w14:paraId="72D14366">
      <w:pPr>
        <w:spacing w:line="360" w:lineRule="auto"/>
        <w:ind w:firstLine="482" w:firstLineChars="200"/>
        <w:rPr>
          <w:rFonts w:hint="eastAsia" w:asciiTheme="minorEastAsia" w:hAnsiTheme="minorEastAsia"/>
          <w:b/>
          <w:color w:val="FF0000"/>
          <w:sz w:val="24"/>
          <w:szCs w:val="24"/>
        </w:rPr>
      </w:pPr>
      <w:r>
        <w:rPr>
          <w:rFonts w:hint="eastAsia" w:asciiTheme="minorEastAsia" w:hAnsiTheme="minorEastAsia"/>
          <w:b/>
          <w:color w:val="FF0000"/>
          <w:sz w:val="24"/>
          <w:szCs w:val="24"/>
        </w:rPr>
        <w:t>1、关于滏淼生态公司拥有的房屋建筑物，其中办公楼二层存在部分员工宿舍在用，三层被邯郸冀南新区行政审批局、国家税务总局邯郸冀南新区税务局作为食堂使用；餐厅部分存在被第三人进行地面硬化、钢结构建设的情况。上述占用问题由买受人自行沟通解决，产生的相关费用由买受人承担。</w:t>
      </w:r>
    </w:p>
    <w:p w14:paraId="376F130C">
      <w:pPr>
        <w:spacing w:line="360" w:lineRule="auto"/>
        <w:ind w:firstLine="482" w:firstLineChars="200"/>
        <w:rPr>
          <w:rFonts w:hint="eastAsia" w:asciiTheme="minorEastAsia" w:hAnsiTheme="minorEastAsia"/>
          <w:b/>
          <w:color w:val="FF0000"/>
          <w:sz w:val="24"/>
          <w:szCs w:val="24"/>
        </w:rPr>
      </w:pPr>
      <w:r>
        <w:rPr>
          <w:rFonts w:hint="eastAsia" w:asciiTheme="minorEastAsia" w:hAnsiTheme="minorEastAsia"/>
          <w:b/>
          <w:color w:val="FF0000"/>
          <w:sz w:val="24"/>
          <w:szCs w:val="24"/>
        </w:rPr>
        <w:t>2、滏淼生态公司房屋建筑物建设于一块共有土地上面，位于河北省邯郸冀南新区中华大街东侧，生态二路南侧，科创一路北侧，土地性质为住宿餐饮用地，共有土地面积28035.16平方米。其中房屋不动产权证号为冀（2021）邯郸冀南新区不动产权第0001331号，建筑面积为</w:t>
      </w:r>
      <w:r>
        <w:rPr>
          <w:rFonts w:asciiTheme="minorEastAsia" w:hAnsiTheme="minorEastAsia"/>
          <w:b/>
          <w:color w:val="FF0000"/>
          <w:sz w:val="24"/>
          <w:szCs w:val="24"/>
        </w:rPr>
        <w:t>5,336.10</w:t>
      </w:r>
      <w:r>
        <w:rPr>
          <w:rFonts w:hint="eastAsia" w:asciiTheme="minorEastAsia" w:hAnsiTheme="minorEastAsia"/>
          <w:b/>
          <w:color w:val="FF0000"/>
          <w:sz w:val="24"/>
          <w:szCs w:val="24"/>
        </w:rPr>
        <w:t>㎡；房屋不动产权证号为冀（2021）邯郸冀南新区不动产权第0001330号，建筑面积为</w:t>
      </w:r>
      <w:r>
        <w:rPr>
          <w:rFonts w:asciiTheme="minorEastAsia" w:hAnsiTheme="minorEastAsia"/>
          <w:b/>
          <w:color w:val="FF0000"/>
          <w:sz w:val="24"/>
          <w:szCs w:val="24"/>
        </w:rPr>
        <w:t>2,434.12</w:t>
      </w:r>
      <w:r>
        <w:rPr>
          <w:rFonts w:hint="eastAsia" w:asciiTheme="minorEastAsia" w:hAnsiTheme="minorEastAsia"/>
          <w:b/>
          <w:color w:val="FF0000"/>
          <w:sz w:val="24"/>
          <w:szCs w:val="24"/>
        </w:rPr>
        <w:t>㎡。标的物以实物现状为准，管理人不承担本标的瑕疵保证。因房屋建筑所在土地为共有土地，可能存在权利变更复杂或者无法变更情况，有意者请亲自实地看样，并到相应职能部门（如不动产登记中心、国土资源局、规划局等）了解咨询，具体情况请意向竞买人自行核实，成交后由买受人自行承担相关风险；</w:t>
      </w:r>
      <w:r>
        <w:rPr>
          <w:rFonts w:asciiTheme="minorEastAsia" w:hAnsiTheme="minorEastAsia"/>
          <w:b/>
          <w:color w:val="FF0000"/>
          <w:sz w:val="24"/>
          <w:szCs w:val="24"/>
        </w:rPr>
        <w:t xml:space="preserve"> </w:t>
      </w:r>
    </w:p>
    <w:p w14:paraId="495D2DAD">
      <w:pPr>
        <w:spacing w:line="360" w:lineRule="auto"/>
        <w:ind w:firstLine="482" w:firstLineChars="200"/>
        <w:rPr>
          <w:rFonts w:hint="eastAsia" w:asciiTheme="minorEastAsia" w:hAnsiTheme="minorEastAsia"/>
          <w:b/>
          <w:color w:val="FF0000"/>
          <w:sz w:val="24"/>
          <w:szCs w:val="24"/>
        </w:rPr>
      </w:pPr>
      <w:r>
        <w:rPr>
          <w:rFonts w:hint="eastAsia" w:asciiTheme="minorEastAsia" w:hAnsiTheme="minorEastAsia"/>
          <w:b/>
          <w:color w:val="FF0000"/>
          <w:sz w:val="24"/>
          <w:szCs w:val="24"/>
        </w:rPr>
        <w:t>3、标的以现状进行拍卖，其外观、结构、固定装修及内在质量以移交时的现状为准。房地产的实际面积以过户时登记机关登记为准。管理人对房屋外观、质量问题、结构调整、固定装修损坏、房地产面积差异等不作担保，由买受人自行承担相关责任，由此产生的问题也不影响变卖成交结果及成交价格。如有房屋结构与发证时发生改变的，由竞买人自行到相关职能部门了解能否办理过户手续，须修复的相关费用由买受人承担。</w:t>
      </w:r>
    </w:p>
    <w:p w14:paraId="14CAF9B6">
      <w:pPr>
        <w:spacing w:line="360" w:lineRule="auto"/>
        <w:ind w:firstLine="482" w:firstLineChars="200"/>
        <w:rPr>
          <w:rFonts w:hint="eastAsia" w:asciiTheme="minorEastAsia" w:hAnsiTheme="minorEastAsia"/>
          <w:b/>
          <w:bCs/>
          <w:color w:val="FF0000"/>
          <w:sz w:val="24"/>
          <w:szCs w:val="24"/>
        </w:rPr>
      </w:pPr>
      <w:r>
        <w:rPr>
          <w:rFonts w:hint="eastAsia" w:asciiTheme="minorEastAsia" w:hAnsiTheme="minorEastAsia"/>
          <w:b/>
          <w:color w:val="FF0000"/>
          <w:sz w:val="24"/>
          <w:szCs w:val="24"/>
        </w:rPr>
        <w:t>4、</w:t>
      </w:r>
      <w:r>
        <w:rPr>
          <w:rFonts w:hint="eastAsia" w:asciiTheme="minorEastAsia" w:hAnsiTheme="minorEastAsia"/>
          <w:b/>
          <w:bCs/>
          <w:color w:val="FF0000"/>
          <w:sz w:val="24"/>
          <w:szCs w:val="24"/>
        </w:rPr>
        <w:t>机器设备及餐饮用品等部分的状况以标的物现状为准，标的物可能存在老化、毁损和不能正常使用的情况。本管理人不承担本标的物瑕疵保证和质量保修，具体以实物及实际情况为准。标的物以实物现状进行交付，标的物的名称、型号及数量，仅通过标的物的外观获取，无法对标的物的具体信息进行核实，若标的物交付时名称、型号及数量等有出入，拍卖成交价不作调整。除拍卖文件披露外，竞买人应对拍卖标的的实际状况以及瑕疵（含显性、隐性瑕疵）等自行调查核实，并承担全部风险。管理人对拍卖标的物所作的说明，以及提供的图片、视频或其他说明材料等资料，仅供竞买人参考，不构成对拍卖标的物的任何担保。请竞买人在竞拍前务必仔细审查拍卖标的物，调查是否存在瑕疵，认真研究查看拍卖标的物的实际情况，并亲临现场实地看样。未现场实地看样的竞买人将视为对拍卖标的物实物现状的确认，请竞买人慎重决定竞买行为。竞买人一旦做出竞买决定，则表明其已完全了解、并接受拍卖标的物的现状和一切已知及未知瑕疵，由此产生的风险由买受人承担，与管理人及拍卖辅助机构无关。</w:t>
      </w:r>
    </w:p>
    <w:p w14:paraId="25CA6301">
      <w:pPr>
        <w:spacing w:line="360" w:lineRule="auto"/>
        <w:ind w:firstLine="482" w:firstLineChars="200"/>
        <w:rPr>
          <w:rFonts w:hint="eastAsia" w:asciiTheme="minorEastAsia" w:hAnsiTheme="minorEastAsia"/>
          <w:b/>
          <w:color w:val="FF0000"/>
          <w:sz w:val="24"/>
          <w:szCs w:val="24"/>
        </w:rPr>
      </w:pPr>
      <w:r>
        <w:rPr>
          <w:rFonts w:hint="eastAsia" w:asciiTheme="minorEastAsia" w:hAnsiTheme="minorEastAsia"/>
          <w:b/>
          <w:bCs/>
          <w:color w:val="FF0000"/>
          <w:sz w:val="24"/>
          <w:szCs w:val="24"/>
        </w:rPr>
        <w:t>其他未尽事宜由买受人自行了解。</w:t>
      </w:r>
    </w:p>
    <w:p w14:paraId="6044DCE7">
      <w:pPr>
        <w:spacing w:line="360" w:lineRule="auto"/>
        <w:ind w:firstLine="482" w:firstLineChars="200"/>
        <w:rPr>
          <w:rFonts w:hint="eastAsia" w:asciiTheme="minorEastAsia" w:hAnsiTheme="minorEastAsia"/>
          <w:sz w:val="24"/>
          <w:szCs w:val="24"/>
        </w:rPr>
      </w:pPr>
      <w:r>
        <w:rPr>
          <w:rFonts w:hint="eastAsia" w:asciiTheme="minorEastAsia" w:hAnsiTheme="minorEastAsia"/>
          <w:b/>
          <w:sz w:val="24"/>
          <w:szCs w:val="24"/>
        </w:rPr>
        <w:t>二、咨询、展示、看样的时间与方式</w:t>
      </w:r>
    </w:p>
    <w:p w14:paraId="4CDB64F5">
      <w:pPr>
        <w:spacing w:line="360" w:lineRule="auto"/>
        <w:ind w:firstLine="480" w:firstLineChars="200"/>
        <w:rPr>
          <w:rFonts w:hint="eastAsia" w:asciiTheme="minorEastAsia" w:hAnsiTheme="minorEastAsia"/>
          <w:b/>
          <w:color w:val="FF0000"/>
          <w:sz w:val="24"/>
          <w:szCs w:val="24"/>
        </w:rPr>
      </w:pPr>
      <w:r>
        <w:rPr>
          <w:rFonts w:hint="eastAsia" w:asciiTheme="minorEastAsia" w:hAnsiTheme="minorEastAsia"/>
          <w:sz w:val="24"/>
          <w:szCs w:val="24"/>
        </w:rPr>
        <w:t>自公告之日起至本次拍卖结束之日止接受咨询（工作时间内），统一安排现场看样。本管理人已委托</w:t>
      </w:r>
      <w:r>
        <w:rPr>
          <w:rFonts w:hint="eastAsia" w:asciiTheme="minorEastAsia" w:hAnsiTheme="minorEastAsia"/>
          <w:sz w:val="24"/>
          <w:szCs w:val="24"/>
          <w:u w:val="single"/>
        </w:rPr>
        <w:t>河北德辉辅拍网络科技有限公司</w:t>
      </w:r>
      <w:r>
        <w:rPr>
          <w:rFonts w:hint="eastAsia" w:asciiTheme="minorEastAsia" w:hAnsiTheme="minorEastAsia"/>
          <w:sz w:val="24"/>
          <w:szCs w:val="24"/>
        </w:rPr>
        <w:t>协助办理咨询、预展事务，有意者请联系（联系电话：刘先生：13863373747，王女士：18548013663）。</w:t>
      </w:r>
      <w:r>
        <w:rPr>
          <w:rFonts w:hint="eastAsia" w:asciiTheme="minorEastAsia" w:hAnsiTheme="minorEastAsia"/>
          <w:b/>
          <w:color w:val="FF0000"/>
          <w:sz w:val="24"/>
          <w:szCs w:val="24"/>
        </w:rPr>
        <w:t>有意者请亲自实地看样，详细情况可向相关部门了解或自行进行调查，未看样的竞买人视为对本标的物实物现状的确认，责任自负。请谨慎参拍。竞买人一旦作出竞买决定，即表明已完全了解，并接受标的物的现状和一切已知及未知的瑕疵。</w:t>
      </w:r>
    </w:p>
    <w:p w14:paraId="17BCD915">
      <w:pPr>
        <w:spacing w:line="360" w:lineRule="auto"/>
        <w:ind w:firstLine="482" w:firstLineChars="200"/>
        <w:rPr>
          <w:rFonts w:hint="eastAsia" w:asciiTheme="minorEastAsia" w:hAnsiTheme="minorEastAsia"/>
          <w:b/>
          <w:sz w:val="24"/>
          <w:szCs w:val="24"/>
        </w:rPr>
      </w:pPr>
      <w:r>
        <w:rPr>
          <w:rFonts w:hint="eastAsia" w:asciiTheme="minorEastAsia" w:hAnsiTheme="minorEastAsia"/>
          <w:b/>
          <w:sz w:val="24"/>
          <w:szCs w:val="24"/>
        </w:rPr>
        <w:t>三、竞买人条件</w:t>
      </w:r>
    </w:p>
    <w:p w14:paraId="42E0B872">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4210C1A2">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color w:val="000000" w:themeColor="text1"/>
          <w:sz w:val="24"/>
          <w:szCs w:val="24"/>
          <w14:textFill>
            <w14:solidFill>
              <w14:schemeClr w14:val="tx1"/>
            </w14:solidFill>
          </w14:textFill>
        </w:rPr>
        <w:t>竞买人（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）可委托他人（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）参与拍卖。</w:t>
      </w:r>
      <w:r>
        <w:rPr>
          <w:rFonts w:hint="eastAsia" w:asciiTheme="minorEastAsia" w:hAnsiTheme="minorEastAsia"/>
          <w:sz w:val="24"/>
          <w:szCs w:val="24"/>
        </w:rPr>
        <w:t>但须在拍卖开始日的</w:t>
      </w:r>
      <w:r>
        <w:rPr>
          <w:rFonts w:hint="eastAsia" w:asciiTheme="minorEastAsia" w:hAnsiTheme="minorEastAsia"/>
          <w:color w:val="000000" w:themeColor="text1"/>
          <w:sz w:val="24"/>
          <w:szCs w:val="24"/>
          <w14:textFill>
            <w14:solidFill>
              <w14:schemeClr w14:val="tx1"/>
            </w14:solidFill>
          </w14:textFill>
        </w:rPr>
        <w:t>两日</w:t>
      </w:r>
      <w:r>
        <w:rPr>
          <w:rFonts w:hint="eastAsia" w:asciiTheme="minorEastAsia" w:hAnsiTheme="minorEastAsia"/>
          <w:sz w:val="24"/>
          <w:szCs w:val="24"/>
        </w:rPr>
        <w:t>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17E143FD">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3、负责承办本案件的人民法院、破产企业管理人、网络服务提供者、承担拍卖辅助工作的社会机构或者组织的工作人员及其近亲属不得参与竞买，并不得委托他人代为竞买与其行为相关的拍卖标的物。</w:t>
      </w:r>
    </w:p>
    <w:p w14:paraId="37F9F61C">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4、因不符合条件参加竞买的，由竞买人/买受人自行承担相应的法律责任。</w:t>
      </w:r>
    </w:p>
    <w:p w14:paraId="0B6368AA">
      <w:pPr>
        <w:spacing w:line="360" w:lineRule="auto"/>
        <w:ind w:firstLine="482" w:firstLineChars="200"/>
        <w:rPr>
          <w:rFonts w:hint="eastAsia" w:asciiTheme="minorEastAsia" w:hAnsiTheme="minorEastAsia"/>
          <w:b/>
          <w:sz w:val="24"/>
          <w:szCs w:val="24"/>
        </w:rPr>
      </w:pPr>
      <w:r>
        <w:rPr>
          <w:rFonts w:hint="eastAsia" w:asciiTheme="minorEastAsia" w:hAnsiTheme="minorEastAsia"/>
          <w:b/>
          <w:sz w:val="24"/>
          <w:szCs w:val="24"/>
        </w:rPr>
        <w:t>四、优先购买权人</w:t>
      </w:r>
    </w:p>
    <w:p w14:paraId="7FB30916">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1、本标的物优先购买权人：</w:t>
      </w:r>
    </w:p>
    <w:p w14:paraId="12708E33">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优先购买权人应于本公告发布之日起3日内向管理人联系，提供相关证明材料，办理相关手续。逾期未提供材料或办理手续者，视为自动放弃优先购买权。</w:t>
      </w:r>
    </w:p>
    <w:p w14:paraId="030C0217">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2、优先购买权人参加竞买的，应向管理人提交合法有效的证明，经管理人确认资格及顺位后才能参与竞买，逾期不提交的，视为放弃对标的物享有优先购买权。管理人在正式拍卖日前将经确认的优先权购买人资格和顺位信息，审报网络平台技术部门，录入平台系统。</w:t>
      </w:r>
    </w:p>
    <w:p w14:paraId="7EB8CB5F">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3、优先购买权人参与竞买的，与其他竞买人以相同的价格出价，没有更高出价的，标的物由优先购买权人竞得。</w:t>
      </w:r>
    </w:p>
    <w:p w14:paraId="125F035D">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6210B6F6">
      <w:pPr>
        <w:spacing w:line="360" w:lineRule="auto"/>
        <w:ind w:firstLine="482" w:firstLineChars="200"/>
        <w:rPr>
          <w:rFonts w:hint="eastAsia" w:asciiTheme="minorEastAsia" w:hAnsiTheme="minorEastAsia"/>
          <w:b/>
          <w:sz w:val="24"/>
          <w:szCs w:val="24"/>
        </w:rPr>
      </w:pPr>
      <w:r>
        <w:rPr>
          <w:rFonts w:hint="eastAsia" w:asciiTheme="minorEastAsia" w:hAnsiTheme="minorEastAsia"/>
          <w:b/>
          <w:sz w:val="24"/>
          <w:szCs w:val="24"/>
        </w:rPr>
        <w:t>五、拍卖延时</w:t>
      </w:r>
    </w:p>
    <w:p w14:paraId="3647F3B4">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本次拍卖活动设置延时出价功能，在拍卖活动结束前，每最后5分钟如果有竞买人出价，就自动延迟5分钟。</w:t>
      </w:r>
    </w:p>
    <w:p w14:paraId="015D0F4B">
      <w:pPr>
        <w:spacing w:line="360" w:lineRule="auto"/>
        <w:ind w:firstLine="482" w:firstLineChars="200"/>
        <w:rPr>
          <w:rFonts w:hint="eastAsia" w:asciiTheme="minorEastAsia" w:hAnsiTheme="minorEastAsia"/>
          <w:b/>
          <w:sz w:val="24"/>
          <w:szCs w:val="24"/>
        </w:rPr>
      </w:pPr>
      <w:r>
        <w:rPr>
          <w:rFonts w:hint="eastAsia" w:asciiTheme="minorEastAsia" w:hAnsiTheme="minorEastAsia"/>
          <w:b/>
          <w:sz w:val="24"/>
          <w:szCs w:val="24"/>
        </w:rPr>
        <w:t>六、拍卖方式</w:t>
      </w:r>
    </w:p>
    <w:p w14:paraId="6A206DFC">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本次拍卖采取有保留价的增价拍卖方式，保留价即为起拍价，至少一人报名且出价不低于起拍价，方可成交。无人报名或出价的，竞价会流拍。</w:t>
      </w:r>
    </w:p>
    <w:p w14:paraId="79285029">
      <w:pPr>
        <w:spacing w:line="360" w:lineRule="auto"/>
        <w:ind w:firstLine="482" w:firstLineChars="200"/>
        <w:rPr>
          <w:rFonts w:hint="eastAsia" w:asciiTheme="minorEastAsia" w:hAnsiTheme="minorEastAsia"/>
          <w:b/>
          <w:sz w:val="24"/>
          <w:szCs w:val="24"/>
        </w:rPr>
      </w:pPr>
      <w:r>
        <w:rPr>
          <w:rFonts w:hint="eastAsia" w:asciiTheme="minorEastAsia" w:hAnsiTheme="minorEastAsia"/>
          <w:b/>
          <w:sz w:val="24"/>
          <w:szCs w:val="24"/>
        </w:rPr>
        <w:t>七、税费及其他费用承担</w:t>
      </w:r>
    </w:p>
    <w:p w14:paraId="1A98249D">
      <w:pPr>
        <w:spacing w:line="360" w:lineRule="auto"/>
        <w:ind w:firstLine="482" w:firstLineChars="200"/>
        <w:rPr>
          <w:rFonts w:hint="eastAsia" w:asciiTheme="minorEastAsia" w:hAnsiTheme="minorEastAsia"/>
          <w:b/>
          <w:color w:val="FF0000"/>
          <w:sz w:val="24"/>
          <w:szCs w:val="24"/>
        </w:rPr>
      </w:pPr>
      <w:r>
        <w:rPr>
          <w:rFonts w:hint="eastAsia" w:asciiTheme="minorEastAsia" w:hAnsiTheme="minorEastAsia"/>
          <w:b/>
          <w:color w:val="FF0000"/>
          <w:sz w:val="24"/>
          <w:szCs w:val="24"/>
        </w:rPr>
        <w:t>本次拍卖活动计价货币为人民币。因标的物转让权属发生变更所涉及的一切税、费(包括但不限于所得税、营业税、房产税、土地使用税、土地增值税、增值税、附加税、契税、印花税、水利基金、出让金、应补地价、罚款、滞纳金等具体以相关部门最终核定为准)和可能需要补交的相关税、费等由买卖双方按照法律规定各自承担。如未明确缴费义务人的费用由买受人承担。买受人在竞买前应向所涉税务部门确认成交后应缴纳的税费标准。</w:t>
      </w:r>
    </w:p>
    <w:p w14:paraId="59C16E47">
      <w:pPr>
        <w:spacing w:line="360" w:lineRule="auto"/>
        <w:ind w:firstLine="482"/>
        <w:rPr>
          <w:rFonts w:hint="eastAsia" w:cs="宋体" w:asciiTheme="minorEastAsia" w:hAnsiTheme="minorEastAsia"/>
          <w:b/>
          <w:sz w:val="24"/>
        </w:rPr>
      </w:pPr>
      <w:r>
        <w:rPr>
          <w:rFonts w:cs="宋体" w:asciiTheme="minorEastAsia" w:hAnsiTheme="minorEastAsia"/>
          <w:b/>
          <w:sz w:val="24"/>
        </w:rPr>
        <w:t>八、签署成交文件</w:t>
      </w:r>
    </w:p>
    <w:p w14:paraId="6CB0926D">
      <w:pPr>
        <w:spacing w:line="360" w:lineRule="auto"/>
        <w:ind w:firstLine="482"/>
        <w:rPr>
          <w:rFonts w:hint="eastAsia" w:cs="宋体" w:asciiTheme="minorEastAsia" w:hAnsiTheme="minorEastAsia"/>
          <w:bCs/>
          <w:sz w:val="24"/>
        </w:rPr>
      </w:pPr>
      <w:r>
        <w:rPr>
          <w:rFonts w:cs="宋体" w:asciiTheme="minorEastAsia" w:hAnsiTheme="minorEastAsia"/>
          <w:bCs/>
          <w:sz w:val="24"/>
        </w:rPr>
        <w:t>买受人须在拍卖成交之日起三日内（遇节假日顺延）凭缴纳拍卖保证金平台生成的竞买号及相关身份材料到管理人处签署拍卖成交确认文件。</w:t>
      </w:r>
    </w:p>
    <w:p w14:paraId="4CEE4A5F">
      <w:pPr>
        <w:spacing w:line="360" w:lineRule="auto"/>
        <w:ind w:firstLine="482" w:firstLineChars="200"/>
        <w:rPr>
          <w:rFonts w:hint="eastAsia" w:asciiTheme="minorEastAsia" w:hAnsiTheme="minorEastAsia"/>
          <w:b/>
          <w:sz w:val="24"/>
          <w:szCs w:val="24"/>
        </w:rPr>
      </w:pPr>
      <w:r>
        <w:rPr>
          <w:rFonts w:hint="eastAsia" w:asciiTheme="minorEastAsia" w:hAnsiTheme="minorEastAsia"/>
          <w:b/>
          <w:sz w:val="24"/>
          <w:szCs w:val="24"/>
        </w:rPr>
        <w:t>九、保证金和余款支付</w:t>
      </w:r>
    </w:p>
    <w:p w14:paraId="6CA7F234">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第一次出价前，意向竞买人须在京东注册账号并通过实名认证（已注册京东账号需通过实名认证），在线支付竞买保证金，支付后系统自动冻结该笔保证金。竞价成交的，本标的物竞得者（以下简称买受人）冻结的保证金将自动转为部分成交款，由京东结算给管理人指定账户；竞价结束后，未能竞得者的保证金以及竞价未成交的（即流拍的）竞买人的保证金在竞价活动结束后即时解冻，保证金冻结期间不计利息。</w:t>
      </w:r>
    </w:p>
    <w:p w14:paraId="0203B0FA">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竞价成交后，标的物竞得者原锁定的保证金自动转入管理人指定账户。买受人应于</w:t>
      </w:r>
      <w:r>
        <w:rPr>
          <w:rFonts w:hint="eastAsia" w:asciiTheme="minorEastAsia" w:hAnsiTheme="minorEastAsia"/>
          <w:b/>
          <w:bCs/>
          <w:sz w:val="24"/>
          <w:szCs w:val="24"/>
        </w:rPr>
        <w:t>成交之时起三十日内</w:t>
      </w:r>
      <w:r>
        <w:rPr>
          <w:rFonts w:hint="eastAsia" w:asciiTheme="minorEastAsia" w:hAnsiTheme="minorEastAsia"/>
          <w:sz w:val="24"/>
          <w:szCs w:val="24"/>
        </w:rPr>
        <w:t>将竞价成交价余款（扣除保证金后的余款）缴入管理人指定账户（</w:t>
      </w:r>
      <w:r>
        <w:rPr>
          <w:rFonts w:hint="eastAsia" w:asciiTheme="minorEastAsia" w:hAnsiTheme="minorEastAsia"/>
          <w:b/>
          <w:bCs/>
          <w:color w:val="FF0000"/>
          <w:sz w:val="24"/>
          <w:szCs w:val="24"/>
        </w:rPr>
        <w:t>户名：邯郸市滏淼生态农业有限公司管理人；账号：</w:t>
      </w:r>
      <w:r>
        <w:rPr>
          <w:rFonts w:asciiTheme="minorEastAsia" w:hAnsiTheme="minorEastAsia"/>
          <w:b/>
          <w:bCs/>
          <w:color w:val="FF0000"/>
          <w:sz w:val="24"/>
          <w:szCs w:val="24"/>
        </w:rPr>
        <w:t>13050164560800001758</w:t>
      </w:r>
      <w:r>
        <w:rPr>
          <w:rFonts w:hint="eastAsia" w:asciiTheme="minorEastAsia" w:hAnsiTheme="minorEastAsia"/>
          <w:b/>
          <w:bCs/>
          <w:color w:val="FF0000"/>
          <w:sz w:val="24"/>
          <w:szCs w:val="24"/>
        </w:rPr>
        <w:t>；开户行：中国建设银行股份有限公司邯郸冀南新区支行</w:t>
      </w:r>
      <w:r>
        <w:rPr>
          <w:rFonts w:hint="eastAsia" w:asciiTheme="minorEastAsia" w:hAnsiTheme="minorEastAsia"/>
          <w:sz w:val="24"/>
          <w:szCs w:val="24"/>
        </w:rPr>
        <w:t>）。逾期则视为买受人悔拍，拍卖成交后买受人悔拍的，交纳的保证金不予退还，计入债务人财产。保证金数额不足以弥补拍卖费用损失以及重新拍卖价款低于原拍卖价款的差价的，管理人可向悔拍人追索。</w:t>
      </w:r>
    </w:p>
    <w:p w14:paraId="62A91280">
      <w:pPr>
        <w:spacing w:line="360" w:lineRule="auto"/>
        <w:ind w:firstLine="482" w:firstLineChars="200"/>
        <w:rPr>
          <w:rFonts w:hint="eastAsia" w:asciiTheme="minorEastAsia" w:hAnsiTheme="minorEastAsia"/>
          <w:b/>
          <w:color w:val="FF0000"/>
          <w:sz w:val="24"/>
          <w:szCs w:val="24"/>
        </w:rPr>
      </w:pPr>
      <w:r>
        <w:rPr>
          <w:rFonts w:hint="eastAsia" w:asciiTheme="minorEastAsia" w:hAnsiTheme="minorEastAsia"/>
          <w:b/>
          <w:color w:val="FF0000"/>
          <w:sz w:val="24"/>
          <w:szCs w:val="24"/>
        </w:rPr>
        <w:t>特别提示：</w:t>
      </w:r>
    </w:p>
    <w:p w14:paraId="0B37B4BD">
      <w:pPr>
        <w:spacing w:line="360" w:lineRule="auto"/>
        <w:ind w:firstLine="480" w:firstLineChars="200"/>
        <w:rPr>
          <w:rFonts w:hint="eastAsia" w:asciiTheme="minorEastAsia" w:hAnsiTheme="minorEastAsia"/>
          <w:sz w:val="24"/>
          <w:szCs w:val="24"/>
        </w:rPr>
      </w:pPr>
      <w:bookmarkStart w:id="0" w:name="_Hlk167805378"/>
      <w:r>
        <w:rPr>
          <w:rFonts w:hint="eastAsia" w:asciiTheme="minorEastAsia" w:hAnsiTheme="minorEastAsia"/>
          <w:sz w:val="24"/>
          <w:szCs w:val="24"/>
        </w:rPr>
        <w:t>1、综合服务费由拍卖辅助机构收取（按照成交价格的4%计算）买受人需在</w:t>
      </w:r>
      <w:r>
        <w:rPr>
          <w:rFonts w:hint="eastAsia" w:asciiTheme="minorEastAsia" w:hAnsiTheme="minorEastAsia"/>
          <w:b/>
          <w:bCs/>
          <w:sz w:val="24"/>
          <w:szCs w:val="24"/>
        </w:rPr>
        <w:t>成交之时起三十日内</w:t>
      </w:r>
      <w:r>
        <w:rPr>
          <w:rFonts w:hint="eastAsia" w:asciiTheme="minorEastAsia" w:hAnsiTheme="minorEastAsia"/>
          <w:sz w:val="24"/>
          <w:szCs w:val="24"/>
        </w:rPr>
        <w:t>将综合服务费汇款至河北德辉辅拍网络科技有限公司指定账户【户名：河北德辉辅拍网络科技有限公司；开户行：中国民生银行股份有限公司石家庄平安南大街支行；账号：641602305；以到账时间为准】。</w:t>
      </w:r>
    </w:p>
    <w:p w14:paraId="731D60EB">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2、拍卖标的物竞拍成功后，京东平台收取（按照成交价格的0.5%计算）技术服务费，买受人通过线上全额支付完成费用后拍卖标的保证金将转至处置主体的银行账户(若买受人未支付技术服务费的，平台将延迟推送竞拍保证金直至买受人线上完成技术服务费订单的支付)。</w:t>
      </w:r>
    </w:p>
    <w:bookmarkEnd w:id="0"/>
    <w:p w14:paraId="491C024B">
      <w:pPr>
        <w:spacing w:line="360" w:lineRule="auto"/>
        <w:ind w:firstLine="482" w:firstLineChars="200"/>
        <w:rPr>
          <w:rFonts w:hint="eastAsia" w:asciiTheme="minorEastAsia" w:hAnsiTheme="minorEastAsia"/>
          <w:b/>
          <w:color w:val="FF0000"/>
          <w:sz w:val="24"/>
          <w:szCs w:val="24"/>
        </w:rPr>
      </w:pPr>
      <w:r>
        <w:rPr>
          <w:rFonts w:hint="eastAsia" w:asciiTheme="minorEastAsia" w:hAnsiTheme="minorEastAsia"/>
          <w:b/>
          <w:color w:val="FF0000"/>
          <w:sz w:val="24"/>
          <w:szCs w:val="24"/>
        </w:rPr>
        <w:t>十、拍品交付</w:t>
      </w:r>
    </w:p>
    <w:p w14:paraId="7434515B">
      <w:pPr>
        <w:spacing w:line="360" w:lineRule="auto"/>
        <w:ind w:firstLine="482" w:firstLineChars="200"/>
        <w:rPr>
          <w:rFonts w:hint="eastAsia" w:asciiTheme="minorEastAsia" w:hAnsiTheme="minorEastAsia"/>
          <w:b/>
          <w:bCs/>
          <w:sz w:val="24"/>
          <w:szCs w:val="24"/>
          <w:u w:val="single"/>
        </w:rPr>
      </w:pPr>
      <w:r>
        <w:rPr>
          <w:rFonts w:hint="eastAsia" w:asciiTheme="minorEastAsia" w:hAnsiTheme="minorEastAsia"/>
          <w:b/>
          <w:bCs/>
          <w:sz w:val="24"/>
          <w:szCs w:val="24"/>
          <w:u w:val="single"/>
        </w:rPr>
        <w:t>1、买受人在缴纳完全部拍卖款项后，持有效身份证明及签署好的拍卖成交文件，自行前往相关主管部门办理产权过户手续，管理人给予必要的配合。买受人逾期不办理的，应支付由此产生的一切费用，并承担本标的物可能发生的损毁、灭失等后果。</w:t>
      </w:r>
    </w:p>
    <w:p w14:paraId="16221044">
      <w:pPr>
        <w:spacing w:line="360" w:lineRule="auto"/>
        <w:ind w:firstLine="482" w:firstLineChars="200"/>
        <w:rPr>
          <w:rFonts w:hint="eastAsia" w:asciiTheme="minorEastAsia" w:hAnsiTheme="minorEastAsia"/>
          <w:b/>
          <w:bCs/>
          <w:sz w:val="24"/>
          <w:szCs w:val="24"/>
          <w:u w:val="single"/>
        </w:rPr>
      </w:pPr>
      <w:r>
        <w:rPr>
          <w:rFonts w:hint="eastAsia" w:asciiTheme="minorEastAsia" w:hAnsiTheme="minorEastAsia"/>
          <w:b/>
          <w:bCs/>
          <w:sz w:val="24"/>
          <w:szCs w:val="24"/>
          <w:u w:val="single"/>
        </w:rPr>
        <w:t>2、标的物转让登记手续由买受人自行办理，管理人依法提供相应文件。能否办理过户手续及办理过户手续的时间请竞买人在竞买前自行到相关部门咨询确认，因标的物现状及存在瑕疵等原因不能或者延迟办理过户手续，造成的费用增加的后果由买受人承担，拍卖人不作过户的任何承诺。涉及违法、违建部分，由买受人自行接受行政主管部门依照有关行政法律、法规的处理。</w:t>
      </w:r>
    </w:p>
    <w:p w14:paraId="33D6AC16">
      <w:pPr>
        <w:spacing w:line="360" w:lineRule="auto"/>
        <w:ind w:firstLine="482" w:firstLineChars="200"/>
        <w:rPr>
          <w:rFonts w:hint="eastAsia" w:asciiTheme="minorEastAsia" w:hAnsiTheme="minorEastAsia"/>
          <w:b/>
          <w:bCs/>
          <w:sz w:val="24"/>
          <w:szCs w:val="24"/>
          <w:u w:val="single"/>
        </w:rPr>
      </w:pPr>
      <w:r>
        <w:rPr>
          <w:rFonts w:hint="eastAsia" w:asciiTheme="minorEastAsia" w:hAnsiTheme="minorEastAsia"/>
          <w:b/>
          <w:bCs/>
          <w:sz w:val="24"/>
          <w:szCs w:val="24"/>
          <w:u w:val="single"/>
        </w:rPr>
        <w:t>3、拍卖标的物权属变更登记需要严格按照相关法律法规以及相关政策，其中有关材料的准备和相关部门的审核时限管理人无法明确知悉，买受人不得以办理权属变更登记时间过长为由进行悔拍，或者要求管理人及拍卖辅助机构承担任何责任以及赔偿任何损失。</w:t>
      </w:r>
    </w:p>
    <w:p w14:paraId="4D94A859">
      <w:pPr>
        <w:spacing w:line="360" w:lineRule="auto"/>
        <w:ind w:firstLine="482" w:firstLineChars="200"/>
        <w:rPr>
          <w:rFonts w:hint="eastAsia" w:asciiTheme="minorEastAsia" w:hAnsiTheme="minorEastAsia"/>
          <w:b/>
          <w:bCs/>
          <w:sz w:val="24"/>
          <w:szCs w:val="24"/>
          <w:u w:val="single"/>
        </w:rPr>
      </w:pPr>
      <w:r>
        <w:rPr>
          <w:rFonts w:hint="eastAsia" w:asciiTheme="minorEastAsia" w:hAnsiTheme="minorEastAsia"/>
          <w:b/>
          <w:bCs/>
          <w:sz w:val="24"/>
          <w:szCs w:val="24"/>
          <w:u w:val="single"/>
        </w:rPr>
        <w:t>4、因机器设备及餐饮用品等部分存放于房屋建筑物内，该部分在交付房屋建筑物时视为同时交付，后续买受人对该部分的搬运期间所涉及的一切费用及明确的或潜在的一切关联费用(包括但不限于装卸费、人工费、运输费、场地费、检测费、税费及搬运过程中标的物自身的损毁、灭失，赔偿因搬运过程中给他人人身或者财产安全造成的损害；防范或者消除搬运过程中涉及的环境污染问题或者消防安全问题等而支出的费用等)由买受人自行承担。</w:t>
      </w:r>
    </w:p>
    <w:p w14:paraId="4DEAF9C7">
      <w:pPr>
        <w:spacing w:line="360" w:lineRule="auto"/>
        <w:ind w:firstLine="482" w:firstLineChars="200"/>
        <w:rPr>
          <w:rFonts w:hint="eastAsia" w:asciiTheme="minorEastAsia" w:hAnsiTheme="minorEastAsia"/>
          <w:b/>
          <w:bCs/>
          <w:sz w:val="24"/>
          <w:szCs w:val="24"/>
          <w:u w:val="single"/>
        </w:rPr>
      </w:pPr>
      <w:r>
        <w:rPr>
          <w:rFonts w:hint="eastAsia" w:asciiTheme="minorEastAsia" w:hAnsiTheme="minorEastAsia"/>
          <w:b/>
          <w:bCs/>
          <w:sz w:val="24"/>
          <w:szCs w:val="24"/>
          <w:u w:val="single"/>
        </w:rPr>
        <w:t>5、如本次拍卖标的物由于不确定因素或自然灾害等不可抗力因素或管理人未能掌握的情形等原因致使拍卖标的物不能如期交付的，管理人和拍卖辅助机构不承担任何责任。</w:t>
      </w:r>
    </w:p>
    <w:p w14:paraId="4A7D161E">
      <w:pPr>
        <w:spacing w:line="360" w:lineRule="auto"/>
        <w:ind w:firstLine="482" w:firstLineChars="200"/>
        <w:rPr>
          <w:rFonts w:hint="eastAsia" w:asciiTheme="minorEastAsia" w:hAnsiTheme="minorEastAsia"/>
          <w:sz w:val="24"/>
          <w:szCs w:val="24"/>
        </w:rPr>
      </w:pPr>
      <w:r>
        <w:rPr>
          <w:rFonts w:hint="eastAsia" w:asciiTheme="minorEastAsia" w:hAnsiTheme="minorEastAsia"/>
          <w:b/>
          <w:sz w:val="24"/>
          <w:szCs w:val="24"/>
        </w:rPr>
        <w:t>十一、</w:t>
      </w:r>
      <w:r>
        <w:rPr>
          <w:rFonts w:hint="eastAsia" w:asciiTheme="minorEastAsia" w:hAnsiTheme="minorEastAsia"/>
          <w:sz w:val="24"/>
          <w:szCs w:val="24"/>
        </w:rPr>
        <w:t>依照相关法律规定，竞买人成功竞得网拍标的物后，网拍平台将生成相应《网络竞价成功确认书》，该材料仅为竞价成功确认书，载明实际买受人姓名、网拍竞买号信息，非《拍卖成交确认书》。</w:t>
      </w:r>
    </w:p>
    <w:p w14:paraId="3BC65A09">
      <w:pPr>
        <w:spacing w:line="360" w:lineRule="auto"/>
        <w:ind w:firstLine="482" w:firstLineChars="200"/>
        <w:rPr>
          <w:rFonts w:hint="eastAsia" w:asciiTheme="minorEastAsia" w:hAnsiTheme="minorEastAsia"/>
          <w:sz w:val="24"/>
          <w:szCs w:val="24"/>
        </w:rPr>
      </w:pPr>
      <w:r>
        <w:rPr>
          <w:rFonts w:hint="eastAsia" w:asciiTheme="minorEastAsia" w:hAnsiTheme="minorEastAsia"/>
          <w:b/>
          <w:sz w:val="24"/>
          <w:szCs w:val="24"/>
        </w:rPr>
        <w:t>十二、</w:t>
      </w:r>
      <w:r>
        <w:rPr>
          <w:rFonts w:hint="eastAsia" w:asciiTheme="minorEastAsia" w:hAnsiTheme="minorEastAsia"/>
          <w:sz w:val="24"/>
          <w:szCs w:val="24"/>
        </w:rPr>
        <w:t>本次网上公开竞价《竞买公告》、《竞买须知》、《标的物介绍》等标的物相关文件已在京东网络竞价平台公开展示，请仔细阅读。上拍机构已就前述相关标的物相关文件的所有条款向竞买人如实告知并做出详细说明，竞买人知悉并同意接受前述文件的全部条款和内容，竞买人和资产处置方双方不存在任何歧异和误认，竞买人承诺不再对前述文件的条款提出任何异议。</w:t>
      </w:r>
    </w:p>
    <w:p w14:paraId="4378DCA4">
      <w:pPr>
        <w:spacing w:line="360" w:lineRule="auto"/>
        <w:ind w:firstLine="482" w:firstLineChars="200"/>
        <w:rPr>
          <w:rFonts w:hint="eastAsia" w:asciiTheme="minorEastAsia" w:hAnsiTheme="minorEastAsia"/>
          <w:bCs/>
          <w:sz w:val="24"/>
          <w:szCs w:val="24"/>
        </w:rPr>
      </w:pPr>
      <w:r>
        <w:rPr>
          <w:rFonts w:hint="eastAsia" w:asciiTheme="minorEastAsia" w:hAnsiTheme="minorEastAsia"/>
          <w:b/>
          <w:sz w:val="24"/>
          <w:szCs w:val="24"/>
        </w:rPr>
        <w:t>十三、</w:t>
      </w:r>
      <w:r>
        <w:rPr>
          <w:rFonts w:hint="eastAsia" w:asciiTheme="minorEastAsia" w:hAnsiTheme="minorEastAsia"/>
          <w:bCs/>
          <w:sz w:val="24"/>
          <w:szCs w:val="24"/>
        </w:rPr>
        <w:t>破产案件监督单位：磁县人民法院;</w:t>
      </w:r>
    </w:p>
    <w:p w14:paraId="0EB56376">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咨询电话：刘先生：13863373747，王女士：18548013663</w:t>
      </w:r>
    </w:p>
    <w:p w14:paraId="5FB55E36">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京东技术咨询电话：4006229586；</w:t>
      </w:r>
    </w:p>
    <w:p w14:paraId="4BEC2E3C">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法院监督电话：0310-2322863</w:t>
      </w:r>
    </w:p>
    <w:p w14:paraId="3EB68DDC">
      <w:pPr>
        <w:spacing w:line="360" w:lineRule="auto"/>
        <w:ind w:firstLine="482" w:firstLineChars="200"/>
        <w:rPr>
          <w:rFonts w:hint="eastAsia" w:asciiTheme="minorEastAsia" w:hAnsiTheme="minorEastAsia"/>
          <w:b/>
          <w:color w:val="FF0000"/>
          <w:sz w:val="24"/>
          <w:szCs w:val="24"/>
        </w:rPr>
      </w:pPr>
      <w:r>
        <w:rPr>
          <w:rFonts w:hint="eastAsia" w:asciiTheme="minorEastAsia" w:hAnsiTheme="minorEastAsia"/>
          <w:b/>
          <w:color w:val="FF0000"/>
          <w:sz w:val="24"/>
          <w:szCs w:val="24"/>
        </w:rPr>
        <w:t>本次拍卖活动最终解释权归邯郸市滏淼生态农业有限公司管理人所有。</w:t>
      </w:r>
    </w:p>
    <w:p w14:paraId="7C6D177F">
      <w:pPr>
        <w:spacing w:line="360" w:lineRule="auto"/>
        <w:ind w:firstLine="480" w:firstLineChars="200"/>
        <w:rPr>
          <w:rFonts w:hint="eastAsia" w:asciiTheme="minorEastAsia" w:hAnsiTheme="minorEastAsia"/>
          <w:sz w:val="24"/>
          <w:szCs w:val="24"/>
        </w:rPr>
      </w:pPr>
    </w:p>
    <w:p w14:paraId="002B5688">
      <w:pPr>
        <w:spacing w:line="360" w:lineRule="auto"/>
        <w:ind w:firstLine="480" w:firstLineChars="200"/>
        <w:jc w:val="right"/>
        <w:rPr>
          <w:rFonts w:hint="eastAsia" w:asciiTheme="minorEastAsia" w:hAnsiTheme="minorEastAsia"/>
          <w:sz w:val="24"/>
          <w:szCs w:val="24"/>
        </w:rPr>
      </w:pPr>
      <w:r>
        <w:rPr>
          <w:rFonts w:hint="eastAsia" w:asciiTheme="minorEastAsia" w:hAnsiTheme="minorEastAsia"/>
          <w:sz w:val="24"/>
          <w:szCs w:val="24"/>
        </w:rPr>
        <w:t>邯郸市滏淼生态农业有限公司管理人</w:t>
      </w:r>
    </w:p>
    <w:p w14:paraId="19A34865">
      <w:pPr>
        <w:spacing w:line="360" w:lineRule="auto"/>
        <w:ind w:firstLine="480" w:firstLineChars="200"/>
        <w:jc w:val="right"/>
        <w:rPr>
          <w:rFonts w:hint="eastAsia" w:asciiTheme="minorEastAsia" w:hAnsiTheme="minorEastAsia"/>
          <w:sz w:val="24"/>
          <w:szCs w:val="24"/>
        </w:rPr>
      </w:pPr>
    </w:p>
    <w:p w14:paraId="7D5D9FFE">
      <w:pPr>
        <w:spacing w:line="360" w:lineRule="auto"/>
        <w:ind w:firstLine="480" w:firstLineChars="200"/>
        <w:jc w:val="right"/>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二〇二五年六月十六日</w:t>
      </w:r>
    </w:p>
    <w:p w14:paraId="56376148">
      <w:pPr>
        <w:widowControl/>
        <w:jc w:val="left"/>
        <w:rPr>
          <w:rFonts w:hint="eastAsia" w:asciiTheme="minorEastAsia" w:hAnsiTheme="minorEastAsia"/>
          <w:sz w:val="24"/>
          <w:szCs w:val="24"/>
        </w:rPr>
      </w:pPr>
      <w:bookmarkStart w:id="1" w:name="_GoBack"/>
      <w:bookmarkEnd w:id="1"/>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MingLiU">
    <w:altName w:val="宋体"/>
    <w:panose1 w:val="02010601000101010101"/>
    <w:charset w:val="86"/>
    <w:family w:val="roman"/>
    <w:pitch w:val="default"/>
    <w:sig w:usb0="00000000" w:usb1="00000000" w:usb2="00000016" w:usb3="00000000" w:csb0="00100001" w:csb1="00000000"/>
  </w:font>
  <w:font w:name="楷体">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9" w:usb3="00000000" w:csb0="000001FF" w:csb1="00000000"/>
  </w:font>
  <w:font w:name="微软雅黑">
    <w:panose1 w:val="020B0503020204020204"/>
    <w:charset w:val="86"/>
    <w:family w:val="swiss"/>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2808A5"/>
    <w:multiLevelType w:val="singleLevel"/>
    <w:tmpl w:val="332808A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598B"/>
    <w:rsid w:val="004E78EE"/>
    <w:rsid w:val="0086598B"/>
    <w:rsid w:val="009E0C0D"/>
    <w:rsid w:val="00FC46E9"/>
    <w:rsid w:val="3AB12D32"/>
    <w:rsid w:val="5DAA40FD"/>
    <w:rsid w:val="6B8719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PMingLiU"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3"/>
    <w:unhideWhenUsed/>
    <w:qFormat/>
    <w:uiPriority w:val="99"/>
    <w:pPr>
      <w:ind w:left="100" w:leftChars="2500"/>
    </w:pPr>
  </w:style>
  <w:style w:type="paragraph" w:styleId="3">
    <w:name w:val="Balloon Text"/>
    <w:basedOn w:val="1"/>
    <w:link w:val="15"/>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bCs/>
    </w:rPr>
  </w:style>
  <w:style w:type="character" w:styleId="10">
    <w:name w:val="Hyperlink"/>
    <w:basedOn w:val="8"/>
    <w:unhideWhenUsed/>
    <w:qFormat/>
    <w:uiPriority w:val="99"/>
    <w:rPr>
      <w:color w:val="0000FF" w:themeColor="hyperlink"/>
      <w:u w:val="single"/>
      <w14:textFill>
        <w14:solidFill>
          <w14:schemeClr w14:val="hlink"/>
        </w14:solidFill>
      </w14:textFill>
    </w:rPr>
  </w:style>
  <w:style w:type="character" w:customStyle="1" w:styleId="11">
    <w:name w:val="页眉 字符"/>
    <w:basedOn w:val="8"/>
    <w:link w:val="5"/>
    <w:qFormat/>
    <w:uiPriority w:val="99"/>
    <w:rPr>
      <w:sz w:val="18"/>
      <w:szCs w:val="18"/>
    </w:rPr>
  </w:style>
  <w:style w:type="character" w:customStyle="1" w:styleId="12">
    <w:name w:val="页脚 字符"/>
    <w:basedOn w:val="8"/>
    <w:link w:val="4"/>
    <w:qFormat/>
    <w:uiPriority w:val="99"/>
    <w:rPr>
      <w:sz w:val="18"/>
      <w:szCs w:val="18"/>
    </w:rPr>
  </w:style>
  <w:style w:type="character" w:customStyle="1" w:styleId="13">
    <w:name w:val="日期 字符"/>
    <w:basedOn w:val="8"/>
    <w:link w:val="2"/>
    <w:semiHidden/>
    <w:qFormat/>
    <w:uiPriority w:val="99"/>
  </w:style>
  <w:style w:type="paragraph" w:customStyle="1" w:styleId="14">
    <w:name w:val="列表段落1"/>
    <w:basedOn w:val="1"/>
    <w:qFormat/>
    <w:uiPriority w:val="99"/>
    <w:pPr>
      <w:ind w:firstLine="420" w:firstLineChars="200"/>
    </w:pPr>
  </w:style>
  <w:style w:type="character" w:customStyle="1" w:styleId="15">
    <w:name w:val="批注框文本 字符"/>
    <w:basedOn w:val="8"/>
    <w:link w:val="3"/>
    <w:semiHidden/>
    <w:qFormat/>
    <w:uiPriority w:val="99"/>
    <w:rPr>
      <w:kern w:val="2"/>
      <w:sz w:val="18"/>
      <w:szCs w:val="18"/>
    </w:rPr>
  </w:style>
  <w:style w:type="character" w:customStyle="1" w:styleId="16">
    <w:name w:val="未处理的提及1"/>
    <w:basedOn w:val="8"/>
    <w:unhideWhenUsed/>
    <w:qFormat/>
    <w:uiPriority w:val="99"/>
    <w:rPr>
      <w:color w:val="605E5C"/>
      <w:shd w:val="clear" w:color="auto" w:fill="E1DFDD"/>
    </w:rPr>
  </w:style>
  <w:style w:type="paragraph" w:customStyle="1" w:styleId="17">
    <w:name w:val="修订1"/>
    <w:hidden/>
    <w:unhideWhenUsed/>
    <w:qFormat/>
    <w:uiPriority w:val="99"/>
    <w:pPr>
      <w:spacing w:after="160" w:line="278" w:lineRule="auto"/>
    </w:pPr>
    <w:rPr>
      <w:rFonts w:asciiTheme="minorHAnsi" w:hAnsiTheme="minorHAnsi" w:eastAsiaTheme="minorEastAsia" w:cstheme="minorBidi"/>
      <w:kern w:val="2"/>
      <w:sz w:val="21"/>
      <w:szCs w:val="22"/>
      <w:lang w:val="en-US" w:eastAsia="zh-CN" w:bidi="ar-SA"/>
    </w:rPr>
  </w:style>
  <w:style w:type="character" w:customStyle="1" w:styleId="18">
    <w:name w:val="未处理的提及2"/>
    <w:basedOn w:val="8"/>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7</Pages>
  <Words>10246</Words>
  <Characters>10801</Characters>
  <Lines>246</Lines>
  <Paragraphs>167</Paragraphs>
  <TotalTime>4</TotalTime>
  <ScaleCrop>false</ScaleCrop>
  <LinksUpToDate>false</LinksUpToDate>
  <CharactersWithSpaces>10803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2023-03-23T13:29:00Z</dcterms:created>
  <dc:creator>Administrator</dc:creator>
  <cp:lastModifiedBy></cp:lastModifiedBy>
  <dcterms:modified xsi:type="dcterms:W3CDTF">2025-06-16T08:35:49Z</dcterms:modified>
  <cp:revision>130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D751EB19422E4330BC95E84E4995465C_13</vt:lpwstr>
  </property>
  <property fmtid="{D5CDD505-2E9C-101B-9397-08002B2CF9AE}" pid="4" name="KSOTemplateDocerSaveRecord">
    <vt:lpwstr>eyJoZGlkIjoiMzY1ZTk1YTM4MjliYzQ2OTMxMTIzZWVkZTRlMWY1ZmEiLCJ1c2VySWQiOiIzNjI1OTgzMDAifQ==</vt:lpwstr>
  </property>
</Properties>
</file>