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6EA6" w14:textId="4BF04240" w:rsidR="00D435DB" w:rsidRPr="0045777C" w:rsidRDefault="0059529E" w:rsidP="00D435DB">
      <w:pPr>
        <w:widowControl/>
        <w:adjustRightInd w:val="0"/>
        <w:snapToGrid w:val="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 w:rsidRPr="0059529E">
        <w:rPr>
          <w:rFonts w:ascii="华文宋体" w:eastAsia="华文宋体" w:hAnsi="华文宋体" w:hint="eastAsia"/>
          <w:b/>
          <w:bCs/>
          <w:noProof/>
          <w:sz w:val="30"/>
          <w:szCs w:val="30"/>
        </w:rPr>
        <w:t>昆山东恒智能装备有限公司</w:t>
      </w:r>
      <w:r w:rsidR="00D435DB" w:rsidRPr="0045777C">
        <w:rPr>
          <w:rFonts w:ascii="华文宋体" w:eastAsia="华文宋体" w:hAnsi="华文宋体" w:hint="eastAsia"/>
          <w:b/>
          <w:bCs/>
          <w:sz w:val="30"/>
          <w:szCs w:val="30"/>
        </w:rPr>
        <w:t>破产清算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案</w:t>
      </w:r>
    </w:p>
    <w:p w14:paraId="46889BCD" w14:textId="77777777" w:rsidR="00D435DB" w:rsidRPr="0045777C" w:rsidRDefault="00D435DB" w:rsidP="00D435DB">
      <w:pPr>
        <w:widowControl/>
        <w:adjustRightInd w:val="0"/>
        <w:snapToGrid w:val="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689"/>
        <w:gridCol w:w="1984"/>
        <w:gridCol w:w="2415"/>
      </w:tblGrid>
      <w:tr w:rsidR="00D435DB" w:rsidRPr="0045777C" w14:paraId="260CDE8F" w14:textId="77777777" w:rsidTr="009C6CAC">
        <w:trPr>
          <w:cantSplit/>
          <w:trHeight w:val="204"/>
          <w:jc w:val="center"/>
        </w:trPr>
        <w:tc>
          <w:tcPr>
            <w:tcW w:w="1701" w:type="dxa"/>
            <w:vAlign w:val="center"/>
          </w:tcPr>
          <w:p w14:paraId="01CDE03B" w14:textId="402C9203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59529E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债权人</w:t>
            </w:r>
            <w:r w:rsidR="0059529E" w:rsidRPr="0059529E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（单位）</w:t>
            </w:r>
            <w:r w:rsidRPr="0059529E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名称</w:t>
            </w:r>
          </w:p>
        </w:tc>
        <w:tc>
          <w:tcPr>
            <w:tcW w:w="2689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2B86F536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</w:tc>
        <w:tc>
          <w:tcPr>
            <w:tcW w:w="2415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9C6CAC">
        <w:trPr>
          <w:cantSplit/>
          <w:trHeight w:val="204"/>
          <w:jc w:val="center"/>
        </w:trPr>
        <w:tc>
          <w:tcPr>
            <w:tcW w:w="1701" w:type="dxa"/>
            <w:vAlign w:val="center"/>
          </w:tcPr>
          <w:p w14:paraId="56C2EA0A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</w:tc>
        <w:tc>
          <w:tcPr>
            <w:tcW w:w="2689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64B3F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</w:tc>
        <w:tc>
          <w:tcPr>
            <w:tcW w:w="2415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0BC708A" w14:textId="77777777" w:rsidTr="009C6CAC">
        <w:trPr>
          <w:cantSplit/>
          <w:trHeight w:val="131"/>
          <w:jc w:val="center"/>
        </w:trPr>
        <w:tc>
          <w:tcPr>
            <w:tcW w:w="1701" w:type="dxa"/>
            <w:vAlign w:val="center"/>
          </w:tcPr>
          <w:p w14:paraId="1BC55FB1" w14:textId="0B4A8EE0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59529E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债权人</w:t>
            </w:r>
            <w:r w:rsidR="0059529E" w:rsidRPr="0059529E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（个人）</w:t>
            </w:r>
            <w:r w:rsidRPr="0059529E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姓名</w:t>
            </w:r>
          </w:p>
        </w:tc>
        <w:tc>
          <w:tcPr>
            <w:tcW w:w="2689" w:type="dxa"/>
            <w:vAlign w:val="center"/>
          </w:tcPr>
          <w:p w14:paraId="7DF4D93F" w14:textId="77777777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53F3ED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债权人身份证号</w:t>
            </w:r>
          </w:p>
        </w:tc>
        <w:tc>
          <w:tcPr>
            <w:tcW w:w="2415" w:type="dxa"/>
            <w:vAlign w:val="center"/>
          </w:tcPr>
          <w:p w14:paraId="5659DE92" w14:textId="77777777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08518C42" w14:textId="77777777" w:rsidTr="009C6CAC">
        <w:trPr>
          <w:cantSplit/>
          <w:trHeight w:val="204"/>
          <w:jc w:val="center"/>
        </w:trPr>
        <w:tc>
          <w:tcPr>
            <w:tcW w:w="1701" w:type="dxa"/>
            <w:vAlign w:val="center"/>
          </w:tcPr>
          <w:p w14:paraId="68362E61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联系邮箱</w:t>
            </w:r>
          </w:p>
        </w:tc>
        <w:tc>
          <w:tcPr>
            <w:tcW w:w="2689" w:type="dxa"/>
            <w:vAlign w:val="center"/>
          </w:tcPr>
          <w:p w14:paraId="019E2DB0" w14:textId="78ECDDAC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2C4B626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联系手机号</w:t>
            </w:r>
          </w:p>
        </w:tc>
        <w:tc>
          <w:tcPr>
            <w:tcW w:w="2415" w:type="dxa"/>
            <w:vAlign w:val="center"/>
          </w:tcPr>
          <w:p w14:paraId="6309C182" w14:textId="2AC74A8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1401CE3B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689" w:type="dxa"/>
            <w:vAlign w:val="center"/>
          </w:tcPr>
          <w:p w14:paraId="7BCFA9F1" w14:textId="3201074C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415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9C6CAC">
        <w:trPr>
          <w:cantSplit/>
          <w:trHeight w:val="385"/>
          <w:jc w:val="center"/>
        </w:trPr>
        <w:tc>
          <w:tcPr>
            <w:tcW w:w="1701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689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415" w:type="dxa"/>
            <w:vAlign w:val="center"/>
          </w:tcPr>
          <w:p w14:paraId="16DA3A09" w14:textId="60C42D43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6A5E7B65" w14:textId="77777777" w:rsidTr="009C6CAC">
        <w:trPr>
          <w:cantSplit/>
          <w:trHeight w:val="224"/>
          <w:jc w:val="center"/>
        </w:trPr>
        <w:tc>
          <w:tcPr>
            <w:tcW w:w="1701" w:type="dxa"/>
            <w:vAlign w:val="center"/>
          </w:tcPr>
          <w:p w14:paraId="598013B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律师证号码</w:t>
            </w:r>
          </w:p>
        </w:tc>
        <w:tc>
          <w:tcPr>
            <w:tcW w:w="2689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15329A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代理人单位</w:t>
            </w:r>
          </w:p>
        </w:tc>
        <w:tc>
          <w:tcPr>
            <w:tcW w:w="2415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11573E57" w14:textId="77777777" w:rsidTr="009C6CAC">
        <w:trPr>
          <w:cantSplit/>
          <w:trHeight w:val="131"/>
          <w:jc w:val="center"/>
        </w:trPr>
        <w:tc>
          <w:tcPr>
            <w:tcW w:w="1701" w:type="dxa"/>
            <w:vAlign w:val="center"/>
          </w:tcPr>
          <w:p w14:paraId="45B0BCEA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债权总金额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689" w:type="dxa"/>
            <w:vAlign w:val="center"/>
          </w:tcPr>
          <w:p w14:paraId="284C3414" w14:textId="4F675D38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76994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2415" w:type="dxa"/>
            <w:vAlign w:val="center"/>
          </w:tcPr>
          <w:p w14:paraId="76E3844C" w14:textId="3D627E0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16D8579E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5AFF4447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特定财产范围</w:t>
            </w:r>
          </w:p>
        </w:tc>
        <w:tc>
          <w:tcPr>
            <w:tcW w:w="7088" w:type="dxa"/>
            <w:gridSpan w:val="3"/>
            <w:vAlign w:val="center"/>
          </w:tcPr>
          <w:p w14:paraId="0DEB4C3C" w14:textId="6C29B3A2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689" w:type="dxa"/>
            <w:vAlign w:val="center"/>
          </w:tcPr>
          <w:p w14:paraId="6DE4FBBE" w14:textId="70F296CA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415" w:type="dxa"/>
            <w:vAlign w:val="center"/>
          </w:tcPr>
          <w:p w14:paraId="3C76A7C5" w14:textId="4FCBA22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6B04D8C" w14:textId="77777777" w:rsidTr="009C6CAC">
        <w:trPr>
          <w:cantSplit/>
          <w:trHeight w:val="60"/>
          <w:jc w:val="center"/>
        </w:trPr>
        <w:tc>
          <w:tcPr>
            <w:tcW w:w="1701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7088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9C6CAC">
        <w:trPr>
          <w:cantSplit/>
          <w:trHeight w:val="385"/>
          <w:jc w:val="center"/>
        </w:trPr>
        <w:tc>
          <w:tcPr>
            <w:tcW w:w="1701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689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415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9C6CAC">
        <w:trPr>
          <w:cantSplit/>
          <w:trHeight w:val="131"/>
          <w:jc w:val="center"/>
        </w:trPr>
        <w:tc>
          <w:tcPr>
            <w:tcW w:w="1701" w:type="dxa"/>
            <w:vAlign w:val="center"/>
          </w:tcPr>
          <w:p w14:paraId="6956303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</w:tc>
        <w:tc>
          <w:tcPr>
            <w:tcW w:w="7088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55DED869" w14:textId="48994F87" w:rsidR="00D435DB" w:rsidRDefault="00D435DB" w:rsidP="00D435DB">
      <w:pPr>
        <w:adjustRightInd w:val="0"/>
        <w:snapToGrid w:val="0"/>
        <w:spacing w:beforeLines="50" w:before="156" w:afterLines="50" w:after="156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重要提示：</w:t>
      </w:r>
    </w:p>
    <w:p w14:paraId="612120A4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1、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申报人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签字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/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盖章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即确认债权申报文件中填写信息真实有效，可作为管理人在破产清算案中核实债权人身份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、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债权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金额、债权性质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的有效信息，如因信息不真实、不完整、不准确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造成任何不利后果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的</w:t>
      </w:r>
      <w:r w:rsidRPr="00C2540A">
        <w:rPr>
          <w:rFonts w:ascii="华文宋体" w:eastAsia="华文宋体" w:hAnsi="华文宋体" w:hint="eastAsia"/>
          <w:b/>
          <w:bCs/>
          <w:sz w:val="21"/>
          <w:szCs w:val="21"/>
        </w:rPr>
        <w:t>，均由债权人自行承担。</w:t>
      </w:r>
    </w:p>
    <w:p w14:paraId="4EEE0E04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2、申报人提供的受偿账户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信息、送达地址及联系方式如有变更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，应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及时书面通知管理人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。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管理人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将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通过微信、短信、电话、邮箱和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快递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等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任意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方式与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申报人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联系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送达本案法律文书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，如有财产分配的，将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按照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上述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银行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账户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信息向债权人汇划破产分配款项。如因上述内容错误或缺失，导致本案法律文书无法送达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，或者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分配款项无法汇划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的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，债权人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应自行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承担相应法律后果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。</w:t>
      </w:r>
    </w:p>
    <w:p w14:paraId="1D9C9283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 w:rsidRPr="00E21912">
        <w:rPr>
          <w:rFonts w:ascii="华文宋体" w:eastAsia="华文宋体" w:hAnsi="华文宋体" w:hint="eastAsia"/>
          <w:b/>
          <w:bCs/>
          <w:sz w:val="21"/>
          <w:szCs w:val="21"/>
        </w:rPr>
        <w:t>3、债权申报登记不构成对债权的确认，也不构成对已过诉讼时效或存在其他失效事由的债权的重新确认</w:t>
      </w:r>
      <w:r>
        <w:rPr>
          <w:rFonts w:ascii="华文宋体" w:eastAsia="华文宋体" w:hAnsi="华文宋体" w:hint="eastAsia"/>
          <w:b/>
          <w:bCs/>
          <w:sz w:val="21"/>
          <w:szCs w:val="21"/>
        </w:rPr>
        <w:t>。</w:t>
      </w:r>
    </w:p>
    <w:p w14:paraId="1AAD6403" w14:textId="249C2E31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>
        <w:rPr>
          <w:rFonts w:ascii="华文宋体" w:eastAsia="华文宋体" w:hAnsi="华文宋体"/>
          <w:b/>
          <w:bCs/>
          <w:sz w:val="21"/>
          <w:szCs w:val="21"/>
          <w:lang w:val="en-US"/>
        </w:rPr>
        <w:t>4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、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代理人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（若有）</w:t>
      </w:r>
      <w:r w:rsidR="0069776A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默认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代理权限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包括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：代为申报债权、与管理人确认债权；承认、放弃、及变更债权申报金额；出席债权人会议，并行使表决权、异议权；接收法律文书；和解；行使债权人的其他权利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；</w:t>
      </w:r>
      <w:r w:rsidRPr="00E21912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代理期限自委托之日起到破产程序终结为止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。</w:t>
      </w:r>
      <w:r w:rsidR="0069776A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如有不同，请另行提供授权委托书。</w:t>
      </w:r>
    </w:p>
    <w:p w14:paraId="08E29851" w14:textId="77777777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5、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全国企业破产重整案件信息网（</w:t>
      </w:r>
      <w:r w:rsidRPr="00374B84">
        <w:rPr>
          <w:rFonts w:ascii="华文宋体" w:eastAsia="华文宋体" w:hAnsi="华文宋体"/>
          <w:b/>
          <w:bCs/>
          <w:sz w:val="21"/>
          <w:szCs w:val="21"/>
          <w:lang w:val="en-US"/>
        </w:rPr>
        <w:t>pccz.court.gov.cn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）系破产程序相关信息的法定披露平台。债权人、债务人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、社会公众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均可输入</w:t>
      </w:r>
      <w:r w:rsidRPr="0069776A">
        <w:rPr>
          <w:rFonts w:ascii="华文宋体" w:eastAsia="华文宋体" w:hAnsi="华文宋体" w:hint="eastAsia"/>
          <w:b/>
          <w:bCs/>
          <w:sz w:val="21"/>
          <w:szCs w:val="21"/>
          <w:u w:val="single"/>
          <w:lang w:val="en-US"/>
        </w:rPr>
        <w:t>案号/债务人名称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从该网站获取破产案件信息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。债权人、债务人未及时访问全国企业破产重整案件信息网（</w:t>
      </w:r>
      <w:r w:rsidRPr="00374B84">
        <w:rPr>
          <w:rFonts w:ascii="华文宋体" w:eastAsia="华文宋体" w:hAnsi="华文宋体"/>
          <w:b/>
          <w:bCs/>
          <w:sz w:val="21"/>
          <w:szCs w:val="21"/>
          <w:lang w:val="en-US"/>
        </w:rPr>
        <w:t>pccz.court.gov.cn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），造成自身权利未能及时行使，造成的任何后果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均</w:t>
      </w:r>
      <w:r w:rsidRPr="00374B84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由其自行承担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。</w:t>
      </w:r>
    </w:p>
    <w:p w14:paraId="77FA0B01" w14:textId="51DC34C8" w:rsidR="00D435DB" w:rsidRDefault="00D435DB" w:rsidP="00D435DB">
      <w:pPr>
        <w:adjustRightInd w:val="0"/>
        <w:snapToGrid w:val="0"/>
        <w:spacing w:afterLines="25" w:after="78"/>
        <w:ind w:firstLineChars="200" w:firstLine="428"/>
        <w:jc w:val="both"/>
        <w:rPr>
          <w:rFonts w:ascii="华文宋体" w:eastAsia="华文宋体" w:hAnsi="华文宋体"/>
          <w:b/>
          <w:bCs/>
          <w:sz w:val="21"/>
          <w:szCs w:val="21"/>
          <w:lang w:val="en-US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6、未取得生效裁判文书的申报人，请提供债权产生的经过，提供债权凭证</w:t>
      </w:r>
      <w:r w:rsidR="0069776A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，包括但不限于可证明债权成立及债权金额的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微信聊天记录、对账单、欠条、借条</w:t>
      </w:r>
      <w:r w:rsidR="004F3339"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、发票</w:t>
      </w:r>
      <w:r>
        <w:rPr>
          <w:rFonts w:ascii="华文宋体" w:eastAsia="华文宋体" w:hAnsi="华文宋体" w:hint="eastAsia"/>
          <w:b/>
          <w:bCs/>
          <w:sz w:val="21"/>
          <w:szCs w:val="21"/>
          <w:lang w:val="en-US"/>
        </w:rPr>
        <w:t>等。</w:t>
      </w:r>
    </w:p>
    <w:p w14:paraId="4E850C50" w14:textId="77777777" w:rsidR="00D435DB" w:rsidRPr="0063154C" w:rsidRDefault="00D435DB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  <w:u w:val="single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申报人（签字/盖章）：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</w:t>
      </w:r>
      <w:r>
        <w:rPr>
          <w:rFonts w:ascii="华文宋体" w:eastAsia="华文宋体" w:hAnsi="华文宋体" w:hint="eastAsia"/>
          <w:b/>
          <w:bCs/>
          <w:sz w:val="21"/>
          <w:szCs w:val="21"/>
          <w:u w:val="single"/>
        </w:rPr>
        <w:t xml:space="preserve"> </w:t>
      </w:r>
    </w:p>
    <w:p w14:paraId="613648EE" w14:textId="77777777" w:rsidR="00D435DB" w:rsidRPr="00D348C6" w:rsidRDefault="00D435DB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日期               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 </w:t>
      </w:r>
    </w:p>
    <w:p w14:paraId="4E31E533" w14:textId="62F002B9" w:rsidR="005D7E1A" w:rsidRPr="00D435DB" w:rsidRDefault="00D435DB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</w:t>
      </w:r>
    </w:p>
    <w:sectPr w:rsidR="005D7E1A" w:rsidRPr="00D43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MingLiU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8586C"/>
    <w:rsid w:val="000C4EB9"/>
    <w:rsid w:val="001817A7"/>
    <w:rsid w:val="00387B1C"/>
    <w:rsid w:val="00396422"/>
    <w:rsid w:val="004F3339"/>
    <w:rsid w:val="00585C76"/>
    <w:rsid w:val="0059529E"/>
    <w:rsid w:val="005D7E1A"/>
    <w:rsid w:val="00685362"/>
    <w:rsid w:val="0069776A"/>
    <w:rsid w:val="006B2918"/>
    <w:rsid w:val="00775988"/>
    <w:rsid w:val="007F3916"/>
    <w:rsid w:val="00977229"/>
    <w:rsid w:val="00AC070E"/>
    <w:rsid w:val="00BC2D44"/>
    <w:rsid w:val="00C75AA9"/>
    <w:rsid w:val="00CC1BF5"/>
    <w:rsid w:val="00D435DB"/>
    <w:rsid w:val="00DE33A1"/>
    <w:rsid w:val="00E932EA"/>
    <w:rsid w:val="00E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20</cp:revision>
  <dcterms:created xsi:type="dcterms:W3CDTF">2025-06-07T09:12:00Z</dcterms:created>
  <dcterms:modified xsi:type="dcterms:W3CDTF">2025-06-30T05:28:00Z</dcterms:modified>
</cp:coreProperties>
</file>