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C0F1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bCs/>
          <w:sz w:val="36"/>
          <w:szCs w:val="36"/>
          <w:lang w:val="en-US" w:eastAsia="zh-CN"/>
        </w:rPr>
      </w:pPr>
      <w:bookmarkStart w:id="1" w:name="_GoBack"/>
      <w:r>
        <w:rPr>
          <w:rFonts w:hint="eastAsia" w:ascii="宋体" w:hAnsi="宋体" w:eastAsia="宋体" w:cs="宋体"/>
          <w:b/>
          <w:bCs/>
          <w:sz w:val="32"/>
          <w:szCs w:val="32"/>
          <w:lang w:val="en-US" w:eastAsia="zh-CN"/>
        </w:rPr>
        <w:t>北京世纪金光半导体有限公司 北京华进创威电子有限公司</w:t>
      </w:r>
    </w:p>
    <w:p w14:paraId="15EA4C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实质合并破产清算案</w:t>
      </w:r>
    </w:p>
    <w:p w14:paraId="1B9711D2">
      <w:pPr>
        <w:widowControl/>
        <w:shd w:val="clear" w:color="auto" w:fill="FFFFFF"/>
        <w:spacing w:line="560" w:lineRule="exact"/>
        <w:jc w:val="center"/>
        <w:textAlignment w:val="top"/>
        <w:rPr>
          <w:rFonts w:hint="eastAsia" w:ascii="宋体" w:hAnsi="宋体" w:eastAsia="宋体" w:cs="宋体"/>
          <w:b/>
          <w:bCs/>
          <w:color w:val="000000"/>
          <w:sz w:val="36"/>
          <w:szCs w:val="36"/>
          <w:shd w:val="clear" w:color="auto" w:fill="FFFFFF"/>
        </w:rPr>
      </w:pPr>
      <w:r>
        <w:rPr>
          <w:rFonts w:hint="eastAsia" w:ascii="宋体" w:hAnsi="宋体" w:eastAsia="宋体" w:cs="宋体"/>
          <w:b/>
          <w:bCs/>
          <w:color w:val="000000"/>
          <w:sz w:val="36"/>
          <w:szCs w:val="36"/>
          <w:shd w:val="clear" w:color="auto" w:fill="FFFFFF"/>
        </w:rPr>
        <w:t>意向投资人预招募公告</w:t>
      </w:r>
    </w:p>
    <w:bookmarkEnd w:id="1"/>
    <w:p w14:paraId="0D93582B">
      <w:pPr>
        <w:widowControl/>
        <w:shd w:val="clear" w:color="auto" w:fill="FFFFFF"/>
        <w:spacing w:line="240" w:lineRule="exact"/>
        <w:jc w:val="center"/>
        <w:textAlignment w:val="top"/>
        <w:rPr>
          <w:rFonts w:hint="eastAsia" w:ascii="宋体" w:hAnsi="宋体" w:eastAsia="宋体" w:cs="宋体"/>
          <w:b/>
          <w:bCs/>
          <w:color w:val="000000"/>
          <w:sz w:val="36"/>
          <w:szCs w:val="36"/>
          <w:shd w:val="clear" w:color="auto" w:fill="FFFFFF"/>
        </w:rPr>
      </w:pPr>
    </w:p>
    <w:p w14:paraId="4E7514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26</w:t>
      </w:r>
      <w:r>
        <w:rPr>
          <w:rFonts w:hint="eastAsia" w:ascii="仿宋" w:hAnsi="仿宋" w:eastAsia="仿宋" w:cs="仿宋"/>
          <w:color w:val="auto"/>
          <w:sz w:val="28"/>
          <w:szCs w:val="28"/>
        </w:rPr>
        <w:t>日</w:t>
      </w:r>
      <w:r>
        <w:rPr>
          <w:rFonts w:hint="eastAsia" w:ascii="仿宋" w:hAnsi="仿宋" w:cs="仿宋"/>
          <w:color w:val="auto"/>
          <w:sz w:val="28"/>
          <w:szCs w:val="28"/>
          <w:lang w:eastAsia="zh-CN"/>
        </w:rPr>
        <w:t>，</w:t>
      </w:r>
      <w:r>
        <w:rPr>
          <w:rFonts w:hint="eastAsia" w:ascii="仿宋" w:hAnsi="仿宋"/>
          <w:color w:val="000000"/>
          <w:sz w:val="28"/>
          <w:szCs w:val="28"/>
          <w:shd w:val="clear" w:color="auto" w:fill="FFFFFF"/>
          <w:lang w:bidi="ar"/>
        </w:rPr>
        <w:t>北京市第一中级人民法院</w:t>
      </w:r>
      <w:r>
        <w:rPr>
          <w:rFonts w:hint="eastAsia" w:ascii="仿宋" w:hAnsi="仿宋" w:eastAsia="仿宋" w:cs="仿宋"/>
          <w:color w:val="auto"/>
          <w:sz w:val="28"/>
          <w:szCs w:val="28"/>
        </w:rPr>
        <w:t>作出（20</w:t>
      </w: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rPr>
        <w:t>）京01破申</w:t>
      </w:r>
      <w:r>
        <w:rPr>
          <w:rFonts w:hint="eastAsia" w:ascii="仿宋" w:hAnsi="仿宋" w:eastAsia="仿宋" w:cs="仿宋"/>
          <w:color w:val="auto"/>
          <w:sz w:val="28"/>
          <w:szCs w:val="28"/>
          <w:lang w:val="en-US" w:eastAsia="zh-CN"/>
        </w:rPr>
        <w:t>283</w:t>
      </w:r>
      <w:r>
        <w:rPr>
          <w:rFonts w:hint="eastAsia" w:ascii="仿宋" w:hAnsi="仿宋" w:eastAsia="仿宋" w:cs="仿宋"/>
          <w:color w:val="auto"/>
          <w:sz w:val="28"/>
          <w:szCs w:val="28"/>
        </w:rPr>
        <w:t>号民事裁定书，裁定</w:t>
      </w:r>
      <w:r>
        <w:rPr>
          <w:rFonts w:hint="eastAsia" w:ascii="仿宋" w:hAnsi="仿宋" w:eastAsia="仿宋" w:cs="仿宋"/>
          <w:color w:val="auto"/>
          <w:sz w:val="28"/>
          <w:szCs w:val="28"/>
          <w:lang w:val="en-US" w:eastAsia="zh-CN"/>
        </w:rPr>
        <w:t>对北京世纪金光半导体有限公司</w:t>
      </w:r>
      <w:r>
        <w:rPr>
          <w:rFonts w:hint="eastAsia" w:ascii="仿宋" w:hAnsi="仿宋" w:cs="仿宋"/>
          <w:color w:val="auto"/>
          <w:sz w:val="28"/>
          <w:szCs w:val="28"/>
          <w:lang w:val="en-US" w:eastAsia="zh-CN"/>
        </w:rPr>
        <w:t>、</w:t>
      </w:r>
      <w:r>
        <w:rPr>
          <w:rFonts w:hint="eastAsia" w:ascii="仿宋" w:hAnsi="仿宋" w:eastAsia="仿宋" w:cs="仿宋"/>
          <w:color w:val="auto"/>
          <w:sz w:val="28"/>
          <w:szCs w:val="28"/>
          <w:lang w:val="en-US" w:eastAsia="zh-CN"/>
        </w:rPr>
        <w:t>北京华进创威电子有限公司</w:t>
      </w:r>
      <w:r>
        <w:rPr>
          <w:rFonts w:hint="eastAsia" w:ascii="仿宋" w:hAnsi="仿宋" w:eastAsia="仿宋" w:cs="仿宋"/>
          <w:color w:val="auto"/>
          <w:sz w:val="28"/>
          <w:szCs w:val="28"/>
        </w:rPr>
        <w:t>（以下简称“</w:t>
      </w:r>
      <w:r>
        <w:rPr>
          <w:rFonts w:hint="eastAsia" w:ascii="仿宋" w:hAnsi="仿宋" w:cs="仿宋"/>
          <w:color w:val="auto"/>
          <w:sz w:val="28"/>
          <w:szCs w:val="28"/>
          <w:lang w:val="en-US" w:eastAsia="zh-CN"/>
        </w:rPr>
        <w:t>世纪金光等关联公司”</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实质合并破产清算一案</w:t>
      </w:r>
      <w:r>
        <w:rPr>
          <w:rFonts w:hint="eastAsia" w:ascii="仿宋" w:hAnsi="仿宋" w:eastAsia="仿宋" w:cs="仿宋"/>
          <w:color w:val="auto"/>
          <w:sz w:val="28"/>
          <w:szCs w:val="28"/>
        </w:rPr>
        <w:t>，并于</w:t>
      </w: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年</w:t>
      </w:r>
      <w:r>
        <w:rPr>
          <w:rFonts w:hint="eastAsia" w:ascii="仿宋" w:hAnsi="仿宋" w:cs="仿宋"/>
          <w:color w:val="auto"/>
          <w:sz w:val="28"/>
          <w:szCs w:val="28"/>
          <w:highlight w:val="none"/>
          <w:lang w:val="en-US" w:eastAsia="zh-CN"/>
        </w:rPr>
        <w:t>5</w:t>
      </w:r>
      <w:r>
        <w:rPr>
          <w:rFonts w:hint="eastAsia" w:ascii="仿宋" w:hAnsi="仿宋" w:eastAsia="仿宋" w:cs="仿宋"/>
          <w:color w:val="auto"/>
          <w:sz w:val="28"/>
          <w:szCs w:val="28"/>
          <w:highlight w:val="none"/>
        </w:rPr>
        <w:t>月</w:t>
      </w:r>
      <w:r>
        <w:rPr>
          <w:rFonts w:hint="eastAsia" w:ascii="仿宋" w:hAnsi="仿宋" w:cs="仿宋"/>
          <w:color w:val="auto"/>
          <w:sz w:val="28"/>
          <w:szCs w:val="28"/>
          <w:highlight w:val="none"/>
          <w:lang w:val="en-US" w:eastAsia="zh-CN"/>
        </w:rPr>
        <w:t>29</w:t>
      </w:r>
      <w:r>
        <w:rPr>
          <w:rFonts w:hint="eastAsia" w:ascii="仿宋" w:hAnsi="仿宋" w:eastAsia="仿宋" w:cs="仿宋"/>
          <w:color w:val="auto"/>
          <w:sz w:val="28"/>
          <w:szCs w:val="28"/>
          <w:highlight w:val="none"/>
        </w:rPr>
        <w:t>日指定</w:t>
      </w:r>
      <w:r>
        <w:rPr>
          <w:rFonts w:hint="eastAsia" w:ascii="仿宋" w:hAnsi="仿宋" w:eastAsia="仿宋" w:cs="仿宋"/>
          <w:color w:val="auto"/>
          <w:sz w:val="28"/>
          <w:szCs w:val="28"/>
          <w:highlight w:val="none"/>
          <w:lang w:val="en-US" w:eastAsia="zh-CN"/>
        </w:rPr>
        <w:t>北京华</w:t>
      </w:r>
      <w:r>
        <w:rPr>
          <w:rFonts w:hint="eastAsia" w:ascii="仿宋" w:hAnsi="仿宋" w:eastAsia="仿宋" w:cs="仿宋"/>
          <w:color w:val="auto"/>
          <w:sz w:val="28"/>
          <w:szCs w:val="28"/>
          <w:lang w:val="en-US" w:eastAsia="zh-CN"/>
        </w:rPr>
        <w:t>信清算服务有限公司担任</w:t>
      </w:r>
      <w:r>
        <w:rPr>
          <w:rFonts w:hint="eastAsia" w:ascii="仿宋" w:hAnsi="仿宋" w:eastAsia="仿宋" w:cs="仿宋"/>
          <w:color w:val="auto"/>
          <w:sz w:val="28"/>
          <w:szCs w:val="28"/>
        </w:rPr>
        <w:t>管理人（以下简称“管理人”）。</w:t>
      </w:r>
    </w:p>
    <w:p w14:paraId="6316A3A3">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lang w:bidi="ar"/>
        </w:rPr>
        <w:t>为充分识别</w:t>
      </w:r>
      <w:r>
        <w:rPr>
          <w:rFonts w:hint="eastAsia" w:ascii="仿宋" w:hAnsi="仿宋" w:cs="仿宋"/>
          <w:color w:val="auto"/>
          <w:sz w:val="28"/>
          <w:szCs w:val="28"/>
          <w:lang w:val="en-US" w:eastAsia="zh-CN"/>
        </w:rPr>
        <w:t>世纪金光等关联公司</w:t>
      </w:r>
      <w:r>
        <w:rPr>
          <w:rFonts w:hint="eastAsia" w:ascii="仿宋" w:hAnsi="仿宋"/>
          <w:color w:val="000000"/>
          <w:sz w:val="28"/>
          <w:szCs w:val="28"/>
          <w:shd w:val="clear" w:color="auto" w:fill="FFFFFF"/>
          <w:lang w:bidi="ar"/>
        </w:rPr>
        <w:t>的重整价值，最大限度地维护全体债权人、债务人以及其他各方主体的合法权益，在北京市第一中级人民法院的监督和指导下，现管理人拟为</w:t>
      </w:r>
      <w:r>
        <w:rPr>
          <w:rFonts w:hint="eastAsia" w:ascii="仿宋" w:hAnsi="仿宋" w:cs="仿宋"/>
          <w:color w:val="auto"/>
          <w:sz w:val="28"/>
          <w:szCs w:val="28"/>
          <w:lang w:val="en-US" w:eastAsia="zh-CN"/>
        </w:rPr>
        <w:t>世纪金光等关联公司</w:t>
      </w:r>
      <w:r>
        <w:rPr>
          <w:rFonts w:hint="eastAsia" w:ascii="仿宋" w:hAnsi="仿宋"/>
          <w:color w:val="000000"/>
          <w:sz w:val="28"/>
          <w:szCs w:val="28"/>
          <w:shd w:val="clear" w:color="auto" w:fill="FFFFFF"/>
          <w:lang w:bidi="ar"/>
        </w:rPr>
        <w:t>向社会公开预招募意向投资人。现就意向投资人预招募和预遴选等相关事项公告说明如下。</w:t>
      </w:r>
    </w:p>
    <w:p w14:paraId="769095CE">
      <w:pPr>
        <w:pStyle w:val="5"/>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562" w:firstLineChars="200"/>
        <w:textAlignment w:val="top"/>
        <w:rPr>
          <w:rFonts w:hint="eastAsia" w:ascii="楷体" w:hAnsi="楷体" w:eastAsia="楷体" w:cs="楷体"/>
          <w:color w:val="000000"/>
          <w:sz w:val="28"/>
          <w:szCs w:val="28"/>
        </w:rPr>
      </w:pPr>
      <w:r>
        <w:rPr>
          <w:rFonts w:hint="eastAsia" w:ascii="楷体" w:hAnsi="楷体" w:eastAsia="楷体" w:cs="楷体"/>
          <w:b/>
          <w:bCs/>
          <w:color w:val="000000"/>
          <w:sz w:val="28"/>
          <w:szCs w:val="28"/>
          <w:shd w:val="clear" w:color="auto" w:fill="FFFFFF"/>
        </w:rPr>
        <w:t>一、预招募须知</w:t>
      </w:r>
    </w:p>
    <w:p w14:paraId="23CFE7C3">
      <w:pPr>
        <w:pStyle w:val="5"/>
        <w:keepNext w:val="0"/>
        <w:keepLines w:val="0"/>
        <w:pageBreakBefore w:val="0"/>
        <w:shd w:val="clear" w:color="auto" w:fill="FFFFFF"/>
        <w:kinsoku/>
        <w:wordWrap/>
        <w:overflowPunct/>
        <w:topLinePunct w:val="0"/>
        <w:autoSpaceDE/>
        <w:autoSpaceDN/>
        <w:bidi w:val="0"/>
        <w:adjustRightInd/>
        <w:snapToGrid/>
        <w:spacing w:line="56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rPr>
        <w:t>（一）本公告所披露的相关信息仅供意向投资人作参考使用，并不替代意向投资人的尽职调查，管理人不对本公告披露的相关信息承担保证责任。意向投资人须自行决定是否聘请专业投资顾问、法律顾问进行尽职调查、出具投资意见等。</w:t>
      </w:r>
    </w:p>
    <w:p w14:paraId="79FAFB47">
      <w:pPr>
        <w:pStyle w:val="5"/>
        <w:keepNext w:val="0"/>
        <w:keepLines w:val="0"/>
        <w:pageBreakBefore w:val="0"/>
        <w:shd w:val="clear" w:color="auto" w:fill="FFFFFF"/>
        <w:kinsoku/>
        <w:wordWrap/>
        <w:overflowPunct/>
        <w:topLinePunct w:val="0"/>
        <w:autoSpaceDE/>
        <w:autoSpaceDN/>
        <w:bidi w:val="0"/>
        <w:adjustRightInd/>
        <w:snapToGrid/>
        <w:spacing w:line="56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rPr>
        <w:t>（二）意向投资人决定参与预招募前应仔细阅读本公告，理解投资过程中可能存在的风险，一旦提交报名材料即视为同意按债务人现状进行投资，接受所有标的物上已知和未知的瑕疵，也视为对本次投资人预招募程序确认并同意承担风险。</w:t>
      </w:r>
    </w:p>
    <w:p w14:paraId="2C86D206">
      <w:pPr>
        <w:pStyle w:val="5"/>
        <w:keepNext w:val="0"/>
        <w:keepLines w:val="0"/>
        <w:pageBreakBefore w:val="0"/>
        <w:shd w:val="clear" w:color="auto" w:fill="FFFFFF"/>
        <w:kinsoku/>
        <w:wordWrap/>
        <w:overflowPunct/>
        <w:topLinePunct w:val="0"/>
        <w:autoSpaceDE/>
        <w:autoSpaceDN/>
        <w:bidi w:val="0"/>
        <w:adjustRightInd/>
        <w:snapToGrid/>
        <w:spacing w:line="56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rPr>
        <w:t>（三）本预招募公告不适用《中华人民共和国招标投标法》，管理人有权视本案的进展情况、实际需求随时决定调整、继续、中止或终止本次意向投资人预招募和遴选，管理人对此不承担违约或赔偿责任，公告内容的解释权由管理人行使。</w:t>
      </w:r>
    </w:p>
    <w:p w14:paraId="4B33F424">
      <w:pPr>
        <w:pStyle w:val="5"/>
        <w:keepNext w:val="0"/>
        <w:keepLines w:val="0"/>
        <w:pageBreakBefore w:val="0"/>
        <w:shd w:val="clear" w:color="auto" w:fill="FFFFFF"/>
        <w:kinsoku/>
        <w:wordWrap/>
        <w:overflowPunct/>
        <w:topLinePunct w:val="0"/>
        <w:autoSpaceDE/>
        <w:autoSpaceDN/>
        <w:bidi w:val="0"/>
        <w:adjustRightInd/>
        <w:snapToGrid/>
        <w:spacing w:line="56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rPr>
        <w:t>（四）本公告所称意向投资人，可以是产业投资人，可以是财务投资人，也可以是运营意向人，意向投资人既可以单独报名，也可以组成联合体报名。同等条件下，本次预招募优先考虑对</w:t>
      </w:r>
      <w:r>
        <w:rPr>
          <w:rFonts w:hint="eastAsia" w:ascii="仿宋" w:hAnsi="仿宋" w:cs="仿宋"/>
          <w:color w:val="auto"/>
          <w:sz w:val="28"/>
          <w:szCs w:val="28"/>
          <w:lang w:val="en-US" w:eastAsia="zh-CN"/>
        </w:rPr>
        <w:t>世纪金光等关联公司</w:t>
      </w:r>
      <w:r>
        <w:rPr>
          <w:rFonts w:hint="eastAsia" w:ascii="仿宋" w:hAnsi="仿宋"/>
          <w:color w:val="000000"/>
          <w:sz w:val="28"/>
          <w:szCs w:val="28"/>
          <w:shd w:val="clear" w:color="auto" w:fill="FFFFFF"/>
        </w:rPr>
        <w:t>具有产业协同效应的产业投资人。</w:t>
      </w:r>
    </w:p>
    <w:p w14:paraId="2329D941">
      <w:pPr>
        <w:pStyle w:val="5"/>
        <w:keepNext w:val="0"/>
        <w:keepLines w:val="0"/>
        <w:pageBreakBefore w:val="0"/>
        <w:shd w:val="clear" w:color="auto" w:fill="FFFFFF"/>
        <w:kinsoku/>
        <w:wordWrap/>
        <w:overflowPunct/>
        <w:topLinePunct w:val="0"/>
        <w:autoSpaceDE/>
        <w:autoSpaceDN/>
        <w:bidi w:val="0"/>
        <w:adjustRightInd/>
        <w:snapToGrid/>
        <w:spacing w:line="56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rPr>
        <w:t>（五）意向投资人须在报名参与本次预招募时缴纳尽调保证金，待尽调后确定参与的，再行补足报名保证金。管理人有权在预招募及遴选过程中根据进展情况，要求进入下一轮遴选程序的报名投资人追加缴纳保证金，意向投资人缴纳对应保证金后方可进入下一轮遴选程序，具体缴纳时间及金额由管理人另行通知。</w:t>
      </w:r>
    </w:p>
    <w:p w14:paraId="178053BB">
      <w:pPr>
        <w:pStyle w:val="5"/>
        <w:keepNext w:val="0"/>
        <w:keepLines w:val="0"/>
        <w:pageBreakBefore w:val="0"/>
        <w:shd w:val="clear" w:color="auto" w:fill="FFFFFF"/>
        <w:kinsoku/>
        <w:wordWrap/>
        <w:overflowPunct/>
        <w:topLinePunct w:val="0"/>
        <w:autoSpaceDE/>
        <w:autoSpaceDN/>
        <w:bidi w:val="0"/>
        <w:adjustRightInd/>
        <w:snapToGrid/>
        <w:spacing w:line="56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rPr>
        <w:t>（六）本公告不构成要约，不具有重整投资协议的约束效力。</w:t>
      </w:r>
    </w:p>
    <w:p w14:paraId="3118DA7E">
      <w:pPr>
        <w:pStyle w:val="5"/>
        <w:keepNext w:val="0"/>
        <w:keepLines w:val="0"/>
        <w:pageBreakBefore w:val="0"/>
        <w:widowControl/>
        <w:shd w:val="clear" w:color="auto" w:fill="FFFFFF"/>
        <w:kinsoku/>
        <w:wordWrap/>
        <w:overflowPunct/>
        <w:topLinePunct w:val="0"/>
        <w:autoSpaceDE/>
        <w:autoSpaceDN/>
        <w:bidi w:val="0"/>
        <w:adjustRightInd/>
        <w:snapToGrid/>
        <w:spacing w:line="560" w:lineRule="exact"/>
        <w:ind w:firstLine="562" w:firstLineChars="200"/>
        <w:textAlignment w:val="top"/>
        <w:rPr>
          <w:rFonts w:hint="eastAsia" w:ascii="楷体" w:hAnsi="楷体" w:eastAsia="楷体" w:cs="楷体"/>
          <w:color w:val="000000"/>
          <w:sz w:val="28"/>
          <w:szCs w:val="28"/>
        </w:rPr>
      </w:pPr>
      <w:r>
        <w:rPr>
          <w:rFonts w:hint="eastAsia" w:ascii="楷体" w:hAnsi="楷体" w:eastAsia="楷体" w:cs="楷体"/>
          <w:b/>
          <w:bCs/>
          <w:color w:val="000000"/>
          <w:sz w:val="28"/>
          <w:szCs w:val="28"/>
          <w:shd w:val="clear" w:color="auto" w:fill="FFFFFF"/>
        </w:rPr>
        <w:t>二、基本情况</w:t>
      </w:r>
    </w:p>
    <w:p w14:paraId="2182D809">
      <w:pPr>
        <w:pStyle w:val="5"/>
        <w:keepNext w:val="0"/>
        <w:keepLines w:val="0"/>
        <w:pageBreakBefore w:val="0"/>
        <w:widowControl/>
        <w:shd w:val="clear" w:color="auto" w:fill="FFFFFF"/>
        <w:kinsoku/>
        <w:wordWrap/>
        <w:overflowPunct/>
        <w:topLinePunct w:val="0"/>
        <w:autoSpaceDE/>
        <w:autoSpaceDN/>
        <w:bidi w:val="0"/>
        <w:adjustRightInd/>
        <w:snapToGrid/>
        <w:spacing w:line="560" w:lineRule="exact"/>
        <w:ind w:firstLine="562" w:firstLineChars="200"/>
        <w:textAlignment w:val="top"/>
        <w:rPr>
          <w:rFonts w:hint="eastAsia" w:ascii="仿宋" w:hAnsi="仿宋"/>
          <w:b/>
          <w:bCs/>
          <w:color w:val="000000"/>
          <w:sz w:val="28"/>
          <w:szCs w:val="28"/>
          <w:shd w:val="clear" w:color="auto" w:fill="FFFFFF"/>
        </w:rPr>
      </w:pPr>
      <w:r>
        <w:rPr>
          <w:rFonts w:hint="eastAsia" w:ascii="仿宋" w:hAnsi="仿宋"/>
          <w:b/>
          <w:bCs/>
          <w:color w:val="000000"/>
          <w:sz w:val="28"/>
          <w:szCs w:val="28"/>
          <w:shd w:val="clear" w:color="auto" w:fill="FFFFFF"/>
        </w:rPr>
        <w:t>（一）工商登记信息</w:t>
      </w:r>
    </w:p>
    <w:p w14:paraId="1578F60F">
      <w:pPr>
        <w:pStyle w:val="5"/>
        <w:widowControl/>
        <w:shd w:val="clear" w:color="auto" w:fill="FFFFFF"/>
        <w:spacing w:line="520" w:lineRule="exact"/>
        <w:ind w:firstLine="562" w:firstLineChars="200"/>
        <w:textAlignment w:val="top"/>
        <w:rPr>
          <w:rFonts w:hint="default" w:ascii="仿宋" w:hAnsi="仿宋" w:eastAsia="仿宋"/>
          <w:b/>
          <w:bCs/>
          <w:color w:val="000000"/>
          <w:sz w:val="28"/>
          <w:szCs w:val="28"/>
          <w:shd w:val="clear" w:color="auto" w:fill="FFFFFF"/>
          <w:lang w:val="en-US" w:eastAsia="zh-CN"/>
        </w:rPr>
      </w:pPr>
      <w:r>
        <w:rPr>
          <w:rFonts w:hint="eastAsia" w:ascii="仿宋" w:hAnsi="仿宋"/>
          <w:b/>
          <w:bCs/>
          <w:color w:val="000000"/>
          <w:sz w:val="28"/>
          <w:szCs w:val="28"/>
          <w:shd w:val="clear" w:color="auto" w:fill="FFFFFF"/>
          <w:lang w:val="en-US" w:eastAsia="zh-CN"/>
        </w:rPr>
        <w:t>1.世纪金光</w:t>
      </w:r>
    </w:p>
    <w:tbl>
      <w:tblPr>
        <w:tblStyle w:val="7"/>
        <w:tblW w:w="8406" w:type="dxa"/>
        <w:tblInd w:w="0" w:type="dxa"/>
        <w:shd w:val="clear" w:color="auto" w:fill="FFFFFF"/>
        <w:tblLayout w:type="autofit"/>
        <w:tblCellMar>
          <w:top w:w="0" w:type="dxa"/>
          <w:left w:w="0" w:type="dxa"/>
          <w:bottom w:w="0" w:type="dxa"/>
          <w:right w:w="0" w:type="dxa"/>
        </w:tblCellMar>
      </w:tblPr>
      <w:tblGrid>
        <w:gridCol w:w="3119"/>
        <w:gridCol w:w="5287"/>
      </w:tblGrid>
      <w:tr w14:paraId="45EB4D45">
        <w:tblPrEx>
          <w:shd w:val="clear" w:color="auto" w:fill="FFFFFF"/>
          <w:tblCellMar>
            <w:top w:w="0" w:type="dxa"/>
            <w:left w:w="0" w:type="dxa"/>
            <w:bottom w:w="0" w:type="dxa"/>
            <w:right w:w="0" w:type="dxa"/>
          </w:tblCellMar>
        </w:tblPrEx>
        <w:trPr>
          <w:trHeight w:val="283" w:hRule="atLeast"/>
        </w:trPr>
        <w:tc>
          <w:tcPr>
            <w:tcW w:w="31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3A696F4">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企业名称</w:t>
            </w:r>
          </w:p>
        </w:tc>
        <w:tc>
          <w:tcPr>
            <w:tcW w:w="528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8F9E5A3">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北京世纪金光半导体有限公司</w:t>
            </w:r>
          </w:p>
        </w:tc>
      </w:tr>
      <w:tr w14:paraId="69E4A03E">
        <w:tblPrEx>
          <w:shd w:val="clear" w:color="auto" w:fill="FFFFFF"/>
          <w:tblCellMar>
            <w:top w:w="0" w:type="dxa"/>
            <w:left w:w="0" w:type="dxa"/>
            <w:bottom w:w="0" w:type="dxa"/>
            <w:right w:w="0" w:type="dxa"/>
          </w:tblCellMar>
        </w:tblPrEx>
        <w:trPr>
          <w:trHeight w:val="283" w:hRule="atLeast"/>
        </w:trPr>
        <w:tc>
          <w:tcPr>
            <w:tcW w:w="31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F002C9A">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统一社会信用代码</w:t>
            </w:r>
          </w:p>
        </w:tc>
        <w:tc>
          <w:tcPr>
            <w:tcW w:w="528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4BBF64B">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911103025674741869</w:t>
            </w:r>
          </w:p>
        </w:tc>
      </w:tr>
      <w:tr w14:paraId="463993B7">
        <w:tblPrEx>
          <w:shd w:val="clear" w:color="auto" w:fill="FFFFFF"/>
          <w:tblCellMar>
            <w:top w:w="0" w:type="dxa"/>
            <w:left w:w="0" w:type="dxa"/>
            <w:bottom w:w="0" w:type="dxa"/>
            <w:right w:w="0" w:type="dxa"/>
          </w:tblCellMar>
        </w:tblPrEx>
        <w:trPr>
          <w:trHeight w:val="283" w:hRule="atLeast"/>
        </w:trPr>
        <w:tc>
          <w:tcPr>
            <w:tcW w:w="31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2E45440">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登记机关</w:t>
            </w:r>
          </w:p>
        </w:tc>
        <w:tc>
          <w:tcPr>
            <w:tcW w:w="528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C80DA0B">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北京经济技术开发区市场监督管理局</w:t>
            </w:r>
          </w:p>
        </w:tc>
      </w:tr>
      <w:tr w14:paraId="66700E83">
        <w:tblPrEx>
          <w:tblCellMar>
            <w:top w:w="0" w:type="dxa"/>
            <w:left w:w="0" w:type="dxa"/>
            <w:bottom w:w="0" w:type="dxa"/>
            <w:right w:w="0" w:type="dxa"/>
          </w:tblCellMar>
        </w:tblPrEx>
        <w:trPr>
          <w:trHeight w:val="283" w:hRule="atLeast"/>
        </w:trPr>
        <w:tc>
          <w:tcPr>
            <w:tcW w:w="31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9E4BB66">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类型</w:t>
            </w:r>
          </w:p>
        </w:tc>
        <w:tc>
          <w:tcPr>
            <w:tcW w:w="528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6F60023">
            <w:pPr>
              <w:widowControl/>
              <w:spacing w:line="500" w:lineRule="exact"/>
              <w:textAlignment w:val="top"/>
              <w:rPr>
                <w:rFonts w:hint="eastAsia" w:ascii="仿宋" w:hAnsi="仿宋"/>
                <w:sz w:val="24"/>
                <w:szCs w:val="24"/>
              </w:rPr>
            </w:pPr>
            <w:r>
              <w:rPr>
                <w:rFonts w:hint="eastAsia" w:ascii="仿宋" w:hAnsi="仿宋"/>
                <w:sz w:val="24"/>
                <w:szCs w:val="24"/>
              </w:rPr>
              <w:t>有限责任公司（自然人投资或控股）</w:t>
            </w:r>
          </w:p>
        </w:tc>
      </w:tr>
      <w:tr w14:paraId="14A4AB48">
        <w:tblPrEx>
          <w:tblCellMar>
            <w:top w:w="0" w:type="dxa"/>
            <w:left w:w="0" w:type="dxa"/>
            <w:bottom w:w="0" w:type="dxa"/>
            <w:right w:w="0" w:type="dxa"/>
          </w:tblCellMar>
        </w:tblPrEx>
        <w:trPr>
          <w:trHeight w:val="283" w:hRule="atLeast"/>
        </w:trPr>
        <w:tc>
          <w:tcPr>
            <w:tcW w:w="31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3E9A296">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注册资本</w:t>
            </w:r>
          </w:p>
        </w:tc>
        <w:tc>
          <w:tcPr>
            <w:tcW w:w="528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50F3D04">
            <w:pPr>
              <w:widowControl/>
              <w:spacing w:line="500" w:lineRule="exact"/>
              <w:textAlignment w:val="top"/>
              <w:rPr>
                <w:rFonts w:hint="eastAsia" w:ascii="仿宋" w:hAnsi="仿宋"/>
                <w:sz w:val="24"/>
                <w:szCs w:val="24"/>
              </w:rPr>
            </w:pPr>
            <w:r>
              <w:rPr>
                <w:rFonts w:hint="eastAsia" w:ascii="仿宋" w:hAnsi="仿宋"/>
                <w:sz w:val="24"/>
                <w:szCs w:val="24"/>
              </w:rPr>
              <w:t>37106.31万元人民币</w:t>
            </w:r>
          </w:p>
        </w:tc>
      </w:tr>
      <w:tr w14:paraId="40EE899E">
        <w:tblPrEx>
          <w:tblCellMar>
            <w:top w:w="0" w:type="dxa"/>
            <w:left w:w="0" w:type="dxa"/>
            <w:bottom w:w="0" w:type="dxa"/>
            <w:right w:w="0" w:type="dxa"/>
          </w:tblCellMar>
        </w:tblPrEx>
        <w:trPr>
          <w:trHeight w:val="283" w:hRule="atLeast"/>
        </w:trPr>
        <w:tc>
          <w:tcPr>
            <w:tcW w:w="31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C4BA10E">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注册地址</w:t>
            </w:r>
          </w:p>
        </w:tc>
        <w:tc>
          <w:tcPr>
            <w:tcW w:w="528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C6E5CE5">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北京市北京经济技术开发区通惠干渠路17号院2号楼3层、4层、5层</w:t>
            </w:r>
          </w:p>
        </w:tc>
      </w:tr>
      <w:tr w14:paraId="0E105A77">
        <w:tblPrEx>
          <w:tblCellMar>
            <w:top w:w="0" w:type="dxa"/>
            <w:left w:w="0" w:type="dxa"/>
            <w:bottom w:w="0" w:type="dxa"/>
            <w:right w:w="0" w:type="dxa"/>
          </w:tblCellMar>
        </w:tblPrEx>
        <w:trPr>
          <w:trHeight w:val="283" w:hRule="atLeast"/>
        </w:trPr>
        <w:tc>
          <w:tcPr>
            <w:tcW w:w="31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A2256BB">
            <w:pPr>
              <w:widowControl/>
              <w:spacing w:line="500" w:lineRule="exact"/>
              <w:jc w:val="left"/>
              <w:textAlignment w:val="top"/>
              <w:rPr>
                <w:rFonts w:hint="eastAsia" w:ascii="仿宋" w:hAnsi="仿宋"/>
                <w:sz w:val="24"/>
                <w:szCs w:val="24"/>
              </w:rPr>
            </w:pPr>
            <w:r>
              <w:rPr>
                <w:rFonts w:hint="eastAsia" w:ascii="仿宋" w:hAnsi="仿宋"/>
                <w:color w:val="000000"/>
                <w:sz w:val="24"/>
                <w:szCs w:val="24"/>
                <w:lang w:bidi="ar"/>
              </w:rPr>
              <w:t>法定代表人</w:t>
            </w:r>
          </w:p>
        </w:tc>
        <w:tc>
          <w:tcPr>
            <w:tcW w:w="528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265FFBA">
            <w:pPr>
              <w:widowControl/>
              <w:spacing w:line="500" w:lineRule="exact"/>
              <w:jc w:val="left"/>
              <w:textAlignment w:val="top"/>
              <w:rPr>
                <w:rFonts w:hint="eastAsia" w:ascii="仿宋" w:hAnsi="仿宋"/>
                <w:sz w:val="24"/>
                <w:szCs w:val="24"/>
              </w:rPr>
            </w:pPr>
            <w:r>
              <w:rPr>
                <w:rFonts w:hint="eastAsia" w:ascii="仿宋" w:hAnsi="仿宋"/>
                <w:sz w:val="24"/>
                <w:szCs w:val="24"/>
              </w:rPr>
              <w:t>李百泉</w:t>
            </w:r>
          </w:p>
        </w:tc>
      </w:tr>
      <w:tr w14:paraId="257BEC62">
        <w:tblPrEx>
          <w:shd w:val="clear" w:color="auto" w:fill="FFFFFF"/>
          <w:tblCellMar>
            <w:top w:w="0" w:type="dxa"/>
            <w:left w:w="0" w:type="dxa"/>
            <w:bottom w:w="0" w:type="dxa"/>
            <w:right w:w="0" w:type="dxa"/>
          </w:tblCellMar>
        </w:tblPrEx>
        <w:trPr>
          <w:trHeight w:val="283" w:hRule="atLeast"/>
        </w:trPr>
        <w:tc>
          <w:tcPr>
            <w:tcW w:w="31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46B3D2E">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成立日期</w:t>
            </w:r>
          </w:p>
        </w:tc>
        <w:tc>
          <w:tcPr>
            <w:tcW w:w="528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116DF29">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2010-12-24</w:t>
            </w:r>
          </w:p>
        </w:tc>
      </w:tr>
      <w:tr w14:paraId="04F2DA7D">
        <w:tblPrEx>
          <w:shd w:val="clear" w:color="auto" w:fill="FFFFFF"/>
          <w:tblCellMar>
            <w:top w:w="0" w:type="dxa"/>
            <w:left w:w="0" w:type="dxa"/>
            <w:bottom w:w="0" w:type="dxa"/>
            <w:right w:w="0" w:type="dxa"/>
          </w:tblCellMar>
        </w:tblPrEx>
        <w:trPr>
          <w:trHeight w:val="283" w:hRule="atLeast"/>
        </w:trPr>
        <w:tc>
          <w:tcPr>
            <w:tcW w:w="31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E281FD4">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营业期限</w:t>
            </w:r>
          </w:p>
        </w:tc>
        <w:tc>
          <w:tcPr>
            <w:tcW w:w="528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0459D2A6">
            <w:pPr>
              <w:widowControl/>
              <w:spacing w:line="500" w:lineRule="exact"/>
              <w:textAlignment w:val="top"/>
              <w:rPr>
                <w:rFonts w:hint="eastAsia" w:ascii="仿宋" w:hAnsi="仿宋"/>
                <w:sz w:val="24"/>
                <w:szCs w:val="24"/>
              </w:rPr>
            </w:pPr>
            <w:r>
              <w:rPr>
                <w:rFonts w:hint="eastAsia" w:ascii="仿宋" w:hAnsi="仿宋"/>
                <w:sz w:val="24"/>
                <w:szCs w:val="24"/>
              </w:rPr>
              <w:t>2010-12-24至2030-12-23</w:t>
            </w:r>
          </w:p>
        </w:tc>
      </w:tr>
      <w:tr w14:paraId="46EA07A9">
        <w:tblPrEx>
          <w:shd w:val="clear" w:color="auto" w:fill="FFFFFF"/>
          <w:tblCellMar>
            <w:top w:w="0" w:type="dxa"/>
            <w:left w:w="0" w:type="dxa"/>
            <w:bottom w:w="0" w:type="dxa"/>
            <w:right w:w="0" w:type="dxa"/>
          </w:tblCellMar>
        </w:tblPrEx>
        <w:trPr>
          <w:trHeight w:val="283" w:hRule="atLeast"/>
        </w:trPr>
        <w:tc>
          <w:tcPr>
            <w:tcW w:w="31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3B49904">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经营范围</w:t>
            </w:r>
          </w:p>
        </w:tc>
        <w:tc>
          <w:tcPr>
            <w:tcW w:w="528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25F23B7">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销售电子产品、电子元器件；技术转让、技术咨询、技术服务；货物进出口、代理进出口；生产碳化硅单晶片、4英寸碳化硅单晶片、6英寸碳化硅单晶片、碳化硅和氮化镓外延片、碳化硅功率器肖特基二极管、金属氧化物半导体场效应晶体管、碳化硅功率模块、氮化镓功率器件。</w:t>
            </w:r>
          </w:p>
        </w:tc>
      </w:tr>
    </w:tbl>
    <w:p w14:paraId="412E5A7E">
      <w:pPr>
        <w:pStyle w:val="5"/>
        <w:shd w:val="clear" w:color="auto" w:fill="FFFFFF"/>
        <w:spacing w:line="560" w:lineRule="exact"/>
        <w:ind w:firstLine="562" w:firstLineChars="200"/>
        <w:textAlignment w:val="top"/>
        <w:rPr>
          <w:rFonts w:hint="default" w:ascii="仿宋" w:hAnsi="仿宋" w:eastAsia="仿宋"/>
          <w:b/>
          <w:bCs/>
          <w:sz w:val="28"/>
          <w:szCs w:val="28"/>
          <w:lang w:val="en-US" w:eastAsia="zh-CN"/>
        </w:rPr>
      </w:pPr>
      <w:r>
        <w:rPr>
          <w:rFonts w:hint="eastAsia" w:ascii="仿宋" w:hAnsi="仿宋"/>
          <w:b/>
          <w:bCs/>
          <w:sz w:val="28"/>
          <w:szCs w:val="28"/>
          <w:lang w:val="en-US" w:eastAsia="zh-CN"/>
        </w:rPr>
        <w:t>2.华进创威</w:t>
      </w:r>
    </w:p>
    <w:tbl>
      <w:tblPr>
        <w:tblStyle w:val="7"/>
        <w:tblW w:w="8406" w:type="dxa"/>
        <w:tblInd w:w="0" w:type="dxa"/>
        <w:shd w:val="clear" w:color="auto" w:fill="FFFFFF"/>
        <w:tblLayout w:type="autofit"/>
        <w:tblCellMar>
          <w:top w:w="0" w:type="dxa"/>
          <w:left w:w="0" w:type="dxa"/>
          <w:bottom w:w="0" w:type="dxa"/>
          <w:right w:w="0" w:type="dxa"/>
        </w:tblCellMar>
      </w:tblPr>
      <w:tblGrid>
        <w:gridCol w:w="3119"/>
        <w:gridCol w:w="5287"/>
      </w:tblGrid>
      <w:tr w14:paraId="015EE8D0">
        <w:tblPrEx>
          <w:shd w:val="clear" w:color="auto" w:fill="FFFFFF"/>
          <w:tblCellMar>
            <w:top w:w="0" w:type="dxa"/>
            <w:left w:w="0" w:type="dxa"/>
            <w:bottom w:w="0" w:type="dxa"/>
            <w:right w:w="0" w:type="dxa"/>
          </w:tblCellMar>
        </w:tblPrEx>
        <w:trPr>
          <w:trHeight w:val="283" w:hRule="atLeast"/>
        </w:trPr>
        <w:tc>
          <w:tcPr>
            <w:tcW w:w="31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F470B4F">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企业名称</w:t>
            </w:r>
          </w:p>
        </w:tc>
        <w:tc>
          <w:tcPr>
            <w:tcW w:w="528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A1DEDAA">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北京</w:t>
            </w:r>
            <w:r>
              <w:rPr>
                <w:rFonts w:hint="eastAsia" w:ascii="仿宋" w:hAnsi="仿宋"/>
                <w:color w:val="000000"/>
                <w:sz w:val="24"/>
                <w:szCs w:val="24"/>
                <w:lang w:val="en-US" w:eastAsia="zh-CN" w:bidi="ar"/>
              </w:rPr>
              <w:t>华进创威电子</w:t>
            </w:r>
            <w:r>
              <w:rPr>
                <w:rFonts w:hint="eastAsia" w:ascii="仿宋" w:hAnsi="仿宋"/>
                <w:color w:val="000000"/>
                <w:sz w:val="24"/>
                <w:szCs w:val="24"/>
                <w:lang w:bidi="ar"/>
              </w:rPr>
              <w:t>有限公司</w:t>
            </w:r>
          </w:p>
        </w:tc>
      </w:tr>
      <w:tr w14:paraId="68862367">
        <w:tblPrEx>
          <w:shd w:val="clear" w:color="auto" w:fill="FFFFFF"/>
          <w:tblCellMar>
            <w:top w:w="0" w:type="dxa"/>
            <w:left w:w="0" w:type="dxa"/>
            <w:bottom w:w="0" w:type="dxa"/>
            <w:right w:w="0" w:type="dxa"/>
          </w:tblCellMar>
        </w:tblPrEx>
        <w:trPr>
          <w:trHeight w:val="283" w:hRule="atLeast"/>
        </w:trPr>
        <w:tc>
          <w:tcPr>
            <w:tcW w:w="31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1358797">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统一社会信用代码</w:t>
            </w:r>
          </w:p>
        </w:tc>
        <w:tc>
          <w:tcPr>
            <w:tcW w:w="528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E93B1D4">
            <w:pPr>
              <w:widowControl/>
              <w:spacing w:line="500" w:lineRule="exact"/>
              <w:textAlignment w:val="top"/>
              <w:rPr>
                <w:rFonts w:hint="default" w:ascii="仿宋" w:hAnsi="仿宋" w:eastAsia="仿宋"/>
                <w:sz w:val="24"/>
                <w:szCs w:val="24"/>
                <w:lang w:val="en-US" w:eastAsia="zh-CN"/>
              </w:rPr>
            </w:pPr>
            <w:r>
              <w:rPr>
                <w:rFonts w:hint="eastAsia" w:ascii="仿宋" w:hAnsi="仿宋"/>
                <w:color w:val="000000"/>
                <w:sz w:val="24"/>
                <w:szCs w:val="24"/>
                <w:lang w:bidi="ar"/>
              </w:rPr>
              <w:t>9111</w:t>
            </w:r>
            <w:r>
              <w:rPr>
                <w:rFonts w:hint="eastAsia" w:ascii="仿宋" w:hAnsi="仿宋"/>
                <w:color w:val="000000"/>
                <w:sz w:val="24"/>
                <w:szCs w:val="24"/>
                <w:lang w:val="en-US" w:eastAsia="zh-CN" w:bidi="ar"/>
              </w:rPr>
              <w:t>030267960124X5</w:t>
            </w:r>
          </w:p>
        </w:tc>
      </w:tr>
      <w:tr w14:paraId="7C9DDA1E">
        <w:tblPrEx>
          <w:shd w:val="clear" w:color="auto" w:fill="FFFFFF"/>
          <w:tblCellMar>
            <w:top w:w="0" w:type="dxa"/>
            <w:left w:w="0" w:type="dxa"/>
            <w:bottom w:w="0" w:type="dxa"/>
            <w:right w:w="0" w:type="dxa"/>
          </w:tblCellMar>
        </w:tblPrEx>
        <w:trPr>
          <w:trHeight w:val="283" w:hRule="atLeast"/>
        </w:trPr>
        <w:tc>
          <w:tcPr>
            <w:tcW w:w="31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79441AB">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登记机关</w:t>
            </w:r>
          </w:p>
        </w:tc>
        <w:tc>
          <w:tcPr>
            <w:tcW w:w="528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30CD37A">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北京经济技术开发区市场监督管理局</w:t>
            </w:r>
          </w:p>
        </w:tc>
      </w:tr>
      <w:tr w14:paraId="68A6ADD9">
        <w:tblPrEx>
          <w:shd w:val="clear" w:color="auto" w:fill="FFFFFF"/>
          <w:tblCellMar>
            <w:top w:w="0" w:type="dxa"/>
            <w:left w:w="0" w:type="dxa"/>
            <w:bottom w:w="0" w:type="dxa"/>
            <w:right w:w="0" w:type="dxa"/>
          </w:tblCellMar>
        </w:tblPrEx>
        <w:trPr>
          <w:trHeight w:val="283" w:hRule="atLeast"/>
        </w:trPr>
        <w:tc>
          <w:tcPr>
            <w:tcW w:w="31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D716EE6">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类型</w:t>
            </w:r>
          </w:p>
        </w:tc>
        <w:tc>
          <w:tcPr>
            <w:tcW w:w="528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3FB333CB">
            <w:pPr>
              <w:widowControl/>
              <w:spacing w:line="500" w:lineRule="exact"/>
              <w:textAlignment w:val="top"/>
              <w:rPr>
                <w:rFonts w:hint="eastAsia" w:ascii="仿宋" w:hAnsi="仿宋"/>
                <w:sz w:val="24"/>
                <w:szCs w:val="24"/>
              </w:rPr>
            </w:pPr>
            <w:r>
              <w:rPr>
                <w:rFonts w:hint="eastAsia" w:ascii="仿宋" w:hAnsi="仿宋"/>
                <w:sz w:val="24"/>
                <w:szCs w:val="24"/>
              </w:rPr>
              <w:t>有限责任公司（</w:t>
            </w:r>
            <w:r>
              <w:rPr>
                <w:rFonts w:hint="eastAsia" w:ascii="仿宋" w:hAnsi="仿宋"/>
                <w:sz w:val="24"/>
                <w:szCs w:val="24"/>
                <w:lang w:val="en-US" w:eastAsia="zh-CN"/>
              </w:rPr>
              <w:t>法人独资</w:t>
            </w:r>
            <w:r>
              <w:rPr>
                <w:rFonts w:hint="eastAsia" w:ascii="仿宋" w:hAnsi="仿宋"/>
                <w:sz w:val="24"/>
                <w:szCs w:val="24"/>
              </w:rPr>
              <w:t>）</w:t>
            </w:r>
          </w:p>
        </w:tc>
      </w:tr>
      <w:tr w14:paraId="021CFC42">
        <w:tblPrEx>
          <w:shd w:val="clear" w:color="auto" w:fill="FFFFFF"/>
          <w:tblCellMar>
            <w:top w:w="0" w:type="dxa"/>
            <w:left w:w="0" w:type="dxa"/>
            <w:bottom w:w="0" w:type="dxa"/>
            <w:right w:w="0" w:type="dxa"/>
          </w:tblCellMar>
        </w:tblPrEx>
        <w:trPr>
          <w:trHeight w:val="283" w:hRule="atLeast"/>
        </w:trPr>
        <w:tc>
          <w:tcPr>
            <w:tcW w:w="31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EE41CA8">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注册资本</w:t>
            </w:r>
          </w:p>
        </w:tc>
        <w:tc>
          <w:tcPr>
            <w:tcW w:w="528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1E47A1A1">
            <w:pPr>
              <w:widowControl/>
              <w:spacing w:line="500" w:lineRule="exact"/>
              <w:textAlignment w:val="top"/>
              <w:rPr>
                <w:rFonts w:hint="eastAsia" w:ascii="仿宋" w:hAnsi="仿宋"/>
                <w:sz w:val="24"/>
                <w:szCs w:val="24"/>
              </w:rPr>
            </w:pPr>
            <w:r>
              <w:rPr>
                <w:rFonts w:hint="eastAsia" w:ascii="仿宋" w:hAnsi="仿宋"/>
                <w:sz w:val="24"/>
                <w:szCs w:val="24"/>
                <w:lang w:val="en-US" w:eastAsia="zh-CN"/>
              </w:rPr>
              <w:t>5600</w:t>
            </w:r>
            <w:r>
              <w:rPr>
                <w:rFonts w:hint="eastAsia" w:ascii="仿宋" w:hAnsi="仿宋"/>
                <w:sz w:val="24"/>
                <w:szCs w:val="24"/>
              </w:rPr>
              <w:t>万元人民币</w:t>
            </w:r>
          </w:p>
        </w:tc>
      </w:tr>
      <w:tr w14:paraId="6528E26C">
        <w:tblPrEx>
          <w:tblCellMar>
            <w:top w:w="0" w:type="dxa"/>
            <w:left w:w="0" w:type="dxa"/>
            <w:bottom w:w="0" w:type="dxa"/>
            <w:right w:w="0" w:type="dxa"/>
          </w:tblCellMar>
        </w:tblPrEx>
        <w:trPr>
          <w:trHeight w:val="283" w:hRule="atLeast"/>
        </w:trPr>
        <w:tc>
          <w:tcPr>
            <w:tcW w:w="31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E72C8B3">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注册地址</w:t>
            </w:r>
          </w:p>
        </w:tc>
        <w:tc>
          <w:tcPr>
            <w:tcW w:w="528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52243995">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北京市北京经济技术开发区通惠干渠路17号院2号楼</w:t>
            </w:r>
            <w:r>
              <w:rPr>
                <w:rFonts w:hint="eastAsia" w:ascii="仿宋" w:hAnsi="仿宋"/>
                <w:color w:val="000000"/>
                <w:sz w:val="24"/>
                <w:szCs w:val="24"/>
                <w:lang w:val="en-US" w:eastAsia="zh-CN" w:bidi="ar"/>
              </w:rPr>
              <w:t>6至9</w:t>
            </w:r>
            <w:r>
              <w:rPr>
                <w:rFonts w:hint="eastAsia" w:ascii="仿宋" w:hAnsi="仿宋"/>
                <w:color w:val="000000"/>
                <w:sz w:val="24"/>
                <w:szCs w:val="24"/>
                <w:lang w:bidi="ar"/>
              </w:rPr>
              <w:t>层</w:t>
            </w:r>
          </w:p>
        </w:tc>
      </w:tr>
      <w:tr w14:paraId="0ACD2B21">
        <w:tblPrEx>
          <w:shd w:val="clear" w:color="auto" w:fill="FFFFFF"/>
          <w:tblCellMar>
            <w:top w:w="0" w:type="dxa"/>
            <w:left w:w="0" w:type="dxa"/>
            <w:bottom w:w="0" w:type="dxa"/>
            <w:right w:w="0" w:type="dxa"/>
          </w:tblCellMar>
        </w:tblPrEx>
        <w:trPr>
          <w:trHeight w:val="283" w:hRule="atLeast"/>
        </w:trPr>
        <w:tc>
          <w:tcPr>
            <w:tcW w:w="31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A6249AB">
            <w:pPr>
              <w:widowControl/>
              <w:spacing w:line="500" w:lineRule="exact"/>
              <w:jc w:val="left"/>
              <w:textAlignment w:val="top"/>
              <w:rPr>
                <w:rFonts w:hint="eastAsia" w:ascii="仿宋" w:hAnsi="仿宋"/>
                <w:sz w:val="24"/>
                <w:szCs w:val="24"/>
              </w:rPr>
            </w:pPr>
            <w:r>
              <w:rPr>
                <w:rFonts w:hint="eastAsia" w:ascii="仿宋" w:hAnsi="仿宋"/>
                <w:color w:val="000000"/>
                <w:sz w:val="24"/>
                <w:szCs w:val="24"/>
                <w:lang w:bidi="ar"/>
              </w:rPr>
              <w:t>法定代表人</w:t>
            </w:r>
          </w:p>
        </w:tc>
        <w:tc>
          <w:tcPr>
            <w:tcW w:w="528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61BFD2B9">
            <w:pPr>
              <w:widowControl/>
              <w:spacing w:line="500" w:lineRule="exact"/>
              <w:jc w:val="left"/>
              <w:textAlignment w:val="top"/>
              <w:rPr>
                <w:rFonts w:hint="eastAsia" w:ascii="仿宋" w:hAnsi="仿宋" w:eastAsia="仿宋"/>
                <w:sz w:val="24"/>
                <w:szCs w:val="24"/>
                <w:lang w:eastAsia="zh-CN"/>
              </w:rPr>
            </w:pPr>
            <w:r>
              <w:rPr>
                <w:rFonts w:hint="eastAsia" w:ascii="仿宋" w:hAnsi="仿宋"/>
                <w:sz w:val="24"/>
                <w:szCs w:val="24"/>
                <w:lang w:val="en-US" w:eastAsia="zh-CN"/>
              </w:rPr>
              <w:t>邱付彬</w:t>
            </w:r>
          </w:p>
        </w:tc>
      </w:tr>
      <w:tr w14:paraId="130BA51D">
        <w:tblPrEx>
          <w:shd w:val="clear" w:color="auto" w:fill="FFFFFF"/>
          <w:tblCellMar>
            <w:top w:w="0" w:type="dxa"/>
            <w:left w:w="0" w:type="dxa"/>
            <w:bottom w:w="0" w:type="dxa"/>
            <w:right w:w="0" w:type="dxa"/>
          </w:tblCellMar>
        </w:tblPrEx>
        <w:trPr>
          <w:trHeight w:val="283" w:hRule="atLeast"/>
        </w:trPr>
        <w:tc>
          <w:tcPr>
            <w:tcW w:w="31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7C44CB4">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成立日期</w:t>
            </w:r>
          </w:p>
        </w:tc>
        <w:tc>
          <w:tcPr>
            <w:tcW w:w="528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7DC3F81C">
            <w:pPr>
              <w:widowControl/>
              <w:spacing w:line="500" w:lineRule="exact"/>
              <w:textAlignment w:val="top"/>
              <w:rPr>
                <w:rFonts w:hint="default" w:ascii="仿宋" w:hAnsi="仿宋" w:eastAsia="仿宋"/>
                <w:sz w:val="24"/>
                <w:szCs w:val="24"/>
                <w:lang w:val="en-US" w:eastAsia="zh-CN"/>
              </w:rPr>
            </w:pPr>
            <w:r>
              <w:rPr>
                <w:rFonts w:hint="eastAsia" w:ascii="仿宋" w:hAnsi="仿宋"/>
                <w:color w:val="000000"/>
                <w:sz w:val="24"/>
                <w:szCs w:val="24"/>
                <w:lang w:bidi="ar"/>
              </w:rPr>
              <w:t>20</w:t>
            </w:r>
            <w:r>
              <w:rPr>
                <w:rFonts w:hint="eastAsia" w:ascii="仿宋" w:hAnsi="仿宋"/>
                <w:color w:val="000000"/>
                <w:sz w:val="24"/>
                <w:szCs w:val="24"/>
                <w:lang w:val="en-US" w:eastAsia="zh-CN" w:bidi="ar"/>
              </w:rPr>
              <w:t>08</w:t>
            </w:r>
            <w:r>
              <w:rPr>
                <w:rFonts w:hint="eastAsia" w:ascii="仿宋" w:hAnsi="仿宋"/>
                <w:color w:val="000000"/>
                <w:sz w:val="24"/>
                <w:szCs w:val="24"/>
                <w:lang w:bidi="ar"/>
              </w:rPr>
              <w:t>-</w:t>
            </w:r>
            <w:r>
              <w:rPr>
                <w:rFonts w:hint="eastAsia" w:ascii="仿宋" w:hAnsi="仿宋"/>
                <w:color w:val="000000"/>
                <w:sz w:val="24"/>
                <w:szCs w:val="24"/>
                <w:lang w:val="en-US" w:eastAsia="zh-CN" w:bidi="ar"/>
              </w:rPr>
              <w:t>09</w:t>
            </w:r>
            <w:r>
              <w:rPr>
                <w:rFonts w:hint="eastAsia" w:ascii="仿宋" w:hAnsi="仿宋"/>
                <w:color w:val="000000"/>
                <w:sz w:val="24"/>
                <w:szCs w:val="24"/>
                <w:lang w:bidi="ar"/>
              </w:rPr>
              <w:t>-</w:t>
            </w:r>
            <w:r>
              <w:rPr>
                <w:rFonts w:hint="eastAsia" w:ascii="仿宋" w:hAnsi="仿宋"/>
                <w:color w:val="000000"/>
                <w:sz w:val="24"/>
                <w:szCs w:val="24"/>
                <w:lang w:val="en-US" w:eastAsia="zh-CN" w:bidi="ar"/>
              </w:rPr>
              <w:t>02</w:t>
            </w:r>
          </w:p>
        </w:tc>
      </w:tr>
      <w:tr w14:paraId="4DAC1CE0">
        <w:tblPrEx>
          <w:shd w:val="clear" w:color="auto" w:fill="FFFFFF"/>
          <w:tblCellMar>
            <w:top w:w="0" w:type="dxa"/>
            <w:left w:w="0" w:type="dxa"/>
            <w:bottom w:w="0" w:type="dxa"/>
            <w:right w:w="0" w:type="dxa"/>
          </w:tblCellMar>
        </w:tblPrEx>
        <w:trPr>
          <w:trHeight w:val="283" w:hRule="atLeast"/>
        </w:trPr>
        <w:tc>
          <w:tcPr>
            <w:tcW w:w="31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868A8C3">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营业期限</w:t>
            </w:r>
          </w:p>
        </w:tc>
        <w:tc>
          <w:tcPr>
            <w:tcW w:w="528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F582D16">
            <w:pPr>
              <w:widowControl/>
              <w:spacing w:line="500" w:lineRule="exact"/>
              <w:textAlignment w:val="top"/>
              <w:rPr>
                <w:rFonts w:hint="eastAsia" w:ascii="仿宋" w:hAnsi="仿宋"/>
                <w:sz w:val="24"/>
                <w:szCs w:val="24"/>
              </w:rPr>
            </w:pPr>
            <w:r>
              <w:rPr>
                <w:rFonts w:hint="eastAsia" w:ascii="仿宋" w:hAnsi="仿宋"/>
                <w:sz w:val="24"/>
                <w:szCs w:val="24"/>
              </w:rPr>
              <w:t>20</w:t>
            </w:r>
            <w:r>
              <w:rPr>
                <w:rFonts w:hint="eastAsia" w:ascii="仿宋" w:hAnsi="仿宋"/>
                <w:sz w:val="24"/>
                <w:szCs w:val="24"/>
                <w:lang w:val="en-US" w:eastAsia="zh-CN"/>
              </w:rPr>
              <w:t>08</w:t>
            </w:r>
            <w:r>
              <w:rPr>
                <w:rFonts w:hint="eastAsia" w:ascii="仿宋" w:hAnsi="仿宋"/>
                <w:sz w:val="24"/>
                <w:szCs w:val="24"/>
              </w:rPr>
              <w:t>-</w:t>
            </w:r>
            <w:r>
              <w:rPr>
                <w:rFonts w:hint="eastAsia" w:ascii="仿宋" w:hAnsi="仿宋"/>
                <w:sz w:val="24"/>
                <w:szCs w:val="24"/>
                <w:lang w:val="en-US" w:eastAsia="zh-CN"/>
              </w:rPr>
              <w:t>09</w:t>
            </w:r>
            <w:r>
              <w:rPr>
                <w:rFonts w:hint="eastAsia" w:ascii="仿宋" w:hAnsi="仿宋"/>
                <w:sz w:val="24"/>
                <w:szCs w:val="24"/>
              </w:rPr>
              <w:t>-</w:t>
            </w:r>
            <w:r>
              <w:rPr>
                <w:rFonts w:hint="eastAsia" w:ascii="仿宋" w:hAnsi="仿宋"/>
                <w:sz w:val="24"/>
                <w:szCs w:val="24"/>
                <w:lang w:val="en-US" w:eastAsia="zh-CN"/>
              </w:rPr>
              <w:t>02</w:t>
            </w:r>
            <w:r>
              <w:rPr>
                <w:rFonts w:hint="eastAsia" w:ascii="仿宋" w:hAnsi="仿宋"/>
                <w:sz w:val="24"/>
                <w:szCs w:val="24"/>
              </w:rPr>
              <w:t>至203</w:t>
            </w:r>
            <w:r>
              <w:rPr>
                <w:rFonts w:hint="eastAsia" w:ascii="仿宋" w:hAnsi="仿宋"/>
                <w:sz w:val="24"/>
                <w:szCs w:val="24"/>
                <w:lang w:val="en-US" w:eastAsia="zh-CN"/>
              </w:rPr>
              <w:t>8</w:t>
            </w:r>
            <w:r>
              <w:rPr>
                <w:rFonts w:hint="eastAsia" w:ascii="仿宋" w:hAnsi="仿宋"/>
                <w:sz w:val="24"/>
                <w:szCs w:val="24"/>
              </w:rPr>
              <w:t>-</w:t>
            </w:r>
            <w:r>
              <w:rPr>
                <w:rFonts w:hint="eastAsia" w:ascii="仿宋" w:hAnsi="仿宋"/>
                <w:sz w:val="24"/>
                <w:szCs w:val="24"/>
                <w:lang w:val="en-US" w:eastAsia="zh-CN"/>
              </w:rPr>
              <w:t>09</w:t>
            </w:r>
            <w:r>
              <w:rPr>
                <w:rFonts w:hint="eastAsia" w:ascii="仿宋" w:hAnsi="仿宋"/>
                <w:sz w:val="24"/>
                <w:szCs w:val="24"/>
              </w:rPr>
              <w:t>-</w:t>
            </w:r>
            <w:r>
              <w:rPr>
                <w:rFonts w:hint="eastAsia" w:ascii="仿宋" w:hAnsi="仿宋"/>
                <w:sz w:val="24"/>
                <w:szCs w:val="24"/>
                <w:lang w:val="en-US" w:eastAsia="zh-CN"/>
              </w:rPr>
              <w:t>01</w:t>
            </w:r>
          </w:p>
        </w:tc>
      </w:tr>
      <w:tr w14:paraId="4A25E3D9">
        <w:tblPrEx>
          <w:shd w:val="clear" w:color="auto" w:fill="FFFFFF"/>
          <w:tblCellMar>
            <w:top w:w="0" w:type="dxa"/>
            <w:left w:w="0" w:type="dxa"/>
            <w:bottom w:w="0" w:type="dxa"/>
            <w:right w:w="0" w:type="dxa"/>
          </w:tblCellMar>
        </w:tblPrEx>
        <w:trPr>
          <w:trHeight w:val="283" w:hRule="atLeast"/>
        </w:trPr>
        <w:tc>
          <w:tcPr>
            <w:tcW w:w="31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C9C2323">
            <w:pPr>
              <w:widowControl/>
              <w:spacing w:line="500" w:lineRule="exact"/>
              <w:textAlignment w:val="top"/>
              <w:rPr>
                <w:rFonts w:hint="eastAsia" w:ascii="仿宋" w:hAnsi="仿宋"/>
                <w:sz w:val="24"/>
                <w:szCs w:val="24"/>
              </w:rPr>
            </w:pPr>
            <w:r>
              <w:rPr>
                <w:rFonts w:hint="eastAsia" w:ascii="仿宋" w:hAnsi="仿宋"/>
                <w:color w:val="000000"/>
                <w:sz w:val="24"/>
                <w:szCs w:val="24"/>
                <w:lang w:bidi="ar"/>
              </w:rPr>
              <w:t>经营范围</w:t>
            </w:r>
          </w:p>
        </w:tc>
        <w:tc>
          <w:tcPr>
            <w:tcW w:w="5287"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14:paraId="411D3224">
            <w:pPr>
              <w:widowControl/>
              <w:spacing w:line="500" w:lineRule="exact"/>
              <w:textAlignment w:val="top"/>
              <w:rPr>
                <w:rFonts w:hint="eastAsia" w:ascii="仿宋" w:hAnsi="仿宋"/>
                <w:sz w:val="24"/>
                <w:szCs w:val="24"/>
              </w:rPr>
            </w:pPr>
            <w:r>
              <w:rPr>
                <w:rFonts w:hint="eastAsia" w:ascii="仿宋" w:hAnsi="仿宋"/>
                <w:color w:val="000000"/>
                <w:sz w:val="24"/>
                <w:szCs w:val="24"/>
                <w:lang w:val="en-US" w:eastAsia="zh-CN" w:bidi="ar"/>
              </w:rPr>
              <w:t>生产半导体材料；半导体材料的研发；销售电子产品、器件、元件及半导体材料；技术开发、技术转让、技术咨询、技术服务；货物进出口、技术进出口、代理进出口；设备租赁（不含行政许可的项目）</w:t>
            </w:r>
            <w:r>
              <w:rPr>
                <w:rFonts w:hint="eastAsia" w:ascii="仿宋" w:hAnsi="仿宋"/>
                <w:color w:val="000000"/>
                <w:sz w:val="24"/>
                <w:szCs w:val="24"/>
                <w:lang w:bidi="ar"/>
              </w:rPr>
              <w:t>。</w:t>
            </w:r>
          </w:p>
        </w:tc>
      </w:tr>
    </w:tbl>
    <w:p w14:paraId="1B34B2B1">
      <w:pPr>
        <w:pStyle w:val="5"/>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562" w:firstLineChars="200"/>
        <w:textAlignment w:val="top"/>
        <w:rPr>
          <w:rFonts w:hint="eastAsia" w:ascii="仿宋" w:hAnsi="仿宋"/>
          <w:b/>
          <w:bCs/>
          <w:sz w:val="28"/>
          <w:szCs w:val="28"/>
        </w:rPr>
      </w:pPr>
      <w:r>
        <w:rPr>
          <w:rFonts w:hint="eastAsia" w:ascii="仿宋" w:hAnsi="仿宋"/>
          <w:b/>
          <w:bCs/>
          <w:sz w:val="28"/>
          <w:szCs w:val="28"/>
        </w:rPr>
        <w:t>（二）股权结构情况</w:t>
      </w:r>
    </w:p>
    <w:p w14:paraId="201C9B67">
      <w:pPr>
        <w:keepNext w:val="0"/>
        <w:keepLines w:val="0"/>
        <w:pageBreakBefore w:val="0"/>
        <w:widowControl w:val="0"/>
        <w:kinsoku/>
        <w:wordWrap/>
        <w:overflowPunct/>
        <w:topLinePunct w:val="0"/>
        <w:autoSpaceDE/>
        <w:autoSpaceDN/>
        <w:bidi w:val="0"/>
        <w:adjustRightInd/>
        <w:snapToGrid/>
        <w:spacing w:line="600" w:lineRule="exact"/>
        <w:ind w:firstLine="562" w:firstLineChars="200"/>
        <w:rPr>
          <w:rFonts w:hint="default" w:ascii="仿宋" w:hAnsi="仿宋" w:eastAsia="仿宋"/>
          <w:sz w:val="28"/>
          <w:szCs w:val="28"/>
          <w:lang w:val="en-US" w:eastAsia="zh-CN"/>
        </w:rPr>
      </w:pPr>
      <w:r>
        <w:rPr>
          <w:rFonts w:hint="eastAsia" w:ascii="仿宋" w:hAnsi="仿宋"/>
          <w:b/>
          <w:bCs/>
          <w:sz w:val="28"/>
          <w:szCs w:val="28"/>
          <w:lang w:val="en-US" w:eastAsia="zh-CN"/>
        </w:rPr>
        <w:t>1.华进创威</w:t>
      </w:r>
    </w:p>
    <w:p w14:paraId="62A50E4B">
      <w:pPr>
        <w:keepNext w:val="0"/>
        <w:keepLines w:val="0"/>
        <w:pageBreakBefore w:val="0"/>
        <w:widowControl w:val="0"/>
        <w:kinsoku/>
        <w:wordWrap/>
        <w:overflowPunct/>
        <w:topLinePunct w:val="0"/>
        <w:autoSpaceDE/>
        <w:autoSpaceDN/>
        <w:bidi w:val="0"/>
        <w:adjustRightInd/>
        <w:snapToGrid/>
        <w:spacing w:line="600" w:lineRule="exact"/>
        <w:ind w:firstLine="560" w:firstLineChars="200"/>
        <w:rPr>
          <w:rFonts w:hint="eastAsia" w:ascii="仿宋" w:hAnsi="仿宋"/>
          <w:sz w:val="28"/>
          <w:szCs w:val="28"/>
          <w:lang w:val="en-US" w:eastAsia="zh-CN"/>
        </w:rPr>
      </w:pPr>
      <w:r>
        <w:rPr>
          <w:rFonts w:hint="eastAsia" w:ascii="仿宋" w:hAnsi="仿宋"/>
          <w:sz w:val="28"/>
          <w:szCs w:val="28"/>
          <w:lang w:val="en-US" w:eastAsia="zh-CN"/>
        </w:rPr>
        <w:t>华进创威股东共有1人，认缴出资额为5600万元，持股比例为100%。</w:t>
      </w:r>
    </w:p>
    <w:p w14:paraId="7CBA438A">
      <w:pPr>
        <w:keepNext w:val="0"/>
        <w:keepLines w:val="0"/>
        <w:pageBreakBefore w:val="0"/>
        <w:widowControl w:val="0"/>
        <w:kinsoku/>
        <w:wordWrap/>
        <w:overflowPunct/>
        <w:topLinePunct w:val="0"/>
        <w:autoSpaceDE/>
        <w:autoSpaceDN/>
        <w:bidi w:val="0"/>
        <w:adjustRightInd/>
        <w:snapToGrid/>
        <w:spacing w:line="600" w:lineRule="exact"/>
        <w:ind w:firstLine="562" w:firstLineChars="200"/>
        <w:rPr>
          <w:rFonts w:hint="eastAsia" w:ascii="仿宋" w:hAnsi="仿宋"/>
          <w:sz w:val="28"/>
          <w:szCs w:val="28"/>
        </w:rPr>
      </w:pPr>
      <w:r>
        <w:rPr>
          <w:rFonts w:hint="eastAsia" w:ascii="仿宋" w:hAnsi="仿宋"/>
          <w:b/>
          <w:bCs/>
          <w:sz w:val="28"/>
          <w:szCs w:val="28"/>
          <w:lang w:val="en-US" w:eastAsia="zh-CN"/>
        </w:rPr>
        <w:t>2.世纪金光</w:t>
      </w:r>
    </w:p>
    <w:p w14:paraId="4FB7F10A">
      <w:pPr>
        <w:keepNext w:val="0"/>
        <w:keepLines w:val="0"/>
        <w:pageBreakBefore w:val="0"/>
        <w:widowControl w:val="0"/>
        <w:kinsoku/>
        <w:wordWrap/>
        <w:overflowPunct/>
        <w:topLinePunct w:val="0"/>
        <w:autoSpaceDE/>
        <w:autoSpaceDN/>
        <w:bidi w:val="0"/>
        <w:adjustRightInd/>
        <w:snapToGrid/>
        <w:spacing w:line="600" w:lineRule="exact"/>
        <w:ind w:firstLine="560" w:firstLineChars="200"/>
        <w:rPr>
          <w:rFonts w:hint="eastAsia" w:ascii="仿宋" w:hAnsi="仿宋"/>
          <w:sz w:val="28"/>
          <w:szCs w:val="28"/>
        </w:rPr>
      </w:pPr>
      <w:r>
        <w:rPr>
          <w:rFonts w:hint="eastAsia" w:ascii="仿宋" w:hAnsi="仿宋"/>
          <w:sz w:val="28"/>
          <w:szCs w:val="28"/>
        </w:rPr>
        <w:t>世纪金光股东共有22人，具体股东及股权结构如下：</w:t>
      </w:r>
    </w:p>
    <w:p w14:paraId="5EA6E413">
      <w:pPr>
        <w:keepNext w:val="0"/>
        <w:keepLines w:val="0"/>
        <w:pageBreakBefore w:val="0"/>
        <w:widowControl w:val="0"/>
        <w:kinsoku/>
        <w:wordWrap/>
        <w:overflowPunct/>
        <w:topLinePunct w:val="0"/>
        <w:autoSpaceDE/>
        <w:autoSpaceDN/>
        <w:bidi w:val="0"/>
        <w:adjustRightInd/>
        <w:snapToGrid/>
        <w:spacing w:line="600" w:lineRule="exact"/>
        <w:ind w:firstLine="560" w:firstLineChars="200"/>
        <w:rPr>
          <w:rFonts w:hint="eastAsia" w:ascii="仿宋" w:hAnsi="仿宋"/>
          <w:sz w:val="28"/>
          <w:szCs w:val="28"/>
        </w:rPr>
      </w:pPr>
      <w:r>
        <w:rPr>
          <w:rFonts w:hint="eastAsia" w:ascii="仿宋" w:hAnsi="仿宋"/>
          <w:sz w:val="28"/>
          <w:szCs w:val="28"/>
          <w:lang w:eastAsia="zh-CN"/>
        </w:rPr>
        <w:t>（</w:t>
      </w:r>
      <w:r>
        <w:rPr>
          <w:rFonts w:hint="eastAsia" w:ascii="仿宋" w:hAnsi="仿宋"/>
          <w:sz w:val="28"/>
          <w:szCs w:val="28"/>
          <w:lang w:val="en-US" w:eastAsia="zh-CN"/>
        </w:rPr>
        <w:t>1</w:t>
      </w:r>
      <w:r>
        <w:rPr>
          <w:rFonts w:hint="eastAsia" w:ascii="仿宋" w:hAnsi="仿宋"/>
          <w:sz w:val="28"/>
          <w:szCs w:val="28"/>
          <w:lang w:eastAsia="zh-CN"/>
        </w:rPr>
        <w:t>）</w:t>
      </w:r>
      <w:r>
        <w:rPr>
          <w:rFonts w:hint="eastAsia" w:ascii="仿宋" w:hAnsi="仿宋"/>
          <w:sz w:val="28"/>
          <w:szCs w:val="28"/>
        </w:rPr>
        <w:t>李百泉，认缴出资额19391.18万元，持股比例52.2584%；</w:t>
      </w:r>
    </w:p>
    <w:p w14:paraId="438885C4">
      <w:pPr>
        <w:keepNext w:val="0"/>
        <w:keepLines w:val="0"/>
        <w:pageBreakBefore w:val="0"/>
        <w:widowControl w:val="0"/>
        <w:kinsoku/>
        <w:wordWrap/>
        <w:overflowPunct/>
        <w:topLinePunct w:val="0"/>
        <w:autoSpaceDE/>
        <w:autoSpaceDN/>
        <w:bidi w:val="0"/>
        <w:adjustRightInd/>
        <w:snapToGrid/>
        <w:spacing w:line="600" w:lineRule="exact"/>
        <w:ind w:firstLine="560" w:firstLineChars="200"/>
        <w:rPr>
          <w:rFonts w:hint="eastAsia" w:ascii="仿宋" w:hAnsi="仿宋"/>
          <w:sz w:val="28"/>
          <w:szCs w:val="28"/>
        </w:rPr>
      </w:pPr>
      <w:r>
        <w:rPr>
          <w:rFonts w:hint="eastAsia" w:ascii="仿宋" w:hAnsi="仿宋"/>
          <w:sz w:val="28"/>
          <w:szCs w:val="28"/>
          <w:lang w:eastAsia="zh-CN"/>
        </w:rPr>
        <w:t>（</w:t>
      </w:r>
      <w:r>
        <w:rPr>
          <w:rFonts w:hint="eastAsia" w:ascii="仿宋" w:hAnsi="仿宋"/>
          <w:sz w:val="28"/>
          <w:szCs w:val="28"/>
          <w:lang w:val="en-US" w:eastAsia="zh-CN"/>
        </w:rPr>
        <w:t>2</w:t>
      </w:r>
      <w:r>
        <w:rPr>
          <w:rFonts w:hint="eastAsia" w:ascii="仿宋" w:hAnsi="仿宋"/>
          <w:sz w:val="28"/>
          <w:szCs w:val="28"/>
          <w:lang w:eastAsia="zh-CN"/>
        </w:rPr>
        <w:t>）</w:t>
      </w:r>
      <w:r>
        <w:rPr>
          <w:rFonts w:hint="eastAsia" w:ascii="仿宋" w:hAnsi="仿宋"/>
          <w:sz w:val="28"/>
          <w:szCs w:val="28"/>
        </w:rPr>
        <w:t>北京易万亿投资管理中心（有限合伙），认缴出资额4691.2万元，持股比例12.6426%；</w:t>
      </w:r>
    </w:p>
    <w:p w14:paraId="67809A60">
      <w:pPr>
        <w:keepNext w:val="0"/>
        <w:keepLines w:val="0"/>
        <w:pageBreakBefore w:val="0"/>
        <w:widowControl w:val="0"/>
        <w:kinsoku/>
        <w:wordWrap/>
        <w:overflowPunct/>
        <w:topLinePunct w:val="0"/>
        <w:autoSpaceDE/>
        <w:autoSpaceDN/>
        <w:bidi w:val="0"/>
        <w:adjustRightInd/>
        <w:snapToGrid/>
        <w:spacing w:line="600" w:lineRule="exact"/>
        <w:ind w:firstLine="560" w:firstLineChars="200"/>
        <w:rPr>
          <w:rFonts w:hint="eastAsia" w:ascii="仿宋" w:hAnsi="仿宋"/>
          <w:sz w:val="28"/>
          <w:szCs w:val="28"/>
        </w:rPr>
      </w:pPr>
      <w:r>
        <w:rPr>
          <w:rFonts w:hint="eastAsia" w:ascii="仿宋" w:hAnsi="仿宋"/>
          <w:sz w:val="28"/>
          <w:szCs w:val="28"/>
          <w:lang w:eastAsia="zh-CN"/>
        </w:rPr>
        <w:t>（</w:t>
      </w:r>
      <w:r>
        <w:rPr>
          <w:rFonts w:hint="eastAsia" w:ascii="仿宋" w:hAnsi="仿宋"/>
          <w:sz w:val="28"/>
          <w:szCs w:val="28"/>
          <w:lang w:val="en-US" w:eastAsia="zh-CN"/>
        </w:rPr>
        <w:t>3</w:t>
      </w:r>
      <w:r>
        <w:rPr>
          <w:rFonts w:hint="eastAsia" w:ascii="仿宋" w:hAnsi="仿宋"/>
          <w:sz w:val="28"/>
          <w:szCs w:val="28"/>
          <w:lang w:eastAsia="zh-CN"/>
        </w:rPr>
        <w:t>）</w:t>
      </w:r>
      <w:r>
        <w:rPr>
          <w:rFonts w:hint="eastAsia" w:ascii="仿宋" w:hAnsi="仿宋"/>
          <w:sz w:val="28"/>
          <w:szCs w:val="28"/>
        </w:rPr>
        <w:t>国家集成电路产业投资基金股份有限公司，认缴出资额2957万元，持股比例7.9690%；</w:t>
      </w:r>
    </w:p>
    <w:p w14:paraId="4BAF3D79">
      <w:pPr>
        <w:keepNext w:val="0"/>
        <w:keepLines w:val="0"/>
        <w:pageBreakBefore w:val="0"/>
        <w:widowControl w:val="0"/>
        <w:kinsoku/>
        <w:wordWrap/>
        <w:overflowPunct/>
        <w:topLinePunct w:val="0"/>
        <w:autoSpaceDE/>
        <w:autoSpaceDN/>
        <w:bidi w:val="0"/>
        <w:adjustRightInd/>
        <w:snapToGrid/>
        <w:spacing w:line="600" w:lineRule="exact"/>
        <w:ind w:firstLine="560" w:firstLineChars="200"/>
        <w:rPr>
          <w:rFonts w:hint="eastAsia" w:ascii="仿宋" w:hAnsi="仿宋"/>
          <w:sz w:val="28"/>
          <w:szCs w:val="28"/>
        </w:rPr>
      </w:pPr>
      <w:r>
        <w:rPr>
          <w:rFonts w:hint="eastAsia" w:ascii="仿宋" w:hAnsi="仿宋"/>
          <w:sz w:val="28"/>
          <w:szCs w:val="28"/>
          <w:lang w:eastAsia="zh-CN"/>
        </w:rPr>
        <w:t>（</w:t>
      </w:r>
      <w:r>
        <w:rPr>
          <w:rFonts w:hint="eastAsia" w:ascii="仿宋" w:hAnsi="仿宋"/>
          <w:sz w:val="28"/>
          <w:szCs w:val="28"/>
          <w:lang w:val="en-US" w:eastAsia="zh-CN"/>
        </w:rPr>
        <w:t>4</w:t>
      </w:r>
      <w:r>
        <w:rPr>
          <w:rFonts w:hint="eastAsia" w:ascii="仿宋" w:hAnsi="仿宋"/>
          <w:sz w:val="28"/>
          <w:szCs w:val="28"/>
          <w:lang w:eastAsia="zh-CN"/>
        </w:rPr>
        <w:t>）</w:t>
      </w:r>
      <w:r>
        <w:rPr>
          <w:rFonts w:hint="eastAsia" w:ascii="仿宋" w:hAnsi="仿宋"/>
          <w:sz w:val="28"/>
          <w:szCs w:val="28"/>
        </w:rPr>
        <w:t>金华金义天鹰新兴产业投资合伙企业（有限合伙），认缴出资额为2537.57万元，持股比例6.8386%；</w:t>
      </w:r>
    </w:p>
    <w:p w14:paraId="1CD63AAD">
      <w:pPr>
        <w:keepNext w:val="0"/>
        <w:keepLines w:val="0"/>
        <w:pageBreakBefore w:val="0"/>
        <w:widowControl w:val="0"/>
        <w:kinsoku/>
        <w:wordWrap/>
        <w:overflowPunct/>
        <w:topLinePunct w:val="0"/>
        <w:autoSpaceDE/>
        <w:autoSpaceDN/>
        <w:bidi w:val="0"/>
        <w:adjustRightInd/>
        <w:snapToGrid/>
        <w:spacing w:line="600" w:lineRule="exact"/>
        <w:ind w:firstLine="560" w:firstLineChars="200"/>
        <w:rPr>
          <w:rFonts w:hint="eastAsia" w:ascii="仿宋" w:hAnsi="仿宋"/>
          <w:sz w:val="28"/>
          <w:szCs w:val="28"/>
        </w:rPr>
      </w:pPr>
      <w:r>
        <w:rPr>
          <w:rFonts w:hint="eastAsia" w:ascii="仿宋" w:hAnsi="仿宋"/>
          <w:sz w:val="28"/>
          <w:szCs w:val="28"/>
          <w:lang w:eastAsia="zh-CN"/>
        </w:rPr>
        <w:t>（</w:t>
      </w:r>
      <w:r>
        <w:rPr>
          <w:rFonts w:hint="eastAsia" w:ascii="仿宋" w:hAnsi="仿宋"/>
          <w:sz w:val="28"/>
          <w:szCs w:val="28"/>
          <w:lang w:val="en-US" w:eastAsia="zh-CN"/>
        </w:rPr>
        <w:t>5</w:t>
      </w:r>
      <w:r>
        <w:rPr>
          <w:rFonts w:hint="eastAsia" w:ascii="仿宋" w:hAnsi="仿宋"/>
          <w:sz w:val="28"/>
          <w:szCs w:val="28"/>
          <w:lang w:eastAsia="zh-CN"/>
        </w:rPr>
        <w:t>）</w:t>
      </w:r>
      <w:r>
        <w:rPr>
          <w:rFonts w:hint="eastAsia" w:ascii="仿宋" w:hAnsi="仿宋"/>
          <w:sz w:val="28"/>
          <w:szCs w:val="28"/>
        </w:rPr>
        <w:t>安徽省智能语音及人工智能创业投资合伙企业（有限合伙），认缴出资额为2156.11万元，持股比例5.8106%；</w:t>
      </w:r>
    </w:p>
    <w:p w14:paraId="6195D204">
      <w:pPr>
        <w:keepNext w:val="0"/>
        <w:keepLines w:val="0"/>
        <w:pageBreakBefore w:val="0"/>
        <w:widowControl w:val="0"/>
        <w:kinsoku/>
        <w:wordWrap/>
        <w:overflowPunct/>
        <w:topLinePunct w:val="0"/>
        <w:autoSpaceDE/>
        <w:autoSpaceDN/>
        <w:bidi w:val="0"/>
        <w:adjustRightInd/>
        <w:snapToGrid/>
        <w:spacing w:line="600" w:lineRule="exact"/>
        <w:ind w:firstLine="560" w:firstLineChars="200"/>
        <w:rPr>
          <w:rFonts w:hint="eastAsia" w:ascii="仿宋" w:hAnsi="仿宋"/>
          <w:sz w:val="28"/>
          <w:szCs w:val="28"/>
        </w:rPr>
      </w:pPr>
      <w:r>
        <w:rPr>
          <w:rFonts w:hint="eastAsia" w:ascii="仿宋" w:hAnsi="仿宋"/>
          <w:sz w:val="28"/>
          <w:szCs w:val="28"/>
          <w:lang w:eastAsia="zh-CN"/>
        </w:rPr>
        <w:t>（</w:t>
      </w:r>
      <w:r>
        <w:rPr>
          <w:rFonts w:hint="eastAsia" w:ascii="仿宋" w:hAnsi="仿宋"/>
          <w:sz w:val="28"/>
          <w:szCs w:val="28"/>
          <w:lang w:val="en-US" w:eastAsia="zh-CN"/>
        </w:rPr>
        <w:t>6</w:t>
      </w:r>
      <w:r>
        <w:rPr>
          <w:rFonts w:hint="eastAsia" w:ascii="仿宋" w:hAnsi="仿宋"/>
          <w:sz w:val="28"/>
          <w:szCs w:val="28"/>
          <w:lang w:eastAsia="zh-CN"/>
        </w:rPr>
        <w:t>）</w:t>
      </w:r>
      <w:r>
        <w:rPr>
          <w:rFonts w:hint="eastAsia" w:ascii="仿宋" w:hAnsi="仿宋"/>
          <w:sz w:val="28"/>
          <w:szCs w:val="28"/>
        </w:rPr>
        <w:t>上海聚源聚芯集成电路产业股权投资基金中心（有限合伙），认缴出资额为1416.43万元，持股比例3.8172%；</w:t>
      </w:r>
    </w:p>
    <w:p w14:paraId="4BA6D51E">
      <w:pPr>
        <w:keepNext w:val="0"/>
        <w:keepLines w:val="0"/>
        <w:pageBreakBefore w:val="0"/>
        <w:widowControl w:val="0"/>
        <w:kinsoku/>
        <w:wordWrap/>
        <w:overflowPunct/>
        <w:topLinePunct w:val="0"/>
        <w:autoSpaceDE/>
        <w:autoSpaceDN/>
        <w:bidi w:val="0"/>
        <w:adjustRightInd/>
        <w:snapToGrid/>
        <w:spacing w:line="600" w:lineRule="exact"/>
        <w:ind w:firstLine="560" w:firstLineChars="200"/>
        <w:rPr>
          <w:rFonts w:hint="eastAsia" w:ascii="仿宋" w:hAnsi="仿宋"/>
          <w:sz w:val="28"/>
          <w:szCs w:val="28"/>
        </w:rPr>
      </w:pPr>
      <w:r>
        <w:rPr>
          <w:rFonts w:hint="eastAsia" w:ascii="仿宋" w:hAnsi="仿宋"/>
          <w:sz w:val="28"/>
          <w:szCs w:val="28"/>
          <w:lang w:eastAsia="zh-CN"/>
        </w:rPr>
        <w:t>（</w:t>
      </w:r>
      <w:r>
        <w:rPr>
          <w:rFonts w:hint="eastAsia" w:ascii="仿宋" w:hAnsi="仿宋"/>
          <w:sz w:val="28"/>
          <w:szCs w:val="28"/>
          <w:lang w:val="en-US" w:eastAsia="zh-CN"/>
        </w:rPr>
        <w:t>7</w:t>
      </w:r>
      <w:r>
        <w:rPr>
          <w:rFonts w:hint="eastAsia" w:ascii="仿宋" w:hAnsi="仿宋"/>
          <w:sz w:val="28"/>
          <w:szCs w:val="28"/>
          <w:lang w:eastAsia="zh-CN"/>
        </w:rPr>
        <w:t>）</w:t>
      </w:r>
      <w:r>
        <w:rPr>
          <w:rFonts w:hint="eastAsia" w:ascii="仿宋" w:hAnsi="仿宋"/>
          <w:sz w:val="28"/>
          <w:szCs w:val="28"/>
        </w:rPr>
        <w:t>赣州睿溪科技咨询合伙企业（有限合伙），认缴出资额为461.38万元，持股比例1.2434%；</w:t>
      </w:r>
    </w:p>
    <w:p w14:paraId="5A4ACECB">
      <w:pPr>
        <w:keepNext w:val="0"/>
        <w:keepLines w:val="0"/>
        <w:pageBreakBefore w:val="0"/>
        <w:widowControl w:val="0"/>
        <w:kinsoku/>
        <w:wordWrap/>
        <w:overflowPunct/>
        <w:topLinePunct w:val="0"/>
        <w:autoSpaceDE/>
        <w:autoSpaceDN/>
        <w:bidi w:val="0"/>
        <w:adjustRightInd/>
        <w:snapToGrid/>
        <w:spacing w:line="600" w:lineRule="exact"/>
        <w:ind w:firstLine="560" w:firstLineChars="200"/>
        <w:rPr>
          <w:rFonts w:hint="eastAsia" w:ascii="仿宋" w:hAnsi="仿宋"/>
          <w:sz w:val="28"/>
          <w:szCs w:val="28"/>
        </w:rPr>
      </w:pPr>
      <w:r>
        <w:rPr>
          <w:rFonts w:hint="eastAsia" w:ascii="仿宋" w:hAnsi="仿宋"/>
          <w:sz w:val="28"/>
          <w:szCs w:val="28"/>
          <w:lang w:eastAsia="zh-CN"/>
        </w:rPr>
        <w:t>（</w:t>
      </w:r>
      <w:r>
        <w:rPr>
          <w:rFonts w:hint="eastAsia" w:ascii="仿宋" w:hAnsi="仿宋"/>
          <w:sz w:val="28"/>
          <w:szCs w:val="28"/>
          <w:lang w:val="en-US" w:eastAsia="zh-CN"/>
        </w:rPr>
        <w:t>8</w:t>
      </w:r>
      <w:r>
        <w:rPr>
          <w:rFonts w:hint="eastAsia" w:ascii="仿宋" w:hAnsi="仿宋"/>
          <w:sz w:val="28"/>
          <w:szCs w:val="28"/>
          <w:lang w:eastAsia="zh-CN"/>
        </w:rPr>
        <w:t>）</w:t>
      </w:r>
      <w:r>
        <w:rPr>
          <w:rFonts w:hint="eastAsia" w:ascii="仿宋" w:hAnsi="仿宋"/>
          <w:sz w:val="28"/>
          <w:szCs w:val="28"/>
        </w:rPr>
        <w:t>天津兴旺达企业管理咨询合伙企业（有限合伙），认缴出资额为449.84万元，持股比例1.2123%；</w:t>
      </w:r>
    </w:p>
    <w:p w14:paraId="02EC14FF">
      <w:pPr>
        <w:keepNext w:val="0"/>
        <w:keepLines w:val="0"/>
        <w:pageBreakBefore w:val="0"/>
        <w:widowControl w:val="0"/>
        <w:kinsoku/>
        <w:wordWrap/>
        <w:overflowPunct/>
        <w:topLinePunct w:val="0"/>
        <w:autoSpaceDE/>
        <w:autoSpaceDN/>
        <w:bidi w:val="0"/>
        <w:adjustRightInd/>
        <w:snapToGrid/>
        <w:spacing w:line="600" w:lineRule="exact"/>
        <w:ind w:firstLine="560" w:firstLineChars="200"/>
        <w:rPr>
          <w:rFonts w:hint="eastAsia" w:ascii="仿宋" w:hAnsi="仿宋"/>
          <w:sz w:val="28"/>
          <w:szCs w:val="28"/>
        </w:rPr>
      </w:pPr>
      <w:r>
        <w:rPr>
          <w:rFonts w:hint="eastAsia" w:ascii="仿宋" w:hAnsi="仿宋"/>
          <w:sz w:val="28"/>
          <w:szCs w:val="28"/>
          <w:lang w:eastAsia="zh-CN"/>
        </w:rPr>
        <w:t>（</w:t>
      </w:r>
      <w:r>
        <w:rPr>
          <w:rFonts w:hint="eastAsia" w:ascii="仿宋" w:hAnsi="仿宋"/>
          <w:sz w:val="28"/>
          <w:szCs w:val="28"/>
          <w:lang w:val="en-US" w:eastAsia="zh-CN"/>
        </w:rPr>
        <w:t>9</w:t>
      </w:r>
      <w:r>
        <w:rPr>
          <w:rFonts w:hint="eastAsia" w:ascii="仿宋" w:hAnsi="仿宋"/>
          <w:sz w:val="28"/>
          <w:szCs w:val="28"/>
          <w:lang w:eastAsia="zh-CN"/>
        </w:rPr>
        <w:t>）</w:t>
      </w:r>
      <w:r>
        <w:rPr>
          <w:rFonts w:hint="eastAsia" w:ascii="仿宋" w:hAnsi="仿宋"/>
          <w:sz w:val="28"/>
          <w:szCs w:val="28"/>
        </w:rPr>
        <w:t>北京博奥华泰投资有限公司，认缴出资额为431.22万元，持股比例1.1621%；</w:t>
      </w:r>
    </w:p>
    <w:p w14:paraId="35EE268C">
      <w:pPr>
        <w:keepNext w:val="0"/>
        <w:keepLines w:val="0"/>
        <w:pageBreakBefore w:val="0"/>
        <w:widowControl w:val="0"/>
        <w:kinsoku/>
        <w:wordWrap/>
        <w:overflowPunct/>
        <w:topLinePunct w:val="0"/>
        <w:autoSpaceDE/>
        <w:autoSpaceDN/>
        <w:bidi w:val="0"/>
        <w:adjustRightInd/>
        <w:snapToGrid/>
        <w:spacing w:line="600" w:lineRule="exact"/>
        <w:ind w:firstLine="560" w:firstLineChars="200"/>
        <w:rPr>
          <w:rFonts w:hint="eastAsia" w:ascii="仿宋" w:hAnsi="仿宋"/>
          <w:sz w:val="28"/>
          <w:szCs w:val="28"/>
        </w:rPr>
      </w:pPr>
      <w:r>
        <w:rPr>
          <w:rFonts w:hint="eastAsia" w:ascii="仿宋" w:hAnsi="仿宋"/>
          <w:sz w:val="28"/>
          <w:szCs w:val="28"/>
          <w:lang w:eastAsia="zh-CN"/>
        </w:rPr>
        <w:t>（</w:t>
      </w:r>
      <w:r>
        <w:rPr>
          <w:rFonts w:hint="eastAsia" w:ascii="仿宋" w:hAnsi="仿宋"/>
          <w:sz w:val="28"/>
          <w:szCs w:val="28"/>
          <w:lang w:val="en-US" w:eastAsia="zh-CN"/>
        </w:rPr>
        <w:t>10</w:t>
      </w:r>
      <w:r>
        <w:rPr>
          <w:rFonts w:hint="eastAsia" w:ascii="仿宋" w:hAnsi="仿宋"/>
          <w:sz w:val="28"/>
          <w:szCs w:val="28"/>
          <w:lang w:eastAsia="zh-CN"/>
        </w:rPr>
        <w:t>）</w:t>
      </w:r>
      <w:r>
        <w:rPr>
          <w:rFonts w:hint="eastAsia" w:ascii="仿宋" w:hAnsi="仿宋"/>
          <w:sz w:val="28"/>
          <w:szCs w:val="28"/>
        </w:rPr>
        <w:t>日照市水之仁股权投资基金中心（有限合伙），认缴出资额为384.48万元，持股比例1.0362%；</w:t>
      </w:r>
    </w:p>
    <w:p w14:paraId="0C498D46">
      <w:pPr>
        <w:keepNext w:val="0"/>
        <w:keepLines w:val="0"/>
        <w:pageBreakBefore w:val="0"/>
        <w:widowControl w:val="0"/>
        <w:kinsoku/>
        <w:wordWrap/>
        <w:overflowPunct/>
        <w:topLinePunct w:val="0"/>
        <w:autoSpaceDE/>
        <w:autoSpaceDN/>
        <w:bidi w:val="0"/>
        <w:adjustRightInd/>
        <w:snapToGrid/>
        <w:spacing w:line="600" w:lineRule="exact"/>
        <w:ind w:firstLine="560" w:firstLineChars="200"/>
        <w:rPr>
          <w:rFonts w:hint="eastAsia" w:ascii="仿宋" w:hAnsi="仿宋"/>
          <w:sz w:val="28"/>
          <w:szCs w:val="28"/>
        </w:rPr>
      </w:pPr>
      <w:r>
        <w:rPr>
          <w:rFonts w:hint="eastAsia" w:ascii="仿宋" w:hAnsi="仿宋"/>
          <w:sz w:val="28"/>
          <w:szCs w:val="28"/>
          <w:lang w:eastAsia="zh-CN"/>
        </w:rPr>
        <w:t>（</w:t>
      </w:r>
      <w:r>
        <w:rPr>
          <w:rFonts w:hint="eastAsia" w:ascii="仿宋" w:hAnsi="仿宋"/>
          <w:sz w:val="28"/>
          <w:szCs w:val="28"/>
          <w:lang w:val="en-US" w:eastAsia="zh-CN"/>
        </w:rPr>
        <w:t>11</w:t>
      </w:r>
      <w:r>
        <w:rPr>
          <w:rFonts w:hint="eastAsia" w:ascii="仿宋" w:hAnsi="仿宋"/>
          <w:sz w:val="28"/>
          <w:szCs w:val="28"/>
          <w:lang w:eastAsia="zh-CN"/>
        </w:rPr>
        <w:t>）</w:t>
      </w:r>
      <w:r>
        <w:rPr>
          <w:rFonts w:hint="eastAsia" w:ascii="仿宋" w:hAnsi="仿宋"/>
          <w:sz w:val="28"/>
          <w:szCs w:val="28"/>
        </w:rPr>
        <w:t>徐州裕之泽科技咨询合伙企业（有限合伙），认缴出资额为307.58万元，持股比例0.8289%；</w:t>
      </w:r>
    </w:p>
    <w:p w14:paraId="7CBD7AB0">
      <w:pPr>
        <w:keepNext w:val="0"/>
        <w:keepLines w:val="0"/>
        <w:pageBreakBefore w:val="0"/>
        <w:widowControl w:val="0"/>
        <w:kinsoku/>
        <w:wordWrap/>
        <w:overflowPunct/>
        <w:topLinePunct w:val="0"/>
        <w:autoSpaceDE/>
        <w:autoSpaceDN/>
        <w:bidi w:val="0"/>
        <w:adjustRightInd/>
        <w:snapToGrid/>
        <w:spacing w:line="600" w:lineRule="exact"/>
        <w:ind w:firstLine="560" w:firstLineChars="200"/>
        <w:rPr>
          <w:rFonts w:hint="eastAsia" w:ascii="仿宋" w:hAnsi="仿宋"/>
          <w:sz w:val="28"/>
          <w:szCs w:val="28"/>
        </w:rPr>
      </w:pPr>
      <w:r>
        <w:rPr>
          <w:rFonts w:hint="eastAsia" w:ascii="仿宋" w:hAnsi="仿宋"/>
          <w:sz w:val="28"/>
          <w:szCs w:val="28"/>
          <w:lang w:eastAsia="zh-CN"/>
        </w:rPr>
        <w:t>（</w:t>
      </w:r>
      <w:r>
        <w:rPr>
          <w:rFonts w:hint="eastAsia" w:ascii="仿宋" w:hAnsi="仿宋"/>
          <w:sz w:val="28"/>
          <w:szCs w:val="28"/>
          <w:lang w:val="en-US" w:eastAsia="zh-CN"/>
        </w:rPr>
        <w:t>12</w:t>
      </w:r>
      <w:r>
        <w:rPr>
          <w:rFonts w:hint="eastAsia" w:ascii="仿宋" w:hAnsi="仿宋"/>
          <w:sz w:val="28"/>
          <w:szCs w:val="28"/>
          <w:lang w:eastAsia="zh-CN"/>
        </w:rPr>
        <w:t>）</w:t>
      </w:r>
      <w:r>
        <w:rPr>
          <w:rFonts w:hint="eastAsia" w:ascii="仿宋" w:hAnsi="仿宋"/>
          <w:sz w:val="28"/>
          <w:szCs w:val="28"/>
        </w:rPr>
        <w:t>深圳大河德化投资中心（有限合伙），认缴出资额为292.2万元，持股比例0.7875%；</w:t>
      </w:r>
    </w:p>
    <w:p w14:paraId="0C189DFD">
      <w:pPr>
        <w:keepNext w:val="0"/>
        <w:keepLines w:val="0"/>
        <w:pageBreakBefore w:val="0"/>
        <w:widowControl w:val="0"/>
        <w:kinsoku/>
        <w:wordWrap/>
        <w:overflowPunct/>
        <w:topLinePunct w:val="0"/>
        <w:autoSpaceDE/>
        <w:autoSpaceDN/>
        <w:bidi w:val="0"/>
        <w:adjustRightInd/>
        <w:snapToGrid/>
        <w:spacing w:line="600" w:lineRule="exact"/>
        <w:ind w:firstLine="560" w:firstLineChars="200"/>
        <w:rPr>
          <w:rFonts w:hint="eastAsia" w:ascii="仿宋" w:hAnsi="仿宋"/>
          <w:sz w:val="28"/>
          <w:szCs w:val="28"/>
        </w:rPr>
      </w:pPr>
      <w:r>
        <w:rPr>
          <w:rFonts w:hint="eastAsia" w:ascii="仿宋" w:hAnsi="仿宋"/>
          <w:sz w:val="28"/>
          <w:szCs w:val="28"/>
          <w:lang w:eastAsia="zh-CN"/>
        </w:rPr>
        <w:t>（</w:t>
      </w:r>
      <w:r>
        <w:rPr>
          <w:rFonts w:hint="eastAsia" w:ascii="仿宋" w:hAnsi="仿宋"/>
          <w:sz w:val="28"/>
          <w:szCs w:val="28"/>
          <w:lang w:val="en-US" w:eastAsia="zh-CN"/>
        </w:rPr>
        <w:t>13</w:t>
      </w:r>
      <w:r>
        <w:rPr>
          <w:rFonts w:hint="eastAsia" w:ascii="仿宋" w:hAnsi="仿宋"/>
          <w:sz w:val="28"/>
          <w:szCs w:val="28"/>
          <w:lang w:eastAsia="zh-CN"/>
        </w:rPr>
        <w:t>）</w:t>
      </w:r>
      <w:r>
        <w:rPr>
          <w:rFonts w:hint="eastAsia" w:ascii="仿宋" w:hAnsi="仿宋"/>
          <w:sz w:val="28"/>
          <w:szCs w:val="28"/>
        </w:rPr>
        <w:t>上海豫鸿资产管理中心（有限合伙），认缴出资额为276.82万元，持股比例0.7460%；</w:t>
      </w:r>
    </w:p>
    <w:p w14:paraId="2771A3B1">
      <w:pPr>
        <w:keepNext w:val="0"/>
        <w:keepLines w:val="0"/>
        <w:pageBreakBefore w:val="0"/>
        <w:widowControl w:val="0"/>
        <w:kinsoku/>
        <w:wordWrap/>
        <w:overflowPunct/>
        <w:topLinePunct w:val="0"/>
        <w:autoSpaceDE/>
        <w:autoSpaceDN/>
        <w:bidi w:val="0"/>
        <w:adjustRightInd/>
        <w:snapToGrid/>
        <w:spacing w:line="600" w:lineRule="exact"/>
        <w:ind w:firstLine="560" w:firstLineChars="200"/>
        <w:rPr>
          <w:rFonts w:hint="eastAsia" w:ascii="仿宋" w:hAnsi="仿宋"/>
          <w:sz w:val="28"/>
          <w:szCs w:val="28"/>
        </w:rPr>
      </w:pPr>
      <w:r>
        <w:rPr>
          <w:rFonts w:hint="eastAsia" w:ascii="仿宋" w:hAnsi="仿宋"/>
          <w:sz w:val="28"/>
          <w:szCs w:val="28"/>
          <w:lang w:eastAsia="zh-CN"/>
        </w:rPr>
        <w:t>（</w:t>
      </w:r>
      <w:r>
        <w:rPr>
          <w:rFonts w:hint="eastAsia" w:ascii="仿宋" w:hAnsi="仿宋"/>
          <w:sz w:val="28"/>
          <w:szCs w:val="28"/>
          <w:lang w:val="en-US" w:eastAsia="zh-CN"/>
        </w:rPr>
        <w:t>14</w:t>
      </w:r>
      <w:r>
        <w:rPr>
          <w:rFonts w:hint="eastAsia" w:ascii="仿宋" w:hAnsi="仿宋"/>
          <w:sz w:val="28"/>
          <w:szCs w:val="28"/>
          <w:lang w:eastAsia="zh-CN"/>
        </w:rPr>
        <w:t>）</w:t>
      </w:r>
      <w:r>
        <w:rPr>
          <w:rFonts w:hint="eastAsia" w:ascii="仿宋" w:hAnsi="仿宋"/>
          <w:sz w:val="28"/>
          <w:szCs w:val="28"/>
        </w:rPr>
        <w:t>合肥市产业投促创业投资基金一期合伙企业（有限合伙），认缴出资额为230.96万元，持股比例0.6224%；</w:t>
      </w:r>
    </w:p>
    <w:p w14:paraId="4DA17A4B">
      <w:pPr>
        <w:keepNext w:val="0"/>
        <w:keepLines w:val="0"/>
        <w:pageBreakBefore w:val="0"/>
        <w:widowControl w:val="0"/>
        <w:kinsoku/>
        <w:wordWrap/>
        <w:overflowPunct/>
        <w:topLinePunct w:val="0"/>
        <w:autoSpaceDE/>
        <w:autoSpaceDN/>
        <w:bidi w:val="0"/>
        <w:adjustRightInd/>
        <w:snapToGrid/>
        <w:spacing w:line="600" w:lineRule="exact"/>
        <w:ind w:firstLine="560" w:firstLineChars="200"/>
        <w:rPr>
          <w:rFonts w:hint="eastAsia" w:ascii="仿宋" w:hAnsi="仿宋"/>
          <w:sz w:val="28"/>
          <w:szCs w:val="28"/>
        </w:rPr>
      </w:pPr>
      <w:r>
        <w:rPr>
          <w:rFonts w:hint="eastAsia" w:ascii="仿宋" w:hAnsi="仿宋"/>
          <w:sz w:val="28"/>
          <w:szCs w:val="28"/>
          <w:lang w:eastAsia="zh-CN"/>
        </w:rPr>
        <w:t>（</w:t>
      </w:r>
      <w:r>
        <w:rPr>
          <w:rFonts w:hint="eastAsia" w:ascii="仿宋" w:hAnsi="仿宋"/>
          <w:sz w:val="28"/>
          <w:szCs w:val="28"/>
          <w:lang w:val="en-US" w:eastAsia="zh-CN"/>
        </w:rPr>
        <w:t>15</w:t>
      </w:r>
      <w:r>
        <w:rPr>
          <w:rFonts w:hint="eastAsia" w:ascii="仿宋" w:hAnsi="仿宋"/>
          <w:sz w:val="28"/>
          <w:szCs w:val="28"/>
          <w:lang w:eastAsia="zh-CN"/>
        </w:rPr>
        <w:t>）</w:t>
      </w:r>
      <w:r>
        <w:rPr>
          <w:rFonts w:hint="eastAsia" w:ascii="仿宋" w:hAnsi="仿宋"/>
          <w:sz w:val="28"/>
          <w:szCs w:val="28"/>
        </w:rPr>
        <w:t>杭州富阳鑫盛瓴泓股权投资合伙企业（有限合伙），认缴出资额为200万元，持股比例0.5390%；</w:t>
      </w:r>
    </w:p>
    <w:p w14:paraId="46DD638A">
      <w:pPr>
        <w:keepNext w:val="0"/>
        <w:keepLines w:val="0"/>
        <w:pageBreakBefore w:val="0"/>
        <w:widowControl w:val="0"/>
        <w:kinsoku/>
        <w:wordWrap/>
        <w:overflowPunct/>
        <w:topLinePunct w:val="0"/>
        <w:autoSpaceDE/>
        <w:autoSpaceDN/>
        <w:bidi w:val="0"/>
        <w:adjustRightInd/>
        <w:snapToGrid/>
        <w:spacing w:line="600" w:lineRule="exact"/>
        <w:ind w:firstLine="560" w:firstLineChars="200"/>
        <w:rPr>
          <w:rFonts w:hint="eastAsia" w:ascii="仿宋" w:hAnsi="仿宋"/>
          <w:sz w:val="28"/>
          <w:szCs w:val="28"/>
        </w:rPr>
      </w:pPr>
      <w:r>
        <w:rPr>
          <w:rFonts w:hint="eastAsia" w:ascii="仿宋" w:hAnsi="仿宋"/>
          <w:sz w:val="28"/>
          <w:szCs w:val="28"/>
          <w:lang w:eastAsia="zh-CN"/>
        </w:rPr>
        <w:t>（</w:t>
      </w:r>
      <w:r>
        <w:rPr>
          <w:rFonts w:hint="eastAsia" w:ascii="仿宋" w:hAnsi="仿宋"/>
          <w:sz w:val="28"/>
          <w:szCs w:val="28"/>
          <w:lang w:val="en-US" w:eastAsia="zh-CN"/>
        </w:rPr>
        <w:t>16</w:t>
      </w:r>
      <w:r>
        <w:rPr>
          <w:rFonts w:hint="eastAsia" w:ascii="仿宋" w:hAnsi="仿宋"/>
          <w:sz w:val="28"/>
          <w:szCs w:val="28"/>
          <w:lang w:eastAsia="zh-CN"/>
        </w:rPr>
        <w:t>）</w:t>
      </w:r>
      <w:r>
        <w:rPr>
          <w:rFonts w:hint="eastAsia" w:ascii="仿宋" w:hAnsi="仿宋"/>
          <w:sz w:val="28"/>
          <w:szCs w:val="28"/>
        </w:rPr>
        <w:t>徐州市辉霖管理咨询合伙企业（有限合伙），认缴出资额为200万元，持股比例0.5390%；</w:t>
      </w:r>
    </w:p>
    <w:p w14:paraId="36408C3C">
      <w:pPr>
        <w:keepNext w:val="0"/>
        <w:keepLines w:val="0"/>
        <w:pageBreakBefore w:val="0"/>
        <w:widowControl w:val="0"/>
        <w:kinsoku/>
        <w:wordWrap/>
        <w:overflowPunct/>
        <w:topLinePunct w:val="0"/>
        <w:autoSpaceDE/>
        <w:autoSpaceDN/>
        <w:bidi w:val="0"/>
        <w:adjustRightInd/>
        <w:snapToGrid/>
        <w:spacing w:line="600" w:lineRule="exact"/>
        <w:ind w:firstLine="560" w:firstLineChars="200"/>
        <w:rPr>
          <w:rFonts w:hint="eastAsia" w:ascii="仿宋" w:hAnsi="仿宋"/>
          <w:sz w:val="28"/>
          <w:szCs w:val="28"/>
        </w:rPr>
      </w:pPr>
      <w:r>
        <w:rPr>
          <w:rFonts w:hint="eastAsia" w:ascii="仿宋" w:hAnsi="仿宋"/>
          <w:sz w:val="28"/>
          <w:szCs w:val="28"/>
          <w:lang w:eastAsia="zh-CN"/>
        </w:rPr>
        <w:t>（</w:t>
      </w:r>
      <w:r>
        <w:rPr>
          <w:rFonts w:hint="eastAsia" w:ascii="仿宋" w:hAnsi="仿宋"/>
          <w:sz w:val="28"/>
          <w:szCs w:val="28"/>
          <w:lang w:val="en-US" w:eastAsia="zh-CN"/>
        </w:rPr>
        <w:t>17</w:t>
      </w:r>
      <w:r>
        <w:rPr>
          <w:rFonts w:hint="eastAsia" w:ascii="仿宋" w:hAnsi="仿宋"/>
          <w:sz w:val="28"/>
          <w:szCs w:val="28"/>
          <w:lang w:eastAsia="zh-CN"/>
        </w:rPr>
        <w:t>）</w:t>
      </w:r>
      <w:r>
        <w:rPr>
          <w:rFonts w:hint="eastAsia" w:ascii="仿宋" w:hAnsi="仿宋"/>
          <w:sz w:val="28"/>
          <w:szCs w:val="28"/>
        </w:rPr>
        <w:t>平顶山林纶企业管理咨询合伙企业（有限合伙），认缴出资额为200万元，持股比例0.5390%；</w:t>
      </w:r>
    </w:p>
    <w:p w14:paraId="6550B13C">
      <w:pPr>
        <w:keepNext w:val="0"/>
        <w:keepLines w:val="0"/>
        <w:pageBreakBefore w:val="0"/>
        <w:widowControl w:val="0"/>
        <w:kinsoku/>
        <w:wordWrap/>
        <w:overflowPunct/>
        <w:topLinePunct w:val="0"/>
        <w:autoSpaceDE/>
        <w:autoSpaceDN/>
        <w:bidi w:val="0"/>
        <w:adjustRightInd/>
        <w:snapToGrid/>
        <w:spacing w:line="600" w:lineRule="exact"/>
        <w:ind w:firstLine="560" w:firstLineChars="200"/>
        <w:rPr>
          <w:rFonts w:hint="eastAsia" w:ascii="仿宋" w:hAnsi="仿宋"/>
          <w:sz w:val="28"/>
          <w:szCs w:val="28"/>
        </w:rPr>
      </w:pPr>
      <w:r>
        <w:rPr>
          <w:rFonts w:hint="eastAsia" w:ascii="仿宋" w:hAnsi="仿宋"/>
          <w:sz w:val="28"/>
          <w:szCs w:val="28"/>
          <w:lang w:eastAsia="zh-CN"/>
        </w:rPr>
        <w:t>（</w:t>
      </w:r>
      <w:r>
        <w:rPr>
          <w:rFonts w:hint="eastAsia" w:ascii="仿宋" w:hAnsi="仿宋"/>
          <w:sz w:val="28"/>
          <w:szCs w:val="28"/>
          <w:lang w:val="en-US" w:eastAsia="zh-CN"/>
        </w:rPr>
        <w:t>18</w:t>
      </w:r>
      <w:r>
        <w:rPr>
          <w:rFonts w:hint="eastAsia" w:ascii="仿宋" w:hAnsi="仿宋"/>
          <w:sz w:val="28"/>
          <w:szCs w:val="28"/>
          <w:lang w:eastAsia="zh-CN"/>
        </w:rPr>
        <w:t>）</w:t>
      </w:r>
      <w:r>
        <w:rPr>
          <w:rFonts w:hint="eastAsia" w:ascii="仿宋" w:hAnsi="仿宋"/>
          <w:sz w:val="28"/>
          <w:szCs w:val="28"/>
        </w:rPr>
        <w:t>青岛沐之瑞股权投资合伙企业（有限合伙），认缴出资额为153.8万元，持股比例0.4145%；</w:t>
      </w:r>
    </w:p>
    <w:p w14:paraId="63AC4A06">
      <w:pPr>
        <w:keepNext w:val="0"/>
        <w:keepLines w:val="0"/>
        <w:pageBreakBefore w:val="0"/>
        <w:widowControl w:val="0"/>
        <w:kinsoku/>
        <w:wordWrap/>
        <w:overflowPunct/>
        <w:topLinePunct w:val="0"/>
        <w:autoSpaceDE/>
        <w:autoSpaceDN/>
        <w:bidi w:val="0"/>
        <w:adjustRightInd/>
        <w:snapToGrid/>
        <w:spacing w:line="600" w:lineRule="exact"/>
        <w:ind w:firstLine="560" w:firstLineChars="200"/>
        <w:rPr>
          <w:rFonts w:hint="eastAsia" w:ascii="仿宋" w:hAnsi="仿宋"/>
          <w:sz w:val="28"/>
          <w:szCs w:val="28"/>
        </w:rPr>
      </w:pPr>
      <w:r>
        <w:rPr>
          <w:rFonts w:hint="eastAsia" w:ascii="仿宋" w:hAnsi="仿宋"/>
          <w:sz w:val="28"/>
          <w:szCs w:val="28"/>
          <w:lang w:eastAsia="zh-CN"/>
        </w:rPr>
        <w:t>（</w:t>
      </w:r>
      <w:r>
        <w:rPr>
          <w:rFonts w:hint="eastAsia" w:ascii="仿宋" w:hAnsi="仿宋"/>
          <w:sz w:val="28"/>
          <w:szCs w:val="28"/>
          <w:lang w:val="en-US" w:eastAsia="zh-CN"/>
        </w:rPr>
        <w:t>19</w:t>
      </w:r>
      <w:r>
        <w:rPr>
          <w:rFonts w:hint="eastAsia" w:ascii="仿宋" w:hAnsi="仿宋"/>
          <w:sz w:val="28"/>
          <w:szCs w:val="28"/>
          <w:lang w:eastAsia="zh-CN"/>
        </w:rPr>
        <w:t>）</w:t>
      </w:r>
      <w:r>
        <w:rPr>
          <w:rFonts w:hint="eastAsia" w:ascii="仿宋" w:hAnsi="仿宋"/>
          <w:sz w:val="28"/>
          <w:szCs w:val="28"/>
        </w:rPr>
        <w:t>北京轻舟互联投资中心（有限合伙），认缴出资额为141.64万元，持股比例0.3817%；</w:t>
      </w:r>
    </w:p>
    <w:p w14:paraId="63A0B25A">
      <w:pPr>
        <w:keepNext w:val="0"/>
        <w:keepLines w:val="0"/>
        <w:pageBreakBefore w:val="0"/>
        <w:widowControl w:val="0"/>
        <w:kinsoku/>
        <w:wordWrap/>
        <w:overflowPunct/>
        <w:topLinePunct w:val="0"/>
        <w:autoSpaceDE/>
        <w:autoSpaceDN/>
        <w:bidi w:val="0"/>
        <w:adjustRightInd/>
        <w:snapToGrid/>
        <w:spacing w:line="600" w:lineRule="exact"/>
        <w:ind w:firstLine="560" w:firstLineChars="200"/>
        <w:rPr>
          <w:rFonts w:hint="eastAsia" w:ascii="仿宋" w:hAnsi="仿宋"/>
          <w:sz w:val="28"/>
          <w:szCs w:val="28"/>
        </w:rPr>
      </w:pPr>
      <w:r>
        <w:rPr>
          <w:rFonts w:hint="eastAsia" w:ascii="仿宋" w:hAnsi="仿宋"/>
          <w:sz w:val="28"/>
          <w:szCs w:val="28"/>
          <w:lang w:eastAsia="zh-CN"/>
        </w:rPr>
        <w:t>（</w:t>
      </w:r>
      <w:r>
        <w:rPr>
          <w:rFonts w:hint="eastAsia" w:ascii="仿宋" w:hAnsi="仿宋"/>
          <w:sz w:val="28"/>
          <w:szCs w:val="28"/>
          <w:lang w:val="en-US" w:eastAsia="zh-CN"/>
        </w:rPr>
        <w:t>20</w:t>
      </w:r>
      <w:r>
        <w:rPr>
          <w:rFonts w:hint="eastAsia" w:ascii="仿宋" w:hAnsi="仿宋"/>
          <w:sz w:val="28"/>
          <w:szCs w:val="28"/>
          <w:lang w:eastAsia="zh-CN"/>
        </w:rPr>
        <w:t>）</w:t>
      </w:r>
      <w:r>
        <w:rPr>
          <w:rFonts w:hint="eastAsia" w:ascii="仿宋" w:hAnsi="仿宋"/>
          <w:sz w:val="28"/>
          <w:szCs w:val="28"/>
        </w:rPr>
        <w:t>邱永新，认缴出资额为100万元，持股比例0.2695%；</w:t>
      </w:r>
    </w:p>
    <w:p w14:paraId="26E70F4C">
      <w:pPr>
        <w:keepNext w:val="0"/>
        <w:keepLines w:val="0"/>
        <w:pageBreakBefore w:val="0"/>
        <w:widowControl w:val="0"/>
        <w:kinsoku/>
        <w:wordWrap/>
        <w:overflowPunct/>
        <w:topLinePunct w:val="0"/>
        <w:autoSpaceDE/>
        <w:autoSpaceDN/>
        <w:bidi w:val="0"/>
        <w:adjustRightInd/>
        <w:snapToGrid/>
        <w:spacing w:line="600" w:lineRule="exact"/>
        <w:ind w:firstLine="560" w:firstLineChars="200"/>
        <w:rPr>
          <w:rFonts w:hint="eastAsia" w:ascii="仿宋" w:hAnsi="仿宋"/>
          <w:sz w:val="28"/>
          <w:szCs w:val="28"/>
        </w:rPr>
      </w:pPr>
      <w:r>
        <w:rPr>
          <w:rFonts w:hint="eastAsia" w:ascii="仿宋" w:hAnsi="仿宋"/>
          <w:sz w:val="28"/>
          <w:szCs w:val="28"/>
          <w:lang w:eastAsia="zh-CN"/>
        </w:rPr>
        <w:t>（</w:t>
      </w:r>
      <w:r>
        <w:rPr>
          <w:rFonts w:hint="eastAsia" w:ascii="仿宋" w:hAnsi="仿宋"/>
          <w:sz w:val="28"/>
          <w:szCs w:val="28"/>
          <w:lang w:val="en-US" w:eastAsia="zh-CN"/>
        </w:rPr>
        <w:t>21</w:t>
      </w:r>
      <w:r>
        <w:rPr>
          <w:rFonts w:hint="eastAsia" w:ascii="仿宋" w:hAnsi="仿宋"/>
          <w:sz w:val="28"/>
          <w:szCs w:val="28"/>
          <w:lang w:eastAsia="zh-CN"/>
        </w:rPr>
        <w:t>）</w:t>
      </w:r>
      <w:r>
        <w:rPr>
          <w:rFonts w:hint="eastAsia" w:ascii="仿宋" w:hAnsi="仿宋"/>
          <w:sz w:val="28"/>
          <w:szCs w:val="28"/>
        </w:rPr>
        <w:t>河南大河景泰资产管理中心（有限合伙），认缴出资额为76.9万元，持股比例0.2072%；</w:t>
      </w:r>
    </w:p>
    <w:p w14:paraId="09429FF8">
      <w:pPr>
        <w:keepNext w:val="0"/>
        <w:keepLines w:val="0"/>
        <w:pageBreakBefore w:val="0"/>
        <w:widowControl w:val="0"/>
        <w:kinsoku/>
        <w:wordWrap/>
        <w:overflowPunct/>
        <w:topLinePunct w:val="0"/>
        <w:autoSpaceDE/>
        <w:autoSpaceDN/>
        <w:bidi w:val="0"/>
        <w:adjustRightInd/>
        <w:snapToGrid/>
        <w:spacing w:line="600" w:lineRule="exact"/>
        <w:ind w:firstLine="560" w:firstLineChars="200"/>
        <w:rPr>
          <w:rFonts w:hint="eastAsia" w:ascii="仿宋" w:hAnsi="仿宋"/>
          <w:sz w:val="28"/>
          <w:szCs w:val="28"/>
        </w:rPr>
      </w:pPr>
      <w:r>
        <w:rPr>
          <w:rFonts w:hint="eastAsia" w:ascii="仿宋" w:hAnsi="仿宋"/>
          <w:sz w:val="28"/>
          <w:szCs w:val="28"/>
          <w:lang w:eastAsia="zh-CN"/>
        </w:rPr>
        <w:t>（</w:t>
      </w:r>
      <w:r>
        <w:rPr>
          <w:rFonts w:hint="eastAsia" w:ascii="仿宋" w:hAnsi="仿宋"/>
          <w:sz w:val="28"/>
          <w:szCs w:val="28"/>
          <w:lang w:val="en-US" w:eastAsia="zh-CN"/>
        </w:rPr>
        <w:t>22</w:t>
      </w:r>
      <w:r>
        <w:rPr>
          <w:rFonts w:hint="eastAsia" w:ascii="仿宋" w:hAnsi="仿宋"/>
          <w:sz w:val="28"/>
          <w:szCs w:val="28"/>
          <w:lang w:eastAsia="zh-CN"/>
        </w:rPr>
        <w:t>）</w:t>
      </w:r>
      <w:r>
        <w:rPr>
          <w:rFonts w:hint="eastAsia" w:ascii="仿宋" w:hAnsi="仿宋"/>
          <w:sz w:val="28"/>
          <w:szCs w:val="28"/>
        </w:rPr>
        <w:t>田瑞君，认缴出资额为50万元，持股比例0.1347%。</w:t>
      </w:r>
    </w:p>
    <w:p w14:paraId="1B88993D">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2" w:firstLineChars="200"/>
        <w:textAlignment w:val="top"/>
        <w:rPr>
          <w:rFonts w:hint="eastAsia" w:ascii="仿宋" w:hAnsi="仿宋"/>
          <w:color w:val="000000"/>
          <w:sz w:val="28"/>
          <w:szCs w:val="28"/>
          <w:shd w:val="clear" w:color="auto" w:fill="FFFFFF"/>
        </w:rPr>
      </w:pPr>
      <w:r>
        <w:rPr>
          <w:rFonts w:hint="eastAsia" w:ascii="仿宋" w:hAnsi="仿宋"/>
          <w:b/>
          <w:bCs/>
          <w:color w:val="000000"/>
          <w:sz w:val="28"/>
          <w:szCs w:val="28"/>
          <w:shd w:val="clear" w:color="auto" w:fill="FFFFFF"/>
        </w:rPr>
        <w:t>（</w:t>
      </w:r>
      <w:r>
        <w:rPr>
          <w:rFonts w:hint="eastAsia" w:ascii="仿宋" w:hAnsi="仿宋"/>
          <w:b/>
          <w:bCs/>
          <w:color w:val="000000"/>
          <w:sz w:val="28"/>
          <w:szCs w:val="28"/>
          <w:shd w:val="clear" w:color="auto" w:fill="FFFFFF"/>
          <w:lang w:val="en-US" w:eastAsia="zh-CN"/>
        </w:rPr>
        <w:t>三</w:t>
      </w:r>
      <w:r>
        <w:rPr>
          <w:rFonts w:hint="eastAsia" w:ascii="仿宋" w:hAnsi="仿宋"/>
          <w:b/>
          <w:bCs/>
          <w:color w:val="000000"/>
          <w:sz w:val="28"/>
          <w:szCs w:val="28"/>
          <w:shd w:val="clear" w:color="auto" w:fill="FFFFFF"/>
        </w:rPr>
        <w:t>）主营业务与优势</w:t>
      </w:r>
    </w:p>
    <w:p w14:paraId="626B8C67">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shd w:val="clear" w:color="auto" w:fill="FFFFFF"/>
        </w:rPr>
      </w:pPr>
      <w:r>
        <w:rPr>
          <w:rFonts w:hint="eastAsia" w:ascii="仿宋" w:hAnsi="仿宋"/>
          <w:color w:val="000000"/>
          <w:sz w:val="28"/>
          <w:szCs w:val="28"/>
          <w:shd w:val="clear" w:color="auto" w:fill="FFFFFF"/>
        </w:rPr>
        <w:t>世纪金光</w:t>
      </w:r>
      <w:r>
        <w:rPr>
          <w:rFonts w:hint="eastAsia" w:ascii="仿宋" w:hAnsi="仿宋"/>
          <w:color w:val="000000"/>
          <w:sz w:val="28"/>
          <w:szCs w:val="28"/>
          <w:shd w:val="clear" w:color="auto" w:fill="FFFFFF"/>
          <w:lang w:val="en-US" w:eastAsia="zh-CN"/>
        </w:rPr>
        <w:t>等关联公司</w:t>
      </w:r>
      <w:r>
        <w:rPr>
          <w:rFonts w:hint="eastAsia" w:ascii="仿宋" w:hAnsi="仿宋"/>
          <w:color w:val="000000"/>
          <w:sz w:val="28"/>
          <w:szCs w:val="28"/>
          <w:shd w:val="clear" w:color="auto" w:fill="FFFFFF"/>
        </w:rPr>
        <w:t>位于北京经济技术开发区，</w:t>
      </w:r>
      <w:r>
        <w:rPr>
          <w:rFonts w:hint="eastAsia" w:ascii="仿宋" w:hAnsi="仿宋"/>
          <w:color w:val="000000"/>
          <w:sz w:val="28"/>
          <w:szCs w:val="28"/>
          <w:shd w:val="clear" w:color="auto" w:fill="FFFFFF"/>
          <w:lang w:val="en-US" w:eastAsia="zh-CN"/>
        </w:rPr>
        <w:t>据世纪金光等关联公司有关人员介绍，世纪金光等关联公司</w:t>
      </w:r>
      <w:r>
        <w:rPr>
          <w:rFonts w:hint="eastAsia" w:ascii="仿宋" w:hAnsi="仿宋"/>
          <w:color w:val="000000"/>
          <w:sz w:val="28"/>
          <w:szCs w:val="28"/>
          <w:shd w:val="clear" w:color="auto" w:fill="FFFFFF"/>
        </w:rPr>
        <w:t>是一家贯通碳化硅全产业链的综合型半导体企业，国家“核高基”01科技重大专项组长牵头单位(碳化硅材料与芯片)、获得国家科技重大专项和产业化项目达84项，是国家高新技术企业、中关村高新技术企业、国家军民融合楷模企业、半导体领域国防重点研制企业、北京市集成电路重点企业、北京市专精特新“小巨人”企业，北京市专利试点单位，获得形成专利214件，其中国际发明专利7件。公司战略新兴半导体研究院入选“中国制造2025”重大项目库；连续三年入选北京市高精尖重点项目；建有首个国家级“半导体材料与器件和模块”检测中心；2020年在国内率先获得汽车行业IATF16949车规级芯片与模块认证；参与发起设立“国家新能源汽车”创新中心；建有第三代半导体“院士工作站”、北京市“第三代半导体功率器件”工程研究中心；荣获2018年中国高科技高成长50强企业、中国优秀民营科技企业。公司各类资质证件和质量体系证书齐全，综合实力较强。</w:t>
      </w:r>
    </w:p>
    <w:p w14:paraId="52F6440D">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shd w:val="clear" w:color="auto" w:fill="FFFFFF"/>
        </w:rPr>
      </w:pPr>
      <w:r>
        <w:rPr>
          <w:rFonts w:hint="eastAsia" w:ascii="仿宋" w:hAnsi="仿宋"/>
          <w:color w:val="000000"/>
          <w:sz w:val="28"/>
          <w:szCs w:val="28"/>
          <w:shd w:val="clear" w:color="auto" w:fill="FFFFFF"/>
        </w:rPr>
        <w:t>世纪金光已初步形成碳化硅全产业链IDM模式，拥有年产3万片碳化硅芯片生产线与年产15万套功率模板生产线。持有合肥世纪金芯半导体有限公司26.6429%的股权，其拥有年产3万片6英寸和年产6000片8英寸碳化硅单晶衬底生产线各一条。已开展布局8英寸碳化硅单晶衬底项目，并于2024年签约部分意向订单。</w:t>
      </w:r>
    </w:p>
    <w:p w14:paraId="4C9D917F">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shd w:val="clear" w:color="auto" w:fill="FFFFFF"/>
        </w:rPr>
      </w:pPr>
      <w:r>
        <w:rPr>
          <w:rFonts w:hint="eastAsia" w:ascii="仿宋" w:hAnsi="仿宋"/>
          <w:color w:val="000000"/>
          <w:sz w:val="28"/>
          <w:szCs w:val="28"/>
          <w:shd w:val="clear" w:color="auto" w:fill="FFFFFF"/>
        </w:rPr>
        <w:t xml:space="preserve">世纪金光的产品具有较高市场声誉及较强的竞争优势，成本低、良率高、产品迭代速度快。6-8英寸导电型碳化硅单晶衬底片、1700V以下SBD和MOSFET芯片、800A以下功率模块已实现自主研发及产业化验证，3300V以下MOSFET芯片及模块已实现工程化，客户主要集中在外延厂、终端设备厂、代理商等，产品主要应用领域为新能源汽车、光伏发电、轨道交通、智能电网、航空航天、5G通信、卫星、雷达、工业控制、白色家电等尖端领域。 </w:t>
      </w:r>
    </w:p>
    <w:p w14:paraId="692DBA0A">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shd w:val="clear" w:color="auto" w:fill="FFFFFF"/>
        </w:rPr>
      </w:pPr>
      <w:r>
        <w:rPr>
          <w:rFonts w:hint="eastAsia" w:ascii="仿宋" w:hAnsi="仿宋"/>
          <w:color w:val="000000"/>
          <w:sz w:val="28"/>
          <w:szCs w:val="28"/>
          <w:shd w:val="clear" w:color="auto" w:fill="FFFFFF"/>
          <w:lang w:val="en-US" w:eastAsia="zh-CN"/>
        </w:rPr>
        <w:t>另经管理人</w:t>
      </w:r>
      <w:r>
        <w:rPr>
          <w:rFonts w:hint="eastAsia" w:ascii="仿宋" w:hAnsi="仿宋"/>
          <w:color w:val="000000"/>
          <w:sz w:val="28"/>
          <w:szCs w:val="28"/>
          <w:shd w:val="clear" w:color="auto" w:fill="FFFFFF"/>
        </w:rPr>
        <w:t>初步调查发现，华进创威名下主要财产有一宗国有土地使用权，面积为37380.384㎡（约56亩），土地用途为工业用地，地上建筑面积约35000㎡（占地面积约28亩），主要包括办公楼和生产车间等建筑物，尚有28亩地上无建筑物（闲置）。</w:t>
      </w:r>
    </w:p>
    <w:p w14:paraId="53E388C1">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2" w:firstLineChars="200"/>
        <w:textAlignment w:val="top"/>
        <w:rPr>
          <w:rFonts w:hint="eastAsia" w:ascii="楷体" w:hAnsi="楷体" w:eastAsia="楷体" w:cs="楷体"/>
          <w:color w:val="000000"/>
          <w:sz w:val="28"/>
          <w:szCs w:val="28"/>
        </w:rPr>
      </w:pPr>
      <w:r>
        <w:rPr>
          <w:rFonts w:hint="eastAsia" w:ascii="楷体" w:hAnsi="楷体" w:eastAsia="楷体" w:cs="楷体"/>
          <w:b/>
          <w:bCs/>
          <w:color w:val="000000"/>
          <w:sz w:val="28"/>
          <w:szCs w:val="28"/>
          <w:shd w:val="clear" w:color="auto" w:fill="FFFFFF"/>
        </w:rPr>
        <w:t>三、预招募目的及条件</w:t>
      </w:r>
    </w:p>
    <w:p w14:paraId="5B02493A">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2" w:firstLineChars="200"/>
        <w:textAlignment w:val="top"/>
        <w:rPr>
          <w:rFonts w:hint="eastAsia" w:ascii="仿宋" w:hAnsi="仿宋"/>
          <w:color w:val="000000"/>
          <w:sz w:val="28"/>
          <w:szCs w:val="28"/>
        </w:rPr>
      </w:pPr>
      <w:r>
        <w:rPr>
          <w:rFonts w:hint="eastAsia" w:ascii="仿宋" w:hAnsi="仿宋"/>
          <w:b/>
          <w:bCs/>
          <w:color w:val="000000"/>
          <w:sz w:val="28"/>
          <w:szCs w:val="28"/>
          <w:shd w:val="clear" w:color="auto" w:fill="FFFFFF"/>
        </w:rPr>
        <w:t>（一）预招募目的</w:t>
      </w:r>
    </w:p>
    <w:p w14:paraId="01C00C3E">
      <w:pPr>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lang w:bidi="ar"/>
        </w:rPr>
        <w:t>通过预招募意向投资方，对债务人名下的资产进行重整，以恢复其经营活力，实现资产的保值增值，保障债权人的合法权益。</w:t>
      </w:r>
    </w:p>
    <w:p w14:paraId="3FA255A7">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2" w:firstLineChars="200"/>
        <w:textAlignment w:val="top"/>
        <w:rPr>
          <w:rFonts w:hint="eastAsia" w:ascii="仿宋" w:hAnsi="仿宋"/>
          <w:color w:val="000000"/>
          <w:sz w:val="28"/>
          <w:szCs w:val="28"/>
        </w:rPr>
      </w:pPr>
      <w:r>
        <w:rPr>
          <w:rFonts w:hint="eastAsia" w:ascii="仿宋" w:hAnsi="仿宋"/>
          <w:b/>
          <w:bCs/>
          <w:color w:val="000000"/>
          <w:sz w:val="28"/>
          <w:szCs w:val="28"/>
          <w:shd w:val="clear" w:color="auto" w:fill="FFFFFF"/>
        </w:rPr>
        <w:t>（二）预招募条件</w:t>
      </w:r>
    </w:p>
    <w:p w14:paraId="51BCCB2D">
      <w:pPr>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lang w:bidi="ar"/>
        </w:rPr>
        <w:t>管理人秉持公平、公开、公正的基本原则预招募意向投资人，意向投资人至少须具备以下条件：</w:t>
      </w:r>
    </w:p>
    <w:p w14:paraId="52CB5038">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rPr>
        <w:t>1.意向投资人应当是依法成立且有效存续的企业法人或非法人组织等主体。</w:t>
      </w:r>
    </w:p>
    <w:p w14:paraId="5CD14A23">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shd w:val="clear" w:color="auto" w:fill="FFFFFF"/>
        </w:rPr>
      </w:pPr>
      <w:r>
        <w:rPr>
          <w:rFonts w:hint="eastAsia" w:ascii="仿宋" w:hAnsi="仿宋"/>
          <w:color w:val="000000"/>
          <w:sz w:val="28"/>
          <w:szCs w:val="28"/>
          <w:shd w:val="clear" w:color="auto" w:fill="FFFFFF"/>
        </w:rPr>
        <w:t>2.意向投资人应具有良好的信用记录，未被人民法院列入失信被执行人名单，最近三年（自2022年1月1日起算）无重大违法行为</w:t>
      </w:r>
      <w:r>
        <w:rPr>
          <w:rFonts w:hint="eastAsia" w:ascii="仿宋" w:hAnsi="仿宋"/>
          <w:color w:val="000000"/>
          <w:sz w:val="28"/>
          <w:szCs w:val="28"/>
          <w:shd w:val="clear" w:color="auto" w:fill="FFFFFF"/>
          <w:lang w:val="en-US" w:eastAsia="zh-CN"/>
        </w:rPr>
        <w:t>亦</w:t>
      </w:r>
      <w:r>
        <w:rPr>
          <w:rFonts w:hint="eastAsia" w:ascii="仿宋" w:hAnsi="仿宋"/>
          <w:color w:val="000000"/>
          <w:sz w:val="28"/>
          <w:szCs w:val="28"/>
          <w:shd w:val="clear" w:color="auto" w:fill="FFFFFF"/>
        </w:rPr>
        <w:t>未涉嫌重大违法行为，不属于失信联合惩戒对象，未被市场监督管理部门列入企业经营异常名单。若报名机构为存续三年以下（含）企业法人，应按实际成立年限出具承诺。</w:t>
      </w:r>
    </w:p>
    <w:p w14:paraId="6415F9BA">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shd w:val="clear" w:color="auto" w:fill="FFFFFF"/>
        </w:rPr>
      </w:pPr>
      <w:r>
        <w:rPr>
          <w:rFonts w:hint="eastAsia" w:ascii="仿宋" w:hAnsi="仿宋"/>
          <w:color w:val="000000"/>
          <w:sz w:val="28"/>
          <w:szCs w:val="28"/>
          <w:shd w:val="clear" w:color="auto" w:fill="FFFFFF"/>
        </w:rPr>
        <w:t>3.意向投资人应在报名截止日前向本公告中列明的管理人账户足额缴纳尽调保证金人</w:t>
      </w:r>
      <w:r>
        <w:rPr>
          <w:rFonts w:hint="eastAsia" w:ascii="仿宋" w:hAnsi="仿宋"/>
          <w:color w:val="auto"/>
          <w:sz w:val="28"/>
          <w:szCs w:val="28"/>
          <w:highlight w:val="none"/>
          <w:shd w:val="clear" w:color="auto" w:fill="FFFFFF"/>
        </w:rPr>
        <w:t>民币</w:t>
      </w:r>
      <w:r>
        <w:rPr>
          <w:rFonts w:hint="eastAsia" w:ascii="仿宋" w:hAnsi="仿宋"/>
          <w:color w:val="auto"/>
          <w:sz w:val="28"/>
          <w:szCs w:val="28"/>
          <w:highlight w:val="none"/>
          <w:shd w:val="clear" w:color="auto" w:fill="FFFFFF"/>
          <w:lang w:val="en-US" w:eastAsia="zh-CN"/>
        </w:rPr>
        <w:t>贰</w:t>
      </w:r>
      <w:r>
        <w:rPr>
          <w:rFonts w:hint="eastAsia" w:ascii="仿宋" w:hAnsi="仿宋"/>
          <w:color w:val="auto"/>
          <w:sz w:val="28"/>
          <w:szCs w:val="28"/>
          <w:highlight w:val="none"/>
          <w:shd w:val="clear" w:color="auto" w:fill="FFFFFF"/>
        </w:rPr>
        <w:t>佰万元。</w:t>
      </w:r>
    </w:p>
    <w:p w14:paraId="3A1A4CAE">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shd w:val="clear" w:color="auto" w:fill="FFFFFF"/>
        </w:rPr>
      </w:pPr>
      <w:r>
        <w:rPr>
          <w:rFonts w:hint="eastAsia" w:ascii="仿宋" w:hAnsi="仿宋"/>
          <w:color w:val="000000"/>
          <w:sz w:val="28"/>
          <w:szCs w:val="28"/>
          <w:shd w:val="clear" w:color="auto" w:fill="FFFFFF"/>
        </w:rPr>
        <w:t>4.意向投资人应在提交书面《重整投资方案》前向本公告中列明的管理人账户足额缴纳报名保证金人</w:t>
      </w:r>
      <w:r>
        <w:rPr>
          <w:rFonts w:hint="eastAsia" w:ascii="仿宋" w:hAnsi="仿宋"/>
          <w:color w:val="auto"/>
          <w:sz w:val="28"/>
          <w:szCs w:val="28"/>
          <w:highlight w:val="none"/>
          <w:shd w:val="clear" w:color="auto" w:fill="FFFFFF"/>
        </w:rPr>
        <w:t>民币</w:t>
      </w:r>
      <w:r>
        <w:rPr>
          <w:rFonts w:hint="eastAsia" w:ascii="仿宋" w:hAnsi="仿宋"/>
          <w:color w:val="auto"/>
          <w:sz w:val="28"/>
          <w:szCs w:val="28"/>
          <w:highlight w:val="none"/>
          <w:shd w:val="clear" w:color="auto" w:fill="FFFFFF"/>
          <w:lang w:val="en-US" w:eastAsia="zh-CN"/>
        </w:rPr>
        <w:t>贰</w:t>
      </w:r>
      <w:r>
        <w:rPr>
          <w:rFonts w:hint="eastAsia" w:ascii="仿宋" w:hAnsi="仿宋"/>
          <w:color w:val="auto"/>
          <w:sz w:val="28"/>
          <w:szCs w:val="28"/>
          <w:highlight w:val="none"/>
          <w:shd w:val="clear" w:color="auto" w:fill="FFFFFF"/>
        </w:rPr>
        <w:t>仟万元，同</w:t>
      </w:r>
      <w:r>
        <w:rPr>
          <w:rFonts w:hint="eastAsia" w:ascii="仿宋" w:hAnsi="仿宋"/>
          <w:color w:val="000000"/>
          <w:sz w:val="28"/>
          <w:szCs w:val="28"/>
          <w:shd w:val="clear" w:color="auto" w:fill="FFFFFF"/>
        </w:rPr>
        <w:t>时尽调保证金转化为报名保证金，其余报名保证金由意向投资人在期限内补足。</w:t>
      </w:r>
    </w:p>
    <w:p w14:paraId="1DFC8F92">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shd w:val="clear" w:color="auto" w:fill="FFFFFF"/>
        </w:rPr>
      </w:pPr>
      <w:r>
        <w:rPr>
          <w:rFonts w:hint="eastAsia" w:ascii="仿宋" w:hAnsi="仿宋"/>
          <w:color w:val="000000"/>
          <w:sz w:val="28"/>
          <w:szCs w:val="28"/>
          <w:shd w:val="clear" w:color="auto" w:fill="FFFFFF"/>
        </w:rPr>
        <w:t>5.意向投资人以联合体形式参与遴选的，其中任一投资人均需符合上述第1、2项条件且须明确联合体中各方角色。</w:t>
      </w:r>
    </w:p>
    <w:p w14:paraId="7D1C9E24">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2" w:firstLineChars="200"/>
        <w:textAlignment w:val="top"/>
        <w:rPr>
          <w:rFonts w:hint="eastAsia" w:ascii="楷体" w:hAnsi="楷体" w:eastAsia="楷体" w:cs="楷体"/>
          <w:color w:val="000000"/>
          <w:sz w:val="28"/>
          <w:szCs w:val="28"/>
        </w:rPr>
      </w:pPr>
      <w:r>
        <w:rPr>
          <w:rFonts w:hint="eastAsia" w:ascii="楷体" w:hAnsi="楷体" w:eastAsia="楷体" w:cs="楷体"/>
          <w:b/>
          <w:bCs/>
          <w:color w:val="000000"/>
          <w:sz w:val="28"/>
          <w:szCs w:val="28"/>
          <w:shd w:val="clear" w:color="auto" w:fill="FFFFFF"/>
        </w:rPr>
        <w:t>四、预招募流程</w:t>
      </w:r>
    </w:p>
    <w:p w14:paraId="4DEBBD91">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2" w:firstLineChars="200"/>
        <w:textAlignment w:val="top"/>
        <w:rPr>
          <w:rFonts w:hint="eastAsia" w:ascii="仿宋" w:hAnsi="仿宋"/>
          <w:color w:val="000000"/>
          <w:sz w:val="28"/>
          <w:szCs w:val="28"/>
        </w:rPr>
      </w:pPr>
      <w:r>
        <w:rPr>
          <w:rFonts w:hint="eastAsia" w:ascii="仿宋" w:hAnsi="仿宋"/>
          <w:b/>
          <w:bCs/>
          <w:color w:val="000000"/>
          <w:sz w:val="28"/>
          <w:szCs w:val="28"/>
          <w:shd w:val="clear" w:color="auto" w:fill="FFFFFF"/>
        </w:rPr>
        <w:t>（一）报名</w:t>
      </w:r>
    </w:p>
    <w:p w14:paraId="67D4527E">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rPr>
        <w:t>1.报名时间</w:t>
      </w:r>
    </w:p>
    <w:p w14:paraId="576D9E6A">
      <w:pPr>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lang w:bidi="ar"/>
        </w:rPr>
        <w:t>意向投资人应当于本公告发布之日起至</w:t>
      </w:r>
      <w:r>
        <w:rPr>
          <w:rFonts w:hint="eastAsia" w:ascii="仿宋" w:hAnsi="仿宋"/>
          <w:color w:val="000000"/>
          <w:sz w:val="28"/>
          <w:szCs w:val="28"/>
          <w:u w:val="single"/>
          <w:shd w:val="clear" w:color="auto" w:fill="FFFFFF"/>
          <w:lang w:bidi="ar"/>
        </w:rPr>
        <w:t>2025年</w:t>
      </w:r>
      <w:r>
        <w:rPr>
          <w:rFonts w:hint="eastAsia" w:ascii="仿宋" w:hAnsi="仿宋"/>
          <w:color w:val="000000"/>
          <w:sz w:val="28"/>
          <w:szCs w:val="28"/>
          <w:u w:val="single"/>
          <w:shd w:val="clear" w:color="auto" w:fill="FFFFFF"/>
          <w:lang w:val="en-US" w:eastAsia="zh-CN" w:bidi="ar"/>
        </w:rPr>
        <w:t>7</w:t>
      </w:r>
      <w:r>
        <w:rPr>
          <w:rFonts w:hint="eastAsia" w:ascii="仿宋" w:hAnsi="仿宋"/>
          <w:color w:val="000000"/>
          <w:sz w:val="28"/>
          <w:szCs w:val="28"/>
          <w:u w:val="single"/>
          <w:shd w:val="clear" w:color="auto" w:fill="FFFFFF"/>
          <w:lang w:bidi="ar"/>
        </w:rPr>
        <w:t>月</w:t>
      </w:r>
      <w:r>
        <w:rPr>
          <w:rFonts w:hint="eastAsia" w:ascii="仿宋" w:hAnsi="仿宋"/>
          <w:color w:val="000000"/>
          <w:sz w:val="28"/>
          <w:szCs w:val="28"/>
          <w:u w:val="single"/>
          <w:shd w:val="clear" w:color="auto" w:fill="FFFFFF"/>
          <w:lang w:val="en-US" w:eastAsia="zh-CN" w:bidi="ar"/>
        </w:rPr>
        <w:t>7</w:t>
      </w:r>
      <w:r>
        <w:rPr>
          <w:rFonts w:hint="eastAsia" w:ascii="仿宋" w:hAnsi="仿宋"/>
          <w:color w:val="000000"/>
          <w:sz w:val="28"/>
          <w:szCs w:val="28"/>
          <w:u w:val="single"/>
          <w:shd w:val="clear" w:color="auto" w:fill="FFFFFF"/>
          <w:lang w:bidi="ar"/>
        </w:rPr>
        <w:t>日17时</w:t>
      </w:r>
      <w:r>
        <w:rPr>
          <w:rFonts w:hint="eastAsia" w:ascii="仿宋" w:hAnsi="仿宋"/>
          <w:color w:val="000000"/>
          <w:sz w:val="28"/>
          <w:szCs w:val="28"/>
          <w:shd w:val="clear" w:color="auto" w:fill="FFFFFF"/>
          <w:lang w:bidi="ar"/>
        </w:rPr>
        <w:t>前，将报名材料纸质版提交至管理人指定报名地点，同时发送报名材料扫描版至管理人指定电子邮箱：</w:t>
      </w:r>
      <w:r>
        <w:rPr>
          <w:rFonts w:hint="eastAsia" w:ascii="仿宋" w:hAnsi="仿宋"/>
          <w:color w:val="000000"/>
          <w:sz w:val="28"/>
          <w:szCs w:val="28"/>
          <w:shd w:val="clear" w:color="auto" w:fill="FFFFFF"/>
          <w:lang w:val="en-US" w:eastAsia="zh-CN" w:bidi="ar"/>
        </w:rPr>
        <w:t>h</w:t>
      </w:r>
      <w:r>
        <w:rPr>
          <w:rFonts w:hint="eastAsia" w:ascii="仿宋" w:hAnsi="仿宋"/>
          <w:color w:val="000000"/>
          <w:sz w:val="28"/>
          <w:szCs w:val="28"/>
          <w:shd w:val="clear" w:color="auto" w:fill="FFFFFF"/>
          <w:lang w:bidi="ar"/>
        </w:rPr>
        <w:t>j</w:t>
      </w:r>
      <w:r>
        <w:rPr>
          <w:rFonts w:hint="eastAsia" w:ascii="仿宋" w:hAnsi="仿宋"/>
          <w:color w:val="000000"/>
          <w:sz w:val="28"/>
          <w:szCs w:val="28"/>
          <w:shd w:val="clear" w:color="auto" w:fill="FFFFFF"/>
          <w:lang w:val="en-US" w:eastAsia="zh-CN" w:bidi="ar"/>
        </w:rPr>
        <w:t>cw</w:t>
      </w:r>
      <w:r>
        <w:rPr>
          <w:rFonts w:hint="eastAsia" w:ascii="仿宋" w:hAnsi="仿宋"/>
          <w:color w:val="000000"/>
          <w:sz w:val="28"/>
          <w:szCs w:val="28"/>
          <w:shd w:val="clear" w:color="auto" w:fill="FFFFFF"/>
          <w:lang w:bidi="ar"/>
        </w:rPr>
        <w:t>@yunqingsuan.com（文件超过15M的请以网盘链接等形式发送），管理人接收到纸质报名材料或电子版扫描件报名材料，均视为意向投资人成功提交报名材料。期限届满后，管理人有权视情况决定是否延长报名期限。</w:t>
      </w:r>
    </w:p>
    <w:p w14:paraId="23631EE7">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rPr>
        <w:t>2.报名材料</w:t>
      </w:r>
    </w:p>
    <w:p w14:paraId="2CA547F4">
      <w:pPr>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lang w:bidi="ar"/>
        </w:rPr>
        <w:t>意向投资人需提交纸质版报名材料一式两份，装订成册，加盖意向投资人公章和骑缝章，并由其法定代表人、负责人或授权代表签名；如意向投资人为联合体的，联合体成员均需加盖公章，由联合体牵头投资人加盖骑缝章并提交。意向投资人未按本公告要求提交完整报名材料的，管理人有权不予接收或要求补正。材料具体包括：</w:t>
      </w:r>
    </w:p>
    <w:p w14:paraId="5BC632C8">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rPr>
        <w:t>（1）报名意向书（见附件1）；</w:t>
      </w:r>
    </w:p>
    <w:p w14:paraId="5D970602">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rPr>
        <w:t>（2）关于意向投资人未被人民法院列入失信被执行人名单、不属于惩戒对象、预招募遴选期间遵守管理人安排等事项的承诺函（见附件2）；</w:t>
      </w:r>
    </w:p>
    <w:p w14:paraId="05CE7563">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rPr>
        <w:t>（3）意向投资人简介（含主体资格、股权结构、主营业务、历史沿革、组织结构等信息，如为联合体参与遴选的，需要介绍各投资人所担当的角色分工、权利义务等）；</w:t>
      </w:r>
    </w:p>
    <w:p w14:paraId="5C7A17B4">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rPr>
        <w:t>（4）意向投资人的营业执照复印件（须加盖公章）、法定代表人或负责人的身份证明文件（见附件3）、授权委托书原件（见附件4）及受托人身份证明文件、最近三年的财务报表等。若报名机构为存续三年以下（含）企业法人，应按实际成立年限提供财务报表；</w:t>
      </w:r>
    </w:p>
    <w:p w14:paraId="52EC2BD5">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shd w:val="clear" w:color="auto" w:fill="FFFFFF"/>
        </w:rPr>
      </w:pPr>
      <w:r>
        <w:rPr>
          <w:rFonts w:hint="eastAsia" w:ascii="仿宋" w:hAnsi="仿宋"/>
          <w:color w:val="000000"/>
          <w:sz w:val="28"/>
          <w:szCs w:val="28"/>
          <w:shd w:val="clear" w:color="auto" w:fill="FFFFFF"/>
        </w:rPr>
        <w:t>（5）意向投资人承诺对知悉的债务人情况予以保密并签署的保密承诺函（见附件5）；</w:t>
      </w:r>
    </w:p>
    <w:p w14:paraId="495A633E">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rPr>
        <w:t>（6）意向投资人保证金缴纳凭证。请意向投资人注明单位全称及款项性质“世纪金光重整尽调保证金”或“世纪金光/重整报名保证金”。</w:t>
      </w:r>
    </w:p>
    <w:p w14:paraId="2B9E2BB3">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sz w:val="28"/>
          <w:szCs w:val="28"/>
        </w:rPr>
      </w:pPr>
      <w:r>
        <w:rPr>
          <w:rFonts w:hint="eastAsia" w:ascii="仿宋" w:hAnsi="仿宋"/>
          <w:sz w:val="28"/>
          <w:szCs w:val="28"/>
          <w:shd w:val="clear" w:color="auto" w:fill="FFFFFF"/>
        </w:rPr>
        <w:t>世纪金光管理人账户具体信息如下：</w:t>
      </w:r>
    </w:p>
    <w:p w14:paraId="6DFF3443">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sz w:val="28"/>
          <w:szCs w:val="28"/>
          <w:shd w:val="clear" w:color="auto" w:fill="FFFFFF"/>
        </w:rPr>
      </w:pPr>
      <w:r>
        <w:rPr>
          <w:rFonts w:hint="eastAsia" w:ascii="仿宋" w:hAnsi="仿宋"/>
          <w:sz w:val="28"/>
          <w:szCs w:val="28"/>
          <w:shd w:val="clear" w:color="auto" w:fill="FFFFFF"/>
        </w:rPr>
        <w:t>户名：北京世纪金光半导体有限公司管理人</w:t>
      </w:r>
    </w:p>
    <w:p w14:paraId="7284DE0E">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sz w:val="28"/>
          <w:szCs w:val="28"/>
          <w:shd w:val="clear" w:color="auto" w:fill="FFFFFF"/>
        </w:rPr>
      </w:pPr>
      <w:r>
        <w:rPr>
          <w:rFonts w:hint="eastAsia" w:ascii="仿宋" w:hAnsi="仿宋"/>
          <w:sz w:val="28"/>
          <w:szCs w:val="28"/>
          <w:shd w:val="clear" w:color="auto" w:fill="FFFFFF"/>
        </w:rPr>
        <w:t>账号：0200048439200358251</w:t>
      </w:r>
    </w:p>
    <w:p w14:paraId="6E47B8B1">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sz w:val="28"/>
          <w:szCs w:val="28"/>
          <w:shd w:val="clear" w:color="auto" w:fill="FFFFFF"/>
        </w:rPr>
      </w:pPr>
      <w:r>
        <w:rPr>
          <w:rFonts w:hint="eastAsia" w:ascii="仿宋" w:hAnsi="仿宋"/>
          <w:sz w:val="28"/>
          <w:szCs w:val="28"/>
          <w:shd w:val="clear" w:color="auto" w:fill="FFFFFF"/>
        </w:rPr>
        <w:t>开户行：中国工商银行股份有限公司北京大郊亭支行</w:t>
      </w:r>
    </w:p>
    <w:p w14:paraId="50855702">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sz w:val="28"/>
          <w:szCs w:val="28"/>
          <w:shd w:val="clear" w:color="auto" w:fill="FFFFFF"/>
        </w:rPr>
      </w:pPr>
      <w:r>
        <w:rPr>
          <w:rFonts w:hint="eastAsia" w:ascii="仿宋" w:hAnsi="仿宋"/>
          <w:sz w:val="28"/>
          <w:szCs w:val="28"/>
          <w:shd w:val="clear" w:color="auto" w:fill="FFFFFF"/>
        </w:rPr>
        <w:t xml:space="preserve">行号:102100004847‌ </w:t>
      </w:r>
    </w:p>
    <w:p w14:paraId="2667D98B">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2" w:firstLineChars="200"/>
        <w:textAlignment w:val="top"/>
        <w:rPr>
          <w:rFonts w:hint="eastAsia" w:ascii="仿宋" w:hAnsi="仿宋"/>
          <w:color w:val="000000"/>
          <w:sz w:val="28"/>
          <w:szCs w:val="28"/>
        </w:rPr>
      </w:pPr>
      <w:r>
        <w:rPr>
          <w:rFonts w:hint="eastAsia" w:ascii="仿宋" w:hAnsi="仿宋"/>
          <w:b/>
          <w:bCs/>
          <w:color w:val="000000"/>
          <w:sz w:val="28"/>
          <w:szCs w:val="28"/>
          <w:shd w:val="clear" w:color="auto" w:fill="FFFFFF"/>
        </w:rPr>
        <w:t>（二）初步筛选</w:t>
      </w:r>
    </w:p>
    <w:p w14:paraId="79117FF6">
      <w:pPr>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lang w:bidi="ar"/>
        </w:rPr>
        <w:t>管理人将对意向投资人提交的报名材料进行形式审查，审查通过的，即为通过初步筛选；提交的报名材料存在缺失、遗漏，或未缴纳尽调保证金的，管理人将通知补正，意向投资人应于</w:t>
      </w:r>
      <w:r>
        <w:rPr>
          <w:rFonts w:hint="eastAsia" w:ascii="仿宋" w:hAnsi="仿宋"/>
          <w:color w:val="000000"/>
          <w:sz w:val="28"/>
          <w:szCs w:val="28"/>
          <w:shd w:val="clear" w:color="auto" w:fill="FFFFFF"/>
          <w:lang w:val="en-US" w:eastAsia="zh-CN" w:bidi="ar"/>
        </w:rPr>
        <w:t>收到</w:t>
      </w:r>
      <w:r>
        <w:rPr>
          <w:rFonts w:hint="eastAsia" w:ascii="仿宋" w:hAnsi="仿宋"/>
          <w:color w:val="000000"/>
          <w:sz w:val="28"/>
          <w:szCs w:val="28"/>
          <w:shd w:val="clear" w:color="auto" w:fill="FFFFFF"/>
          <w:lang w:bidi="ar"/>
        </w:rPr>
        <w:t>管理人通知之日起5日内完成补正，逾期未能补正报名材料或缴纳尽调保证金的，视为无效报名。管理人将在初步筛选后，向通过形式审查的意向投资人发出报名成功确认函。</w:t>
      </w:r>
    </w:p>
    <w:p w14:paraId="2F66F1BC">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2" w:firstLineChars="200"/>
        <w:textAlignment w:val="top"/>
        <w:rPr>
          <w:rFonts w:hint="eastAsia" w:ascii="仿宋" w:hAnsi="仿宋"/>
          <w:color w:val="000000"/>
          <w:sz w:val="28"/>
          <w:szCs w:val="28"/>
        </w:rPr>
      </w:pPr>
      <w:r>
        <w:rPr>
          <w:rFonts w:hint="eastAsia" w:ascii="仿宋" w:hAnsi="仿宋"/>
          <w:b/>
          <w:bCs/>
          <w:color w:val="000000"/>
          <w:sz w:val="28"/>
          <w:szCs w:val="28"/>
          <w:shd w:val="clear" w:color="auto" w:fill="FFFFFF"/>
        </w:rPr>
        <w:t>（三）尽职调查</w:t>
      </w:r>
    </w:p>
    <w:p w14:paraId="1B548C65">
      <w:pPr>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lang w:bidi="ar"/>
        </w:rPr>
        <w:t>通过管理人初步筛选且收到管理人发出的报名成功确认函的意向投资人即可以自行或委托中介机构对债务人开展适当的尽职调查工作，管理人根据预招募工作进展情况向通过初步筛选的意向投资人开放尽调资料库，并有权按报名顺序安排意向投资人逐家进行现场访谈。</w:t>
      </w:r>
    </w:p>
    <w:p w14:paraId="159AC307">
      <w:pPr>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lang w:bidi="ar"/>
        </w:rPr>
        <w:t>意向投资人开展尽职调查所需的各类费用均自行承担。</w:t>
      </w:r>
    </w:p>
    <w:p w14:paraId="6D38B031">
      <w:pPr>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lang w:bidi="ar"/>
        </w:rPr>
        <w:t>自意向投资人报名至签署重整投资协议前，管理人有权对意向投资人反向尽调，反向尽调内容包括但不限于主体资质、财务数据、履约能力等，意向投资人应予以配合。</w:t>
      </w:r>
    </w:p>
    <w:p w14:paraId="32CC4109">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2" w:firstLineChars="200"/>
        <w:textAlignment w:val="top"/>
        <w:rPr>
          <w:rFonts w:hint="eastAsia" w:ascii="仿宋" w:hAnsi="仿宋"/>
          <w:color w:val="000000"/>
          <w:sz w:val="28"/>
          <w:szCs w:val="28"/>
        </w:rPr>
      </w:pPr>
      <w:r>
        <w:rPr>
          <w:rFonts w:hint="eastAsia" w:ascii="仿宋" w:hAnsi="仿宋"/>
          <w:b/>
          <w:bCs/>
          <w:color w:val="000000"/>
          <w:sz w:val="28"/>
          <w:szCs w:val="28"/>
          <w:shd w:val="clear" w:color="auto" w:fill="FFFFFF"/>
        </w:rPr>
        <w:t>（四）提交方案</w:t>
      </w:r>
    </w:p>
    <w:p w14:paraId="60E7CC36">
      <w:pPr>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lang w:bidi="ar"/>
        </w:rPr>
        <w:t>意向投资人应当于</w:t>
      </w:r>
      <w:r>
        <w:rPr>
          <w:rFonts w:hint="eastAsia" w:ascii="仿宋" w:hAnsi="仿宋"/>
          <w:color w:val="000000"/>
          <w:sz w:val="28"/>
          <w:szCs w:val="28"/>
          <w:u w:val="single"/>
          <w:shd w:val="clear" w:color="auto" w:fill="FFFFFF"/>
          <w:lang w:bidi="ar"/>
        </w:rPr>
        <w:t>2025年</w:t>
      </w:r>
      <w:r>
        <w:rPr>
          <w:rFonts w:hint="eastAsia" w:ascii="仿宋" w:hAnsi="仿宋"/>
          <w:color w:val="000000"/>
          <w:sz w:val="28"/>
          <w:szCs w:val="28"/>
          <w:u w:val="single"/>
          <w:shd w:val="clear" w:color="auto" w:fill="FFFFFF"/>
          <w:lang w:val="en-US" w:eastAsia="zh-CN" w:bidi="ar"/>
        </w:rPr>
        <w:t>8</w:t>
      </w:r>
      <w:r>
        <w:rPr>
          <w:rFonts w:hint="eastAsia" w:ascii="仿宋" w:hAnsi="仿宋"/>
          <w:color w:val="000000"/>
          <w:sz w:val="28"/>
          <w:szCs w:val="28"/>
          <w:u w:val="single"/>
          <w:shd w:val="clear" w:color="auto" w:fill="FFFFFF"/>
          <w:lang w:bidi="ar"/>
        </w:rPr>
        <w:t>月</w:t>
      </w:r>
      <w:r>
        <w:rPr>
          <w:rFonts w:hint="eastAsia" w:ascii="仿宋" w:hAnsi="仿宋"/>
          <w:color w:val="000000"/>
          <w:sz w:val="28"/>
          <w:szCs w:val="28"/>
          <w:u w:val="single"/>
          <w:shd w:val="clear" w:color="auto" w:fill="FFFFFF"/>
          <w:lang w:val="en-US" w:eastAsia="zh-CN" w:bidi="ar"/>
        </w:rPr>
        <w:t>7</w:t>
      </w:r>
      <w:r>
        <w:rPr>
          <w:rFonts w:hint="eastAsia" w:ascii="仿宋" w:hAnsi="仿宋"/>
          <w:color w:val="000000"/>
          <w:sz w:val="28"/>
          <w:szCs w:val="28"/>
          <w:u w:val="single"/>
          <w:shd w:val="clear" w:color="auto" w:fill="FFFFFF"/>
          <w:lang w:bidi="ar"/>
        </w:rPr>
        <w:t>日</w:t>
      </w:r>
      <w:r>
        <w:rPr>
          <w:rFonts w:hint="eastAsia" w:ascii="仿宋" w:hAnsi="仿宋"/>
          <w:color w:val="000000"/>
          <w:sz w:val="28"/>
          <w:szCs w:val="28"/>
          <w:shd w:val="clear" w:color="auto" w:fill="FFFFFF"/>
          <w:lang w:bidi="ar"/>
        </w:rPr>
        <w:t>前向管理人提交书面《重整投资方案》，同时尽调保证金转化为报名保证金，其余报名保证金由意向投资人在2025年</w:t>
      </w:r>
      <w:r>
        <w:rPr>
          <w:rFonts w:hint="eastAsia" w:ascii="仿宋" w:hAnsi="仿宋"/>
          <w:color w:val="000000"/>
          <w:sz w:val="28"/>
          <w:szCs w:val="28"/>
          <w:shd w:val="clear" w:color="auto" w:fill="FFFFFF"/>
          <w:lang w:val="en-US" w:eastAsia="zh-CN" w:bidi="ar"/>
        </w:rPr>
        <w:t>7</w:t>
      </w:r>
      <w:r>
        <w:rPr>
          <w:rFonts w:hint="eastAsia" w:ascii="仿宋" w:hAnsi="仿宋"/>
          <w:color w:val="000000"/>
          <w:sz w:val="28"/>
          <w:szCs w:val="28"/>
          <w:shd w:val="clear" w:color="auto" w:fill="FFFFFF"/>
          <w:lang w:bidi="ar"/>
        </w:rPr>
        <w:t>月</w:t>
      </w:r>
      <w:r>
        <w:rPr>
          <w:rFonts w:hint="eastAsia" w:ascii="仿宋" w:hAnsi="仿宋"/>
          <w:color w:val="000000"/>
          <w:sz w:val="28"/>
          <w:szCs w:val="28"/>
          <w:shd w:val="clear" w:color="auto" w:fill="FFFFFF"/>
          <w:lang w:val="en-US" w:eastAsia="zh-CN" w:bidi="ar"/>
        </w:rPr>
        <w:t>25</w:t>
      </w:r>
      <w:r>
        <w:rPr>
          <w:rFonts w:hint="eastAsia" w:ascii="仿宋" w:hAnsi="仿宋"/>
          <w:color w:val="000000"/>
          <w:sz w:val="28"/>
          <w:szCs w:val="28"/>
          <w:shd w:val="clear" w:color="auto" w:fill="FFFFFF"/>
          <w:lang w:bidi="ar"/>
        </w:rPr>
        <w:t>日前补足报名保证金。《重整投资方案》应符合《中华人民共和国企业破产法》的规定，且应包括但不限于意向投资人简介、投资金额及构成情况、经营方案、债权清偿方案、出资人权益调整方案等内容。管理人后续将根据预招募工作进展情况向意向投资人另行发送投资方案编制指引供意向投资人制作《重整投资方案》。</w:t>
      </w:r>
    </w:p>
    <w:p w14:paraId="37921A92">
      <w:pPr>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lang w:bidi="ar"/>
        </w:rPr>
        <w:t>意向投资人在提交《重整投资方案》过程中，管理人有权视意向投资人的报名情况和尽调情况，要求意向投资人追加缴纳保证金。</w:t>
      </w:r>
    </w:p>
    <w:p w14:paraId="7B121C8A">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2" w:firstLineChars="200"/>
        <w:textAlignment w:val="top"/>
        <w:rPr>
          <w:rFonts w:hint="eastAsia" w:ascii="仿宋" w:hAnsi="仿宋"/>
          <w:color w:val="000000"/>
          <w:sz w:val="28"/>
          <w:szCs w:val="28"/>
        </w:rPr>
      </w:pPr>
      <w:r>
        <w:rPr>
          <w:rFonts w:hint="eastAsia" w:ascii="仿宋" w:hAnsi="仿宋"/>
          <w:b/>
          <w:bCs/>
          <w:color w:val="000000"/>
          <w:sz w:val="28"/>
          <w:szCs w:val="28"/>
          <w:shd w:val="clear" w:color="auto" w:fill="FFFFFF"/>
        </w:rPr>
        <w:t>（五）预遴选</w:t>
      </w:r>
    </w:p>
    <w:p w14:paraId="00DDE19B">
      <w:pPr>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shd w:val="clear" w:color="auto" w:fill="FFFFFF"/>
          <w:lang w:bidi="ar"/>
        </w:rPr>
      </w:pPr>
      <w:r>
        <w:rPr>
          <w:rFonts w:hint="eastAsia" w:ascii="仿宋" w:hAnsi="仿宋"/>
          <w:color w:val="000000"/>
          <w:sz w:val="28"/>
          <w:szCs w:val="28"/>
          <w:shd w:val="clear" w:color="auto" w:fill="FFFFFF"/>
          <w:lang w:bidi="ar"/>
        </w:rPr>
        <w:t>在意向投资人提交《重整投资方案》后，管理人最终将在法院的指导和监督下，组织开展意向投资人预遴选程序，综合对比各意向投资人的履约能力、资信状态、投资方案（包括资金投入期限、方式）、偿债方案、出资人权益调整方案（如涉及）、经营方案等内容，从最大限度保护债权人合法权益及方案可行性的角度出发，评选出“出价最高且最优”的方案为最优方案，具体评选事宜将根据预招募及遴选情况另行通知。</w:t>
      </w:r>
    </w:p>
    <w:p w14:paraId="5B24BA5E">
      <w:pPr>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shd w:val="clear" w:color="auto" w:fill="FFFFFF"/>
          <w:lang w:bidi="ar"/>
        </w:rPr>
      </w:pPr>
      <w:r>
        <w:rPr>
          <w:rFonts w:hint="eastAsia" w:ascii="仿宋" w:hAnsi="仿宋"/>
          <w:color w:val="000000"/>
          <w:sz w:val="28"/>
          <w:szCs w:val="28"/>
          <w:shd w:val="clear" w:color="auto" w:fill="FFFFFF"/>
          <w:lang w:bidi="ar"/>
        </w:rPr>
        <w:t>经选定为正式投资人的，应在管理人发出中选通知书之日起三日内与管理人签订以世纪金光</w:t>
      </w:r>
      <w:r>
        <w:rPr>
          <w:rFonts w:hint="eastAsia" w:ascii="仿宋" w:hAnsi="仿宋"/>
          <w:color w:val="000000"/>
          <w:sz w:val="28"/>
          <w:szCs w:val="28"/>
          <w:shd w:val="clear" w:color="auto" w:fill="FFFFFF"/>
          <w:lang w:val="en-US" w:eastAsia="zh-CN" w:bidi="ar"/>
        </w:rPr>
        <w:t>等关联公司</w:t>
      </w:r>
      <w:r>
        <w:rPr>
          <w:rFonts w:hint="eastAsia" w:ascii="仿宋" w:hAnsi="仿宋"/>
          <w:color w:val="000000"/>
          <w:sz w:val="28"/>
          <w:szCs w:val="28"/>
          <w:shd w:val="clear" w:color="auto" w:fill="FFFFFF"/>
          <w:lang w:bidi="ar"/>
        </w:rPr>
        <w:t>被人民法院裁定进入重整程序为生效条件的投资协议。</w:t>
      </w:r>
    </w:p>
    <w:p w14:paraId="2B0E97CB">
      <w:pPr>
        <w:keepNext w:val="0"/>
        <w:keepLines w:val="0"/>
        <w:pageBreakBefore w:val="0"/>
        <w:widowControl w:val="0"/>
        <w:shd w:val="clear" w:color="auto" w:fill="FFFFFF"/>
        <w:kinsoku/>
        <w:overflowPunct/>
        <w:topLinePunct w:val="0"/>
        <w:autoSpaceDE/>
        <w:autoSpaceDN/>
        <w:bidi w:val="0"/>
        <w:adjustRightInd/>
        <w:snapToGrid/>
        <w:spacing w:line="600" w:lineRule="exact"/>
        <w:ind w:firstLine="562" w:firstLineChars="200"/>
        <w:textAlignment w:val="top"/>
        <w:rPr>
          <w:rFonts w:hint="eastAsia" w:ascii="仿宋" w:hAnsi="仿宋"/>
          <w:b/>
          <w:bCs/>
          <w:color w:val="000000"/>
          <w:sz w:val="28"/>
          <w:szCs w:val="28"/>
          <w:shd w:val="clear" w:color="auto" w:fill="FFFFFF"/>
          <w:lang w:bidi="ar"/>
        </w:rPr>
      </w:pPr>
      <w:r>
        <w:rPr>
          <w:rFonts w:hint="eastAsia" w:ascii="仿宋" w:hAnsi="仿宋"/>
          <w:b/>
          <w:bCs/>
          <w:color w:val="000000"/>
          <w:sz w:val="28"/>
          <w:szCs w:val="28"/>
          <w:shd w:val="clear" w:color="auto" w:fill="FFFFFF"/>
          <w:lang w:bidi="ar"/>
        </w:rPr>
        <w:t>（六）程序转换（如涉及）</w:t>
      </w:r>
    </w:p>
    <w:p w14:paraId="69E21E69">
      <w:pPr>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shd w:val="clear" w:color="auto" w:fill="FFFFFF"/>
          <w:lang w:bidi="ar"/>
        </w:rPr>
      </w:pPr>
      <w:r>
        <w:rPr>
          <w:rFonts w:hint="eastAsia" w:ascii="仿宋" w:hAnsi="仿宋"/>
          <w:color w:val="000000"/>
          <w:sz w:val="28"/>
          <w:szCs w:val="28"/>
          <w:shd w:val="clear" w:color="auto" w:fill="FFFFFF"/>
          <w:lang w:bidi="ar"/>
        </w:rPr>
        <w:t>如人民法院裁定世纪金光</w:t>
      </w:r>
      <w:r>
        <w:rPr>
          <w:rFonts w:hint="eastAsia" w:ascii="仿宋" w:hAnsi="仿宋"/>
          <w:color w:val="000000"/>
          <w:sz w:val="28"/>
          <w:szCs w:val="28"/>
          <w:shd w:val="clear" w:color="auto" w:fill="FFFFFF"/>
          <w:lang w:val="en-US" w:eastAsia="zh-CN" w:bidi="ar"/>
        </w:rPr>
        <w:t>等关联公司</w:t>
      </w:r>
      <w:r>
        <w:rPr>
          <w:rFonts w:hint="eastAsia" w:ascii="仿宋" w:hAnsi="仿宋"/>
          <w:color w:val="000000"/>
          <w:sz w:val="28"/>
          <w:szCs w:val="28"/>
          <w:shd w:val="clear" w:color="auto" w:fill="FFFFFF"/>
          <w:lang w:bidi="ar"/>
        </w:rPr>
        <w:t>由破产清算程序转为重整程序，则经过上述预遴选程序确定的投资人将直接确定为假马重整投资人，同等条件下优先确定为重整投资人。管理人将依据已签署的投资协议编制《重整计划草案》提请债权人会议表决。</w:t>
      </w:r>
    </w:p>
    <w:p w14:paraId="22B58FEB">
      <w:pPr>
        <w:keepNext w:val="0"/>
        <w:keepLines w:val="0"/>
        <w:pageBreakBefore w:val="0"/>
        <w:widowControl w:val="0"/>
        <w:shd w:val="clear" w:color="auto" w:fill="FFFFFF"/>
        <w:kinsoku/>
        <w:overflowPunct/>
        <w:topLinePunct w:val="0"/>
        <w:autoSpaceDE/>
        <w:autoSpaceDN/>
        <w:bidi w:val="0"/>
        <w:adjustRightInd/>
        <w:snapToGrid/>
        <w:spacing w:line="600" w:lineRule="exact"/>
        <w:ind w:firstLine="562" w:firstLineChars="200"/>
        <w:textAlignment w:val="top"/>
        <w:rPr>
          <w:rFonts w:hint="eastAsia" w:ascii="仿宋" w:hAnsi="仿宋"/>
          <w:b/>
          <w:bCs/>
          <w:color w:val="000000"/>
          <w:sz w:val="28"/>
          <w:szCs w:val="28"/>
          <w:shd w:val="clear" w:color="auto" w:fill="FFFFFF"/>
          <w:lang w:bidi="ar"/>
        </w:rPr>
      </w:pPr>
      <w:r>
        <w:rPr>
          <w:rFonts w:hint="eastAsia" w:ascii="仿宋" w:hAnsi="仿宋"/>
          <w:b/>
          <w:bCs/>
          <w:color w:val="000000"/>
          <w:sz w:val="28"/>
          <w:szCs w:val="28"/>
          <w:shd w:val="clear" w:color="auto" w:fill="FFFFFF"/>
          <w:lang w:bidi="ar"/>
        </w:rPr>
        <w:t>（七）保证金的处理</w:t>
      </w:r>
    </w:p>
    <w:p w14:paraId="2A5EE1D2">
      <w:pPr>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shd w:val="clear" w:color="auto" w:fill="FFFFFF"/>
          <w:lang w:bidi="ar"/>
        </w:rPr>
      </w:pPr>
      <w:r>
        <w:rPr>
          <w:rFonts w:hint="eastAsia" w:ascii="仿宋" w:hAnsi="仿宋"/>
          <w:color w:val="000000"/>
          <w:sz w:val="28"/>
          <w:szCs w:val="28"/>
          <w:shd w:val="clear" w:color="auto" w:fill="FFFFFF"/>
          <w:lang w:bidi="ar"/>
        </w:rPr>
        <w:t>根据本预招募流程，原则上，对于不参与下一轮遴选程序的意向投资人，管理人将在上一轮程序结果确定后退还其已缴纳的保证金（不计息），具体退款事宜由管理人另行通知。对于中选的重整投资人，已缴纳的保证金将全部转化为投资履约保证金（不计息），待重整计划获得法院裁定批准后自动转为投资款项。</w:t>
      </w:r>
    </w:p>
    <w:p w14:paraId="21C48CF1">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2" w:firstLineChars="200"/>
        <w:textAlignment w:val="top"/>
        <w:rPr>
          <w:rFonts w:hint="eastAsia" w:ascii="仿宋" w:hAnsi="仿宋"/>
          <w:color w:val="000000"/>
          <w:sz w:val="28"/>
          <w:szCs w:val="28"/>
        </w:rPr>
      </w:pPr>
      <w:r>
        <w:rPr>
          <w:rFonts w:hint="eastAsia" w:ascii="仿宋" w:hAnsi="仿宋"/>
          <w:b/>
          <w:bCs/>
          <w:color w:val="000000"/>
          <w:sz w:val="28"/>
          <w:szCs w:val="28"/>
          <w:shd w:val="clear" w:color="auto" w:fill="FFFFFF"/>
          <w:lang w:val="en-US" w:eastAsia="zh-CN"/>
        </w:rPr>
        <w:t>五</w:t>
      </w:r>
      <w:r>
        <w:rPr>
          <w:rFonts w:hint="eastAsia" w:ascii="仿宋" w:hAnsi="仿宋"/>
          <w:b/>
          <w:bCs/>
          <w:color w:val="000000"/>
          <w:sz w:val="28"/>
          <w:szCs w:val="28"/>
          <w:shd w:val="clear" w:color="auto" w:fill="FFFFFF"/>
        </w:rPr>
        <w:t>、其他事项</w:t>
      </w:r>
    </w:p>
    <w:p w14:paraId="0C5FCAA0">
      <w:pPr>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lang w:bidi="ar"/>
        </w:rPr>
        <w:t>本公告由管理人编制，解释权归属于管理人。由于各种因素导致的不可预期变化，管理人有权根据需要变更预招募事项的有关内容及时间安排，参与预招募的意向投资人需根据管理人的安排配合相关预招募进程。如有变化，届时请以管理人的通知为准。</w:t>
      </w:r>
    </w:p>
    <w:p w14:paraId="51ED2421">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2" w:firstLineChars="200"/>
        <w:textAlignment w:val="top"/>
        <w:rPr>
          <w:rFonts w:hint="eastAsia" w:ascii="仿宋" w:hAnsi="仿宋"/>
          <w:color w:val="000000"/>
          <w:sz w:val="28"/>
          <w:szCs w:val="28"/>
        </w:rPr>
      </w:pPr>
      <w:r>
        <w:rPr>
          <w:rFonts w:hint="eastAsia" w:ascii="仿宋" w:hAnsi="仿宋"/>
          <w:b/>
          <w:bCs/>
          <w:color w:val="000000"/>
          <w:sz w:val="28"/>
          <w:szCs w:val="28"/>
          <w:shd w:val="clear" w:color="auto" w:fill="FFFFFF"/>
          <w:lang w:val="en-US" w:eastAsia="zh-CN"/>
        </w:rPr>
        <w:t>六</w:t>
      </w:r>
      <w:r>
        <w:rPr>
          <w:rFonts w:hint="eastAsia" w:ascii="仿宋" w:hAnsi="仿宋"/>
          <w:b/>
          <w:bCs/>
          <w:color w:val="000000"/>
          <w:sz w:val="28"/>
          <w:szCs w:val="28"/>
          <w:shd w:val="clear" w:color="auto" w:fill="FFFFFF"/>
        </w:rPr>
        <w:t>、报名地点及联系方式</w:t>
      </w:r>
    </w:p>
    <w:p w14:paraId="118FF52F">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u w:val="single"/>
        </w:rPr>
      </w:pPr>
      <w:r>
        <w:rPr>
          <w:rFonts w:hint="eastAsia" w:ascii="仿宋" w:hAnsi="仿宋"/>
          <w:color w:val="000000"/>
          <w:sz w:val="28"/>
          <w:szCs w:val="28"/>
          <w:shd w:val="clear" w:color="auto" w:fill="FFFFFF"/>
        </w:rPr>
        <w:t>（一）报名地点：</w:t>
      </w:r>
      <w:r>
        <w:rPr>
          <w:rFonts w:hint="eastAsia" w:ascii="仿宋" w:hAnsi="仿宋"/>
          <w:color w:val="000000"/>
          <w:sz w:val="28"/>
          <w:szCs w:val="28"/>
          <w:u w:val="single"/>
          <w:shd w:val="clear" w:color="auto" w:fill="FFFFFF"/>
        </w:rPr>
        <w:t xml:space="preserve">北京市东城区南竹杆胡同1号2层209 </w:t>
      </w:r>
    </w:p>
    <w:p w14:paraId="5ABDD4D4">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u w:val="single"/>
          <w:shd w:val="clear" w:color="auto" w:fill="FFFFFF"/>
        </w:rPr>
      </w:pPr>
      <w:r>
        <w:rPr>
          <w:rFonts w:hint="eastAsia" w:ascii="仿宋" w:hAnsi="仿宋"/>
          <w:color w:val="000000"/>
          <w:sz w:val="28"/>
          <w:szCs w:val="28"/>
          <w:shd w:val="clear" w:color="auto" w:fill="FFFFFF"/>
        </w:rPr>
        <w:t xml:space="preserve">（二）联系人、联系电话： </w:t>
      </w:r>
      <w:r>
        <w:rPr>
          <w:rFonts w:hint="eastAsia" w:ascii="仿宋" w:hAnsi="仿宋"/>
          <w:color w:val="000000"/>
          <w:sz w:val="28"/>
          <w:szCs w:val="28"/>
          <w:u w:val="single"/>
          <w:shd w:val="clear" w:color="auto" w:fill="FFFFFF"/>
        </w:rPr>
        <w:t xml:space="preserve">贾律师 18678779226 </w:t>
      </w:r>
    </w:p>
    <w:p w14:paraId="3F9AB12B">
      <w:pPr>
        <w:pStyle w:val="5"/>
        <w:keepNext w:val="0"/>
        <w:keepLines w:val="0"/>
        <w:pageBreakBefore w:val="0"/>
        <w:widowControl w:val="0"/>
        <w:shd w:val="clear" w:color="auto" w:fill="FFFFFF"/>
        <w:kinsoku/>
        <w:overflowPunct/>
        <w:topLinePunct w:val="0"/>
        <w:autoSpaceDE/>
        <w:autoSpaceDN/>
        <w:bidi w:val="0"/>
        <w:adjustRightInd/>
        <w:snapToGrid/>
        <w:spacing w:line="600" w:lineRule="exact"/>
        <w:ind w:firstLine="4200" w:firstLineChars="1500"/>
        <w:textAlignment w:val="top"/>
        <w:rPr>
          <w:rFonts w:hint="eastAsia" w:ascii="仿宋" w:hAnsi="仿宋"/>
          <w:color w:val="000000"/>
          <w:sz w:val="28"/>
          <w:szCs w:val="28"/>
          <w:u w:val="single"/>
        </w:rPr>
      </w:pPr>
      <w:r>
        <w:rPr>
          <w:rFonts w:hint="eastAsia" w:ascii="仿宋" w:hAnsi="仿宋"/>
          <w:color w:val="000000"/>
          <w:sz w:val="28"/>
          <w:szCs w:val="28"/>
          <w:u w:val="single"/>
          <w:shd w:val="clear" w:color="auto" w:fill="FFFFFF"/>
        </w:rPr>
        <w:t xml:space="preserve">李律师 15611865827 </w:t>
      </w:r>
    </w:p>
    <w:p w14:paraId="2C8B8488">
      <w:pPr>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lang w:bidi="ar"/>
        </w:rPr>
        <w:t>热烈欢迎社会各界报名参与本项目。</w:t>
      </w:r>
    </w:p>
    <w:p w14:paraId="7F681AF0">
      <w:pPr>
        <w:keepNext w:val="0"/>
        <w:keepLines w:val="0"/>
        <w:pageBreakBefore w:val="0"/>
        <w:widowControl w:val="0"/>
        <w:shd w:val="clear" w:color="auto" w:fill="FFFFFF"/>
        <w:kinsoku/>
        <w:overflowPunct/>
        <w:topLinePunct w:val="0"/>
        <w:autoSpaceDE/>
        <w:autoSpaceDN/>
        <w:bidi w:val="0"/>
        <w:adjustRightInd/>
        <w:snapToGrid/>
        <w:spacing w:line="600" w:lineRule="exact"/>
        <w:ind w:firstLine="560" w:firstLineChars="200"/>
        <w:textAlignment w:val="top"/>
        <w:rPr>
          <w:rFonts w:hint="eastAsia" w:ascii="仿宋" w:hAnsi="仿宋"/>
          <w:color w:val="000000"/>
          <w:sz w:val="28"/>
          <w:szCs w:val="28"/>
        </w:rPr>
      </w:pPr>
      <w:r>
        <w:rPr>
          <w:rFonts w:hint="eastAsia" w:ascii="仿宋" w:hAnsi="仿宋"/>
          <w:color w:val="000000"/>
          <w:sz w:val="28"/>
          <w:szCs w:val="28"/>
          <w:shd w:val="clear" w:color="auto" w:fill="FFFFFF"/>
          <w:lang w:bidi="ar"/>
        </w:rPr>
        <w:t>特此公告。</w:t>
      </w:r>
    </w:p>
    <w:p w14:paraId="57DE589B">
      <w:pPr>
        <w:keepNext w:val="0"/>
        <w:keepLines w:val="0"/>
        <w:pageBreakBefore w:val="0"/>
        <w:widowControl w:val="0"/>
        <w:shd w:val="clear" w:color="auto" w:fill="FFFFFF"/>
        <w:kinsoku/>
        <w:overflowPunct/>
        <w:topLinePunct w:val="0"/>
        <w:autoSpaceDE/>
        <w:autoSpaceDN/>
        <w:bidi w:val="0"/>
        <w:adjustRightInd/>
        <w:snapToGrid/>
        <w:spacing w:line="600" w:lineRule="exact"/>
        <w:jc w:val="right"/>
        <w:textAlignment w:val="top"/>
        <w:rPr>
          <w:rFonts w:hint="eastAsia" w:ascii="仿宋" w:hAnsi="仿宋"/>
          <w:color w:val="000000"/>
          <w:sz w:val="28"/>
          <w:szCs w:val="28"/>
          <w:shd w:val="clear" w:color="auto" w:fill="FFFFFF"/>
          <w:lang w:bidi="ar"/>
        </w:rPr>
      </w:pPr>
    </w:p>
    <w:p w14:paraId="07FA100C">
      <w:pPr>
        <w:keepNext w:val="0"/>
        <w:keepLines w:val="0"/>
        <w:pageBreakBefore w:val="0"/>
        <w:widowControl w:val="0"/>
        <w:shd w:val="clear" w:color="auto" w:fill="FFFFFF"/>
        <w:kinsoku/>
        <w:overflowPunct/>
        <w:topLinePunct w:val="0"/>
        <w:autoSpaceDE/>
        <w:autoSpaceDN/>
        <w:bidi w:val="0"/>
        <w:adjustRightInd/>
        <w:snapToGrid/>
        <w:spacing w:line="600" w:lineRule="exact"/>
        <w:jc w:val="right"/>
        <w:textAlignment w:val="top"/>
        <w:rPr>
          <w:rFonts w:hint="eastAsia" w:ascii="仿宋" w:hAnsi="仿宋"/>
          <w:color w:val="000000"/>
          <w:sz w:val="28"/>
          <w:szCs w:val="28"/>
          <w:shd w:val="clear" w:color="auto" w:fill="FFFFFF"/>
          <w:lang w:bidi="ar"/>
        </w:rPr>
      </w:pPr>
    </w:p>
    <w:p w14:paraId="1F4658C1">
      <w:pPr>
        <w:keepNext w:val="0"/>
        <w:keepLines w:val="0"/>
        <w:pageBreakBefore w:val="0"/>
        <w:widowControl w:val="0"/>
        <w:shd w:val="clear" w:color="auto" w:fill="FFFFFF"/>
        <w:kinsoku/>
        <w:overflowPunct/>
        <w:topLinePunct w:val="0"/>
        <w:autoSpaceDE/>
        <w:autoSpaceDN/>
        <w:bidi w:val="0"/>
        <w:adjustRightInd/>
        <w:snapToGrid/>
        <w:spacing w:line="600" w:lineRule="exact"/>
        <w:jc w:val="right"/>
        <w:textAlignment w:val="top"/>
        <w:rPr>
          <w:rFonts w:hint="eastAsia" w:ascii="仿宋" w:hAnsi="仿宋"/>
          <w:color w:val="000000"/>
          <w:sz w:val="28"/>
          <w:szCs w:val="28"/>
          <w:shd w:val="clear" w:color="auto" w:fill="FFFFFF"/>
          <w:lang w:bidi="ar"/>
        </w:rPr>
      </w:pPr>
    </w:p>
    <w:p w14:paraId="1762312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right"/>
        <w:textAlignment w:val="auto"/>
        <w:rPr>
          <w:rFonts w:hint="eastAsia" w:ascii="仿宋_GB2312" w:eastAsia="仿宋_GB2312"/>
          <w:b w:val="0"/>
          <w:bCs w:val="0"/>
          <w:sz w:val="28"/>
          <w:szCs w:val="28"/>
          <w:lang w:val="en-US" w:eastAsia="zh-CN"/>
        </w:rPr>
      </w:pPr>
      <w:r>
        <w:rPr>
          <w:rFonts w:hint="eastAsia" w:ascii="仿宋_GB2312" w:eastAsia="仿宋_GB2312"/>
          <w:b w:val="0"/>
          <w:bCs w:val="0"/>
          <w:sz w:val="28"/>
          <w:szCs w:val="28"/>
          <w:lang w:val="en-US" w:eastAsia="zh-CN"/>
        </w:rPr>
        <w:t>北京世纪金光半导体有限公司</w:t>
      </w:r>
    </w:p>
    <w:p w14:paraId="7962F34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right"/>
        <w:textAlignment w:val="auto"/>
        <w:rPr>
          <w:rFonts w:hint="eastAsia" w:ascii="仿宋_GB2312" w:eastAsia="仿宋_GB2312"/>
          <w:b w:val="0"/>
          <w:bCs w:val="0"/>
          <w:sz w:val="28"/>
          <w:szCs w:val="28"/>
          <w:lang w:val="en-US" w:eastAsia="zh-CN"/>
        </w:rPr>
      </w:pPr>
      <w:r>
        <w:rPr>
          <w:rFonts w:hint="eastAsia" w:ascii="仿宋_GB2312" w:eastAsia="仿宋_GB2312"/>
          <w:b w:val="0"/>
          <w:bCs w:val="0"/>
          <w:sz w:val="28"/>
          <w:szCs w:val="28"/>
          <w:lang w:val="en-US" w:eastAsia="zh-CN"/>
        </w:rPr>
        <w:t>北京华进创威电子有限公司</w:t>
      </w:r>
    </w:p>
    <w:p w14:paraId="28A68B3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right"/>
        <w:textAlignment w:val="auto"/>
        <w:rPr>
          <w:rFonts w:hint="eastAsia" w:ascii="仿宋_GB2312" w:eastAsia="仿宋_GB2312"/>
          <w:b w:val="0"/>
          <w:bCs w:val="0"/>
          <w:sz w:val="28"/>
          <w:szCs w:val="28"/>
          <w:lang w:val="en-US" w:eastAsia="zh-CN"/>
        </w:rPr>
      </w:pPr>
      <w:r>
        <w:rPr>
          <w:rFonts w:hint="eastAsia" w:ascii="仿宋_GB2312" w:eastAsia="仿宋_GB2312"/>
          <w:b w:val="0"/>
          <w:bCs w:val="0"/>
          <w:sz w:val="28"/>
          <w:szCs w:val="28"/>
          <w:lang w:val="en-US" w:eastAsia="zh-CN"/>
        </w:rPr>
        <w:t>实质合并破产清算管理人</w:t>
      </w:r>
    </w:p>
    <w:p w14:paraId="4E5F72E3">
      <w:pPr>
        <w:keepNext w:val="0"/>
        <w:keepLines w:val="0"/>
        <w:pageBreakBefore w:val="0"/>
        <w:widowControl w:val="0"/>
        <w:shd w:val="clear" w:color="auto" w:fill="FFFFFF"/>
        <w:kinsoku/>
        <w:wordWrap w:val="0"/>
        <w:overflowPunct/>
        <w:topLinePunct w:val="0"/>
        <w:autoSpaceDE/>
        <w:autoSpaceDN/>
        <w:bidi w:val="0"/>
        <w:adjustRightInd/>
        <w:snapToGrid/>
        <w:spacing w:line="600" w:lineRule="exact"/>
        <w:jc w:val="right"/>
        <w:textAlignment w:val="top"/>
        <w:rPr>
          <w:rFonts w:hint="eastAsia" w:ascii="仿宋" w:hAnsi="仿宋"/>
          <w:b/>
          <w:bCs/>
          <w:sz w:val="28"/>
          <w:szCs w:val="28"/>
        </w:rPr>
      </w:pPr>
      <w:r>
        <w:rPr>
          <w:rFonts w:hint="eastAsia" w:ascii="仿宋" w:hAnsi="仿宋"/>
          <w:color w:val="000000"/>
          <w:sz w:val="28"/>
          <w:szCs w:val="28"/>
          <w:shd w:val="clear" w:color="auto" w:fill="FFFFFF"/>
          <w:lang w:bidi="ar"/>
        </w:rPr>
        <w:t xml:space="preserve">   二〇二五年</w:t>
      </w:r>
      <w:r>
        <w:rPr>
          <w:rFonts w:hint="eastAsia" w:ascii="仿宋" w:hAnsi="仿宋"/>
          <w:color w:val="000000"/>
          <w:sz w:val="28"/>
          <w:szCs w:val="28"/>
          <w:shd w:val="clear" w:color="auto" w:fill="FFFFFF"/>
          <w:lang w:val="en-US" w:eastAsia="zh-CN" w:bidi="ar"/>
        </w:rPr>
        <w:t>六</w:t>
      </w:r>
      <w:r>
        <w:rPr>
          <w:rFonts w:hint="eastAsia" w:ascii="仿宋" w:hAnsi="仿宋"/>
          <w:color w:val="000000"/>
          <w:sz w:val="28"/>
          <w:szCs w:val="28"/>
          <w:shd w:val="clear" w:color="auto" w:fill="FFFFFF"/>
          <w:lang w:bidi="ar"/>
        </w:rPr>
        <w:t>月</w:t>
      </w:r>
      <w:r>
        <w:rPr>
          <w:rFonts w:hint="eastAsia" w:ascii="仿宋" w:hAnsi="仿宋"/>
          <w:color w:val="000000"/>
          <w:sz w:val="28"/>
          <w:szCs w:val="28"/>
          <w:shd w:val="clear" w:color="auto" w:fill="FFFFFF"/>
          <w:lang w:val="en-US" w:eastAsia="zh-CN" w:bidi="ar"/>
        </w:rPr>
        <w:t>六</w:t>
      </w:r>
      <w:r>
        <w:rPr>
          <w:rFonts w:hint="eastAsia" w:ascii="仿宋" w:hAnsi="仿宋"/>
          <w:color w:val="000000"/>
          <w:sz w:val="28"/>
          <w:szCs w:val="28"/>
          <w:shd w:val="clear" w:color="auto" w:fill="FFFFFF"/>
          <w:lang w:bidi="ar"/>
        </w:rPr>
        <w:t xml:space="preserve">日  </w:t>
      </w:r>
    </w:p>
    <w:p w14:paraId="3EC742E9">
      <w:pPr>
        <w:snapToGrid w:val="0"/>
        <w:spacing w:line="560" w:lineRule="exact"/>
        <w:rPr>
          <w:rFonts w:hint="eastAsia" w:ascii="仿宋" w:hAnsi="仿宋"/>
          <w:b/>
          <w:bCs/>
          <w:sz w:val="28"/>
          <w:szCs w:val="28"/>
        </w:rPr>
      </w:pPr>
    </w:p>
    <w:p w14:paraId="7D5EB351">
      <w:pPr>
        <w:snapToGrid w:val="0"/>
        <w:spacing w:line="560" w:lineRule="exact"/>
        <w:rPr>
          <w:rFonts w:hint="eastAsia" w:ascii="仿宋" w:hAnsi="仿宋"/>
          <w:b/>
          <w:bCs/>
          <w:sz w:val="28"/>
          <w:szCs w:val="28"/>
        </w:rPr>
      </w:pPr>
    </w:p>
    <w:p w14:paraId="35121FFD">
      <w:pPr>
        <w:snapToGrid w:val="0"/>
        <w:spacing w:line="560" w:lineRule="exact"/>
        <w:rPr>
          <w:rFonts w:hint="eastAsia" w:ascii="仿宋" w:hAnsi="仿宋"/>
          <w:b/>
          <w:bCs/>
          <w:sz w:val="28"/>
          <w:szCs w:val="28"/>
        </w:rPr>
      </w:pPr>
    </w:p>
    <w:p w14:paraId="1362069A">
      <w:pPr>
        <w:snapToGrid w:val="0"/>
        <w:spacing w:line="560" w:lineRule="exact"/>
        <w:rPr>
          <w:rFonts w:hint="eastAsia" w:ascii="仿宋" w:hAnsi="仿宋"/>
          <w:b/>
          <w:bCs/>
          <w:sz w:val="28"/>
          <w:szCs w:val="28"/>
        </w:rPr>
      </w:pPr>
    </w:p>
    <w:p w14:paraId="32A405AE">
      <w:pPr>
        <w:snapToGrid w:val="0"/>
        <w:spacing w:line="560" w:lineRule="exact"/>
        <w:rPr>
          <w:rFonts w:hint="eastAsia" w:ascii="仿宋" w:hAnsi="仿宋"/>
          <w:b/>
          <w:bCs/>
          <w:sz w:val="28"/>
          <w:szCs w:val="28"/>
        </w:rPr>
      </w:pPr>
    </w:p>
    <w:p w14:paraId="597AC5D7">
      <w:pPr>
        <w:snapToGrid w:val="0"/>
        <w:spacing w:line="560" w:lineRule="exact"/>
        <w:rPr>
          <w:rFonts w:hint="eastAsia" w:ascii="仿宋" w:hAnsi="仿宋"/>
          <w:b/>
          <w:bCs/>
          <w:sz w:val="28"/>
          <w:szCs w:val="28"/>
        </w:rPr>
      </w:pPr>
    </w:p>
    <w:p w14:paraId="14816E54">
      <w:pPr>
        <w:snapToGrid w:val="0"/>
        <w:spacing w:line="560" w:lineRule="exact"/>
        <w:rPr>
          <w:rFonts w:hint="eastAsia" w:ascii="仿宋" w:hAnsi="仿宋"/>
          <w:b/>
          <w:bCs/>
          <w:sz w:val="28"/>
          <w:szCs w:val="28"/>
        </w:rPr>
      </w:pPr>
    </w:p>
    <w:p w14:paraId="11C4AEF2">
      <w:pPr>
        <w:snapToGrid w:val="0"/>
        <w:spacing w:line="560" w:lineRule="exact"/>
        <w:rPr>
          <w:rFonts w:hint="eastAsia" w:ascii="仿宋" w:hAnsi="仿宋"/>
          <w:b/>
          <w:bCs/>
          <w:sz w:val="28"/>
          <w:szCs w:val="28"/>
        </w:rPr>
      </w:pPr>
      <w:r>
        <w:rPr>
          <w:rFonts w:hint="eastAsia" w:ascii="仿宋" w:hAnsi="仿宋"/>
          <w:b/>
          <w:bCs/>
          <w:sz w:val="28"/>
          <w:szCs w:val="28"/>
        </w:rPr>
        <w:t>附件1：</w:t>
      </w:r>
      <w:bookmarkStart w:id="0" w:name="_Hlk176901151"/>
    </w:p>
    <w:bookmarkEnd w:id="0"/>
    <w:p w14:paraId="45058D2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bCs/>
          <w:sz w:val="36"/>
          <w:szCs w:val="36"/>
          <w:lang w:val="en-US" w:eastAsia="zh-CN"/>
        </w:rPr>
      </w:pPr>
      <w:r>
        <w:rPr>
          <w:rFonts w:hint="eastAsia" w:ascii="宋体" w:hAnsi="宋体" w:eastAsia="宋体" w:cs="宋体"/>
          <w:b/>
          <w:bCs/>
          <w:sz w:val="32"/>
          <w:szCs w:val="32"/>
          <w:lang w:val="en-US" w:eastAsia="zh-CN"/>
        </w:rPr>
        <w:t>北京世纪金光半导体有限公司 北京华进创威电子有限公司</w:t>
      </w:r>
    </w:p>
    <w:p w14:paraId="417830B0">
      <w:pPr>
        <w:snapToGrid w:val="0"/>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预招募重整投资人</w:t>
      </w:r>
    </w:p>
    <w:p w14:paraId="3AF0A14F">
      <w:pPr>
        <w:snapToGrid w:val="0"/>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报名意向书</w:t>
      </w:r>
    </w:p>
    <w:p w14:paraId="3C693794">
      <w:pPr>
        <w:snapToGrid w:val="0"/>
        <w:spacing w:line="560" w:lineRule="exact"/>
        <w:rPr>
          <w:rFonts w:hint="eastAsia" w:ascii="仿宋" w:hAnsi="仿宋"/>
          <w:sz w:val="28"/>
          <w:szCs w:val="28"/>
        </w:rPr>
      </w:pPr>
      <w:r>
        <w:rPr>
          <w:rFonts w:hint="eastAsia" w:ascii="仿宋" w:hAnsi="仿宋"/>
          <w:sz w:val="28"/>
          <w:szCs w:val="28"/>
        </w:rPr>
        <w:t>北京世纪金光半导体有限公司 北京华进创威电子有限公司管理人：</w:t>
      </w:r>
    </w:p>
    <w:p w14:paraId="2B86077A">
      <w:pPr>
        <w:snapToGrid w:val="0"/>
        <w:spacing w:line="560" w:lineRule="exact"/>
        <w:ind w:firstLine="560" w:firstLineChars="200"/>
        <w:rPr>
          <w:rFonts w:hint="eastAsia" w:ascii="仿宋" w:hAnsi="仿宋"/>
          <w:sz w:val="28"/>
          <w:szCs w:val="28"/>
        </w:rPr>
      </w:pPr>
      <w:r>
        <w:rPr>
          <w:rFonts w:hint="eastAsia" w:ascii="仿宋" w:hAnsi="仿宋"/>
          <w:sz w:val="28"/>
          <w:szCs w:val="28"/>
        </w:rPr>
        <w:t>本参选机构已充分知悉并了解《北京世纪金光半导体有限公司破产清算案意向投资人预招募公告》的内容，承诺符合该公告所要求的意向投资人报名条件。本参选机构所提交的报名材料均真实、合法、有效，且不存在重大隐瞒或遗漏，本参选机构自愿参与北京世纪金光半导体有限公司</w:t>
      </w:r>
      <w:r>
        <w:rPr>
          <w:rFonts w:hint="eastAsia" w:ascii="仿宋" w:hAnsi="仿宋"/>
          <w:sz w:val="28"/>
          <w:szCs w:val="28"/>
          <w:lang w:eastAsia="zh-CN"/>
        </w:rPr>
        <w:t>、</w:t>
      </w:r>
      <w:r>
        <w:rPr>
          <w:rFonts w:hint="eastAsia" w:ascii="仿宋" w:hAnsi="仿宋"/>
          <w:sz w:val="28"/>
          <w:szCs w:val="28"/>
          <w:lang w:val="en-US" w:eastAsia="zh-CN"/>
        </w:rPr>
        <w:t>北京华进创威电子有限公司</w:t>
      </w:r>
      <w:r>
        <w:rPr>
          <w:rFonts w:hint="eastAsia" w:ascii="仿宋" w:hAnsi="仿宋"/>
          <w:sz w:val="28"/>
          <w:szCs w:val="28"/>
        </w:rPr>
        <w:t>投资人的预招募程序，遵照管理人要求开展投资人预招募程序，并自行承担一切责任与风险。本参选机构的名称及联系方式如下：</w:t>
      </w:r>
    </w:p>
    <w:tbl>
      <w:tblPr>
        <w:tblStyle w:val="8"/>
        <w:tblpPr w:leftFromText="180" w:rightFromText="180" w:vertAnchor="text" w:horzAnchor="page" w:tblpXSpec="center" w:tblpY="42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5466"/>
      </w:tblGrid>
      <w:tr w14:paraId="21F5B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4FD99D93">
            <w:pPr>
              <w:snapToGrid w:val="0"/>
              <w:spacing w:line="560" w:lineRule="exact"/>
              <w:jc w:val="center"/>
              <w:rPr>
                <w:rFonts w:hint="eastAsia" w:ascii="仿宋" w:hAnsi="仿宋"/>
                <w:sz w:val="28"/>
                <w:szCs w:val="28"/>
              </w:rPr>
            </w:pPr>
            <w:r>
              <w:rPr>
                <w:rFonts w:hint="eastAsia" w:ascii="仿宋" w:hAnsi="仿宋"/>
                <w:sz w:val="28"/>
                <w:szCs w:val="28"/>
              </w:rPr>
              <w:t>名    称</w:t>
            </w:r>
          </w:p>
        </w:tc>
        <w:tc>
          <w:tcPr>
            <w:tcW w:w="5466" w:type="dxa"/>
          </w:tcPr>
          <w:p w14:paraId="6A7EEA77">
            <w:pPr>
              <w:snapToGrid w:val="0"/>
              <w:spacing w:line="560" w:lineRule="exact"/>
              <w:rPr>
                <w:rFonts w:hint="eastAsia" w:ascii="仿宋" w:hAnsi="仿宋"/>
                <w:sz w:val="28"/>
                <w:szCs w:val="28"/>
              </w:rPr>
            </w:pPr>
          </w:p>
        </w:tc>
      </w:tr>
      <w:tr w14:paraId="6CD3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6B7F7B39">
            <w:pPr>
              <w:snapToGrid w:val="0"/>
              <w:spacing w:line="560" w:lineRule="exact"/>
              <w:jc w:val="center"/>
              <w:rPr>
                <w:rFonts w:hint="eastAsia" w:ascii="仿宋" w:hAnsi="仿宋"/>
                <w:sz w:val="28"/>
                <w:szCs w:val="28"/>
              </w:rPr>
            </w:pPr>
            <w:r>
              <w:rPr>
                <w:rFonts w:hint="eastAsia" w:ascii="仿宋" w:hAnsi="仿宋"/>
                <w:sz w:val="28"/>
                <w:szCs w:val="28"/>
              </w:rPr>
              <w:t>联 系 人</w:t>
            </w:r>
          </w:p>
        </w:tc>
        <w:tc>
          <w:tcPr>
            <w:tcW w:w="5466" w:type="dxa"/>
          </w:tcPr>
          <w:p w14:paraId="14A72F6C">
            <w:pPr>
              <w:snapToGrid w:val="0"/>
              <w:spacing w:line="560" w:lineRule="exact"/>
              <w:rPr>
                <w:rFonts w:hint="eastAsia" w:ascii="仿宋" w:hAnsi="仿宋"/>
                <w:sz w:val="28"/>
                <w:szCs w:val="28"/>
              </w:rPr>
            </w:pPr>
          </w:p>
        </w:tc>
      </w:tr>
      <w:tr w14:paraId="3223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763A00FD">
            <w:pPr>
              <w:snapToGrid w:val="0"/>
              <w:spacing w:line="560" w:lineRule="exact"/>
              <w:jc w:val="center"/>
              <w:rPr>
                <w:rFonts w:hint="eastAsia" w:ascii="仿宋" w:hAnsi="仿宋"/>
                <w:sz w:val="28"/>
                <w:szCs w:val="28"/>
              </w:rPr>
            </w:pPr>
            <w:r>
              <w:rPr>
                <w:rFonts w:hint="eastAsia" w:ascii="仿宋" w:hAnsi="仿宋"/>
                <w:sz w:val="28"/>
                <w:szCs w:val="28"/>
              </w:rPr>
              <w:t>联系电话</w:t>
            </w:r>
          </w:p>
        </w:tc>
        <w:tc>
          <w:tcPr>
            <w:tcW w:w="5466" w:type="dxa"/>
          </w:tcPr>
          <w:p w14:paraId="2A44F2CE">
            <w:pPr>
              <w:snapToGrid w:val="0"/>
              <w:spacing w:line="560" w:lineRule="exact"/>
              <w:rPr>
                <w:rFonts w:hint="eastAsia" w:ascii="仿宋" w:hAnsi="仿宋"/>
                <w:sz w:val="28"/>
                <w:szCs w:val="28"/>
              </w:rPr>
            </w:pPr>
          </w:p>
        </w:tc>
      </w:tr>
      <w:tr w14:paraId="6B170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1B55A1D5">
            <w:pPr>
              <w:snapToGrid w:val="0"/>
              <w:spacing w:line="560" w:lineRule="exact"/>
              <w:jc w:val="center"/>
              <w:rPr>
                <w:rFonts w:hint="eastAsia" w:ascii="仿宋" w:hAnsi="仿宋"/>
                <w:sz w:val="28"/>
                <w:szCs w:val="28"/>
              </w:rPr>
            </w:pPr>
            <w:r>
              <w:rPr>
                <w:rFonts w:hint="eastAsia" w:ascii="仿宋" w:hAnsi="仿宋"/>
                <w:sz w:val="28"/>
                <w:szCs w:val="28"/>
              </w:rPr>
              <w:t>电子邮箱</w:t>
            </w:r>
          </w:p>
        </w:tc>
        <w:tc>
          <w:tcPr>
            <w:tcW w:w="5466" w:type="dxa"/>
          </w:tcPr>
          <w:p w14:paraId="3F2E3794">
            <w:pPr>
              <w:snapToGrid w:val="0"/>
              <w:spacing w:line="560" w:lineRule="exact"/>
              <w:rPr>
                <w:rFonts w:hint="eastAsia" w:ascii="仿宋" w:hAnsi="仿宋"/>
                <w:sz w:val="28"/>
                <w:szCs w:val="28"/>
              </w:rPr>
            </w:pPr>
          </w:p>
        </w:tc>
      </w:tr>
      <w:tr w14:paraId="4788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tcPr>
          <w:p w14:paraId="6CC3265E">
            <w:pPr>
              <w:snapToGrid w:val="0"/>
              <w:spacing w:line="560" w:lineRule="exact"/>
              <w:jc w:val="center"/>
              <w:rPr>
                <w:rFonts w:hint="eastAsia" w:ascii="仿宋" w:hAnsi="仿宋"/>
                <w:sz w:val="28"/>
                <w:szCs w:val="28"/>
              </w:rPr>
            </w:pPr>
            <w:r>
              <w:rPr>
                <w:rFonts w:hint="eastAsia" w:ascii="仿宋" w:hAnsi="仿宋"/>
                <w:sz w:val="28"/>
                <w:szCs w:val="28"/>
              </w:rPr>
              <w:t>联系地址</w:t>
            </w:r>
          </w:p>
        </w:tc>
        <w:tc>
          <w:tcPr>
            <w:tcW w:w="5466" w:type="dxa"/>
          </w:tcPr>
          <w:p w14:paraId="15A3C9FB">
            <w:pPr>
              <w:snapToGrid w:val="0"/>
              <w:spacing w:line="560" w:lineRule="exact"/>
              <w:rPr>
                <w:rFonts w:hint="eastAsia" w:ascii="仿宋" w:hAnsi="仿宋"/>
                <w:sz w:val="28"/>
                <w:szCs w:val="28"/>
              </w:rPr>
            </w:pPr>
          </w:p>
        </w:tc>
      </w:tr>
      <w:tr w14:paraId="4AF9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Merge w:val="restart"/>
            <w:vAlign w:val="center"/>
          </w:tcPr>
          <w:p w14:paraId="53708FE5">
            <w:pPr>
              <w:snapToGrid w:val="0"/>
              <w:spacing w:line="560" w:lineRule="exact"/>
              <w:jc w:val="center"/>
              <w:rPr>
                <w:rFonts w:hint="eastAsia" w:ascii="仿宋" w:hAnsi="仿宋"/>
                <w:sz w:val="28"/>
                <w:szCs w:val="28"/>
              </w:rPr>
            </w:pPr>
            <w:r>
              <w:rPr>
                <w:rFonts w:hint="eastAsia" w:ascii="仿宋" w:hAnsi="仿宋"/>
                <w:sz w:val="28"/>
                <w:szCs w:val="28"/>
              </w:rPr>
              <w:t>银行账户信息</w:t>
            </w:r>
          </w:p>
          <w:p w14:paraId="204D23E1">
            <w:pPr>
              <w:snapToGrid w:val="0"/>
              <w:spacing w:line="560" w:lineRule="exact"/>
              <w:jc w:val="center"/>
              <w:rPr>
                <w:rFonts w:hint="eastAsia" w:ascii="仿宋" w:hAnsi="仿宋"/>
                <w:sz w:val="28"/>
                <w:szCs w:val="28"/>
              </w:rPr>
            </w:pPr>
            <w:r>
              <w:rPr>
                <w:rFonts w:hint="eastAsia" w:ascii="仿宋" w:hAnsi="仿宋"/>
                <w:sz w:val="28"/>
                <w:szCs w:val="28"/>
              </w:rPr>
              <w:t>（用于退还保证金使用）</w:t>
            </w:r>
          </w:p>
        </w:tc>
        <w:tc>
          <w:tcPr>
            <w:tcW w:w="5466" w:type="dxa"/>
          </w:tcPr>
          <w:p w14:paraId="4A66207E">
            <w:pPr>
              <w:snapToGrid w:val="0"/>
              <w:spacing w:line="560" w:lineRule="exact"/>
              <w:rPr>
                <w:rFonts w:hint="eastAsia" w:ascii="仿宋" w:hAnsi="仿宋"/>
                <w:sz w:val="28"/>
                <w:szCs w:val="28"/>
              </w:rPr>
            </w:pPr>
            <w:r>
              <w:rPr>
                <w:rFonts w:hint="eastAsia" w:ascii="仿宋" w:hAnsi="仿宋"/>
                <w:sz w:val="28"/>
                <w:szCs w:val="28"/>
              </w:rPr>
              <w:t>开户名称：</w:t>
            </w:r>
          </w:p>
        </w:tc>
      </w:tr>
      <w:tr w14:paraId="6767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Merge w:val="continue"/>
          </w:tcPr>
          <w:p w14:paraId="58FD8192">
            <w:pPr>
              <w:snapToGrid w:val="0"/>
              <w:spacing w:line="560" w:lineRule="exact"/>
              <w:jc w:val="center"/>
              <w:rPr>
                <w:rFonts w:hint="eastAsia" w:ascii="仿宋" w:hAnsi="仿宋"/>
                <w:sz w:val="28"/>
                <w:szCs w:val="28"/>
              </w:rPr>
            </w:pPr>
          </w:p>
        </w:tc>
        <w:tc>
          <w:tcPr>
            <w:tcW w:w="5466" w:type="dxa"/>
          </w:tcPr>
          <w:p w14:paraId="1060AA04">
            <w:pPr>
              <w:snapToGrid w:val="0"/>
              <w:spacing w:line="560" w:lineRule="exact"/>
              <w:rPr>
                <w:rFonts w:hint="eastAsia" w:ascii="仿宋" w:hAnsi="仿宋"/>
                <w:sz w:val="28"/>
                <w:szCs w:val="28"/>
              </w:rPr>
            </w:pPr>
            <w:r>
              <w:rPr>
                <w:rFonts w:hint="eastAsia" w:ascii="仿宋" w:hAnsi="仿宋"/>
                <w:sz w:val="28"/>
                <w:szCs w:val="28"/>
              </w:rPr>
              <w:t>账    号：</w:t>
            </w:r>
          </w:p>
        </w:tc>
      </w:tr>
      <w:tr w14:paraId="24F7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0" w:type="dxa"/>
            <w:vMerge w:val="continue"/>
          </w:tcPr>
          <w:p w14:paraId="763C0312">
            <w:pPr>
              <w:snapToGrid w:val="0"/>
              <w:spacing w:line="560" w:lineRule="exact"/>
              <w:jc w:val="center"/>
              <w:rPr>
                <w:rFonts w:hint="eastAsia" w:ascii="仿宋" w:hAnsi="仿宋"/>
                <w:sz w:val="28"/>
                <w:szCs w:val="28"/>
              </w:rPr>
            </w:pPr>
          </w:p>
        </w:tc>
        <w:tc>
          <w:tcPr>
            <w:tcW w:w="5466" w:type="dxa"/>
          </w:tcPr>
          <w:p w14:paraId="774ECC10">
            <w:pPr>
              <w:snapToGrid w:val="0"/>
              <w:spacing w:line="560" w:lineRule="exact"/>
              <w:rPr>
                <w:rFonts w:hint="eastAsia" w:ascii="仿宋" w:hAnsi="仿宋"/>
                <w:sz w:val="28"/>
                <w:szCs w:val="28"/>
              </w:rPr>
            </w:pPr>
            <w:r>
              <w:rPr>
                <w:rFonts w:hint="eastAsia" w:ascii="仿宋" w:hAnsi="仿宋"/>
                <w:sz w:val="28"/>
                <w:szCs w:val="28"/>
              </w:rPr>
              <w:t>开 户 行：</w:t>
            </w:r>
          </w:p>
        </w:tc>
      </w:tr>
    </w:tbl>
    <w:p w14:paraId="2ABB0640">
      <w:pPr>
        <w:spacing w:line="560" w:lineRule="exact"/>
        <w:jc w:val="center"/>
        <w:rPr>
          <w:rFonts w:hint="eastAsia" w:ascii="仿宋" w:hAnsi="仿宋"/>
          <w:sz w:val="28"/>
          <w:szCs w:val="28"/>
        </w:rPr>
      </w:pPr>
      <w:r>
        <w:rPr>
          <w:rFonts w:hint="eastAsia" w:ascii="仿宋" w:hAnsi="仿宋"/>
          <w:sz w:val="28"/>
          <w:szCs w:val="28"/>
        </w:rPr>
        <w:t xml:space="preserve">   意向投资人（盖章）：</w:t>
      </w:r>
    </w:p>
    <w:p w14:paraId="63EB938C">
      <w:pPr>
        <w:wordWrap w:val="0"/>
        <w:spacing w:line="560" w:lineRule="exact"/>
        <w:jc w:val="right"/>
        <w:rPr>
          <w:rFonts w:hint="eastAsia" w:ascii="仿宋" w:hAnsi="仿宋"/>
          <w:sz w:val="28"/>
          <w:szCs w:val="28"/>
          <w:u w:val="single"/>
        </w:rPr>
      </w:pPr>
      <w:r>
        <w:rPr>
          <w:rFonts w:hint="eastAsia" w:ascii="仿宋" w:hAnsi="仿宋"/>
          <w:sz w:val="28"/>
          <w:szCs w:val="28"/>
        </w:rPr>
        <w:t xml:space="preserve"> 法定代表人（负责人）/授权代表签字：</w:t>
      </w:r>
      <w:r>
        <w:rPr>
          <w:rFonts w:hint="eastAsia" w:ascii="仿宋" w:hAnsi="仿宋"/>
          <w:sz w:val="28"/>
          <w:szCs w:val="28"/>
          <w:u w:val="single"/>
        </w:rPr>
        <w:t xml:space="preserve">          </w:t>
      </w:r>
    </w:p>
    <w:p w14:paraId="5F885AF1">
      <w:pPr>
        <w:wordWrap w:val="0"/>
        <w:spacing w:line="560" w:lineRule="exact"/>
        <w:jc w:val="right"/>
        <w:rPr>
          <w:rFonts w:hint="eastAsia" w:ascii="仿宋" w:hAnsi="仿宋"/>
          <w:sz w:val="28"/>
          <w:szCs w:val="28"/>
          <w:u w:val="single"/>
        </w:rPr>
      </w:pPr>
      <w:r>
        <w:rPr>
          <w:rFonts w:hint="eastAsia" w:ascii="仿宋" w:hAnsi="仿宋"/>
          <w:sz w:val="28"/>
          <w:szCs w:val="28"/>
        </w:rPr>
        <w:t xml:space="preserve"> 日期：</w:t>
      </w:r>
      <w:r>
        <w:rPr>
          <w:rFonts w:hint="eastAsia" w:ascii="仿宋" w:hAnsi="仿宋"/>
          <w:sz w:val="28"/>
          <w:szCs w:val="28"/>
          <w:u w:val="single"/>
        </w:rPr>
        <w:t xml:space="preserve">          </w:t>
      </w:r>
    </w:p>
    <w:p w14:paraId="161E0FD4">
      <w:pPr>
        <w:snapToGrid w:val="0"/>
        <w:spacing w:line="560" w:lineRule="exact"/>
        <w:rPr>
          <w:rFonts w:hint="eastAsia" w:ascii="仿宋" w:hAnsi="仿宋"/>
          <w:b/>
          <w:bCs/>
          <w:sz w:val="28"/>
          <w:szCs w:val="28"/>
        </w:rPr>
      </w:pPr>
      <w:r>
        <w:rPr>
          <w:rFonts w:hint="eastAsia" w:ascii="仿宋" w:hAnsi="仿宋"/>
          <w:b/>
          <w:bCs/>
          <w:sz w:val="28"/>
          <w:szCs w:val="28"/>
        </w:rPr>
        <w:t>附件2：</w:t>
      </w:r>
    </w:p>
    <w:p w14:paraId="0AB691D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bCs/>
          <w:sz w:val="36"/>
          <w:szCs w:val="36"/>
          <w:lang w:val="en-US" w:eastAsia="zh-CN"/>
        </w:rPr>
      </w:pPr>
      <w:r>
        <w:rPr>
          <w:rFonts w:hint="eastAsia" w:ascii="宋体" w:hAnsi="宋体" w:eastAsia="宋体" w:cs="宋体"/>
          <w:b/>
          <w:bCs/>
          <w:sz w:val="32"/>
          <w:szCs w:val="32"/>
          <w:lang w:val="en-US" w:eastAsia="zh-CN"/>
        </w:rPr>
        <w:t>北京世纪金光半导体有限公司 北京华进创威电子有限公司</w:t>
      </w:r>
    </w:p>
    <w:p w14:paraId="1A51E2A7">
      <w:pPr>
        <w:snapToGrid w:val="0"/>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预招募意向投资人</w:t>
      </w:r>
    </w:p>
    <w:p w14:paraId="5270E1B4">
      <w:pPr>
        <w:snapToGrid w:val="0"/>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承 诺 函</w:t>
      </w:r>
    </w:p>
    <w:p w14:paraId="4F8FA9B4">
      <w:pPr>
        <w:snapToGrid w:val="0"/>
        <w:spacing w:line="560" w:lineRule="exact"/>
        <w:jc w:val="center"/>
        <w:rPr>
          <w:rFonts w:hint="eastAsia" w:ascii="仿宋" w:hAnsi="仿宋"/>
          <w:b/>
          <w:bCs/>
          <w:sz w:val="28"/>
          <w:szCs w:val="28"/>
        </w:rPr>
      </w:pPr>
    </w:p>
    <w:p w14:paraId="1656F74E">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 w:hAnsi="仿宋"/>
          <w:sz w:val="28"/>
          <w:szCs w:val="28"/>
        </w:rPr>
      </w:pPr>
      <w:r>
        <w:rPr>
          <w:rFonts w:hint="eastAsia" w:ascii="仿宋" w:hAnsi="仿宋"/>
          <w:sz w:val="28"/>
          <w:szCs w:val="28"/>
        </w:rPr>
        <w:t>北京世纪金光半导体有限公司 北京华进创威电子有限公司管理人：</w:t>
      </w:r>
    </w:p>
    <w:p w14:paraId="0391FD07">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仿宋" w:hAnsi="仿宋"/>
          <w:sz w:val="28"/>
          <w:szCs w:val="28"/>
        </w:rPr>
      </w:pPr>
      <w:r>
        <w:rPr>
          <w:rFonts w:hint="eastAsia" w:ascii="仿宋" w:hAnsi="仿宋"/>
          <w:sz w:val="28"/>
          <w:szCs w:val="28"/>
        </w:rPr>
        <w:t>截至本函件出具之日，我方未被人民法院列入失信被执行人名单，不属于失信惩戒对象，最近三年无重大违法行为且不涉嫌重大违法行为。北京世纪金光半导体有限公司</w:t>
      </w:r>
      <w:r>
        <w:rPr>
          <w:rFonts w:hint="eastAsia" w:ascii="仿宋" w:hAnsi="仿宋"/>
          <w:sz w:val="28"/>
          <w:szCs w:val="28"/>
          <w:lang w:eastAsia="zh-CN"/>
        </w:rPr>
        <w:t>、</w:t>
      </w:r>
      <w:r>
        <w:rPr>
          <w:rFonts w:hint="eastAsia" w:ascii="仿宋" w:hAnsi="仿宋"/>
          <w:sz w:val="28"/>
          <w:szCs w:val="28"/>
          <w:lang w:val="en-US" w:eastAsia="zh-CN"/>
        </w:rPr>
        <w:t>北京华进创威电子有限公司</w:t>
      </w:r>
      <w:r>
        <w:rPr>
          <w:rFonts w:hint="eastAsia" w:ascii="仿宋" w:hAnsi="仿宋"/>
          <w:sz w:val="28"/>
          <w:szCs w:val="28"/>
        </w:rPr>
        <w:t xml:space="preserve">预招募及遴选投资人期间，我方承诺遵守企业经营规章制度，遵守管理人安排。 </w:t>
      </w:r>
    </w:p>
    <w:p w14:paraId="12A4A9B2">
      <w:pPr>
        <w:snapToGrid w:val="0"/>
        <w:spacing w:line="560" w:lineRule="exact"/>
        <w:ind w:firstLine="560" w:firstLineChars="200"/>
        <w:rPr>
          <w:rFonts w:hint="eastAsia" w:ascii="仿宋" w:hAnsi="仿宋"/>
          <w:sz w:val="28"/>
          <w:szCs w:val="28"/>
        </w:rPr>
      </w:pPr>
      <w:r>
        <w:rPr>
          <w:rFonts w:hint="eastAsia" w:ascii="仿宋" w:hAnsi="仿宋"/>
          <w:sz w:val="28"/>
          <w:szCs w:val="28"/>
        </w:rPr>
        <w:t>同时，如管理人为遴选重整投资人而需开展反向尽调的，我方同意配合管理人针对我方开展的反向尽调。</w:t>
      </w:r>
    </w:p>
    <w:p w14:paraId="520ED553">
      <w:pPr>
        <w:spacing w:line="560" w:lineRule="exact"/>
        <w:jc w:val="center"/>
        <w:rPr>
          <w:rFonts w:hint="eastAsia" w:ascii="仿宋" w:hAnsi="仿宋"/>
          <w:sz w:val="28"/>
          <w:szCs w:val="28"/>
        </w:rPr>
      </w:pPr>
      <w:r>
        <w:rPr>
          <w:rFonts w:hint="eastAsia" w:ascii="仿宋" w:hAnsi="仿宋"/>
          <w:sz w:val="28"/>
          <w:szCs w:val="28"/>
        </w:rPr>
        <w:t xml:space="preserve">     </w:t>
      </w:r>
    </w:p>
    <w:p w14:paraId="1E1AABD1">
      <w:pPr>
        <w:spacing w:line="560" w:lineRule="exact"/>
        <w:jc w:val="center"/>
        <w:rPr>
          <w:rFonts w:hint="eastAsia" w:ascii="仿宋" w:hAnsi="仿宋"/>
          <w:sz w:val="28"/>
          <w:szCs w:val="28"/>
        </w:rPr>
      </w:pPr>
      <w:r>
        <w:rPr>
          <w:rFonts w:hint="eastAsia" w:ascii="仿宋" w:hAnsi="仿宋"/>
          <w:sz w:val="28"/>
          <w:szCs w:val="28"/>
        </w:rPr>
        <w:t xml:space="preserve">           意向投资人（盖章）：</w:t>
      </w:r>
    </w:p>
    <w:p w14:paraId="003E4287">
      <w:pPr>
        <w:spacing w:line="560" w:lineRule="exact"/>
        <w:jc w:val="center"/>
        <w:rPr>
          <w:rFonts w:hint="eastAsia" w:ascii="仿宋" w:hAnsi="仿宋"/>
          <w:sz w:val="28"/>
          <w:szCs w:val="28"/>
        </w:rPr>
      </w:pPr>
    </w:p>
    <w:p w14:paraId="6F8AE119">
      <w:pPr>
        <w:wordWrap w:val="0"/>
        <w:spacing w:line="560" w:lineRule="exact"/>
        <w:jc w:val="right"/>
        <w:rPr>
          <w:rFonts w:hint="eastAsia" w:ascii="仿宋" w:hAnsi="仿宋"/>
          <w:sz w:val="28"/>
          <w:szCs w:val="28"/>
          <w:u w:val="single"/>
        </w:rPr>
      </w:pPr>
      <w:r>
        <w:rPr>
          <w:rFonts w:hint="eastAsia" w:ascii="仿宋" w:hAnsi="仿宋"/>
          <w:sz w:val="28"/>
          <w:szCs w:val="28"/>
        </w:rPr>
        <w:t xml:space="preserve"> 法定代表人（负责人）/授权代表签字：</w:t>
      </w:r>
      <w:r>
        <w:rPr>
          <w:rFonts w:hint="eastAsia" w:ascii="仿宋" w:hAnsi="仿宋"/>
          <w:sz w:val="28"/>
          <w:szCs w:val="28"/>
          <w:u w:val="single"/>
        </w:rPr>
        <w:t xml:space="preserve">          </w:t>
      </w:r>
    </w:p>
    <w:p w14:paraId="3DEA74CB">
      <w:pPr>
        <w:wordWrap w:val="0"/>
        <w:spacing w:line="560" w:lineRule="exact"/>
        <w:jc w:val="right"/>
        <w:rPr>
          <w:rFonts w:hint="eastAsia" w:ascii="仿宋" w:hAnsi="仿宋"/>
          <w:sz w:val="28"/>
          <w:szCs w:val="28"/>
          <w:u w:val="single"/>
        </w:rPr>
      </w:pPr>
      <w:r>
        <w:rPr>
          <w:rFonts w:hint="eastAsia" w:ascii="仿宋" w:hAnsi="仿宋"/>
          <w:sz w:val="28"/>
          <w:szCs w:val="28"/>
        </w:rPr>
        <w:t xml:space="preserve"> 日期：</w:t>
      </w:r>
      <w:r>
        <w:rPr>
          <w:rFonts w:hint="eastAsia" w:ascii="仿宋" w:hAnsi="仿宋"/>
          <w:sz w:val="28"/>
          <w:szCs w:val="28"/>
          <w:u w:val="single"/>
        </w:rPr>
        <w:t xml:space="preserve">          </w:t>
      </w:r>
    </w:p>
    <w:p w14:paraId="668F6995">
      <w:pPr>
        <w:spacing w:line="560" w:lineRule="exact"/>
        <w:jc w:val="right"/>
        <w:rPr>
          <w:rFonts w:hint="eastAsia" w:ascii="仿宋" w:hAnsi="仿宋"/>
          <w:sz w:val="28"/>
          <w:szCs w:val="28"/>
          <w:u w:val="single"/>
        </w:rPr>
      </w:pPr>
    </w:p>
    <w:p w14:paraId="26D2712A">
      <w:pPr>
        <w:spacing w:line="560" w:lineRule="exact"/>
        <w:jc w:val="right"/>
        <w:rPr>
          <w:rFonts w:hint="eastAsia" w:ascii="仿宋" w:hAnsi="仿宋"/>
          <w:sz w:val="28"/>
          <w:szCs w:val="28"/>
          <w:u w:val="single"/>
        </w:rPr>
      </w:pPr>
    </w:p>
    <w:p w14:paraId="724C31A5">
      <w:pPr>
        <w:spacing w:line="560" w:lineRule="exact"/>
        <w:jc w:val="right"/>
        <w:rPr>
          <w:rFonts w:hint="eastAsia" w:ascii="仿宋" w:hAnsi="仿宋"/>
          <w:sz w:val="28"/>
          <w:szCs w:val="28"/>
          <w:u w:val="single"/>
        </w:rPr>
      </w:pPr>
    </w:p>
    <w:p w14:paraId="70197B87">
      <w:pPr>
        <w:spacing w:line="560" w:lineRule="exact"/>
        <w:jc w:val="right"/>
        <w:rPr>
          <w:rFonts w:hint="eastAsia" w:ascii="仿宋" w:hAnsi="仿宋"/>
          <w:sz w:val="28"/>
          <w:szCs w:val="28"/>
          <w:u w:val="single"/>
        </w:rPr>
      </w:pPr>
    </w:p>
    <w:p w14:paraId="1CA4DC29">
      <w:pPr>
        <w:spacing w:line="560" w:lineRule="exact"/>
        <w:jc w:val="right"/>
        <w:rPr>
          <w:rFonts w:hint="eastAsia" w:ascii="仿宋" w:hAnsi="仿宋"/>
          <w:sz w:val="28"/>
          <w:szCs w:val="28"/>
          <w:u w:val="single"/>
        </w:rPr>
      </w:pPr>
    </w:p>
    <w:p w14:paraId="7B9EDCF2">
      <w:pPr>
        <w:spacing w:line="560" w:lineRule="exact"/>
        <w:jc w:val="right"/>
        <w:rPr>
          <w:rFonts w:hint="eastAsia" w:ascii="仿宋" w:hAnsi="仿宋"/>
          <w:sz w:val="28"/>
          <w:szCs w:val="28"/>
          <w:u w:val="single"/>
        </w:rPr>
      </w:pPr>
    </w:p>
    <w:p w14:paraId="51CACBB4">
      <w:pPr>
        <w:snapToGrid w:val="0"/>
        <w:spacing w:line="560" w:lineRule="exact"/>
        <w:rPr>
          <w:rFonts w:hint="eastAsia" w:ascii="仿宋" w:hAnsi="仿宋"/>
          <w:b/>
          <w:bCs/>
          <w:sz w:val="28"/>
          <w:szCs w:val="28"/>
        </w:rPr>
      </w:pPr>
      <w:r>
        <w:rPr>
          <w:rFonts w:hint="eastAsia" w:ascii="仿宋" w:hAnsi="仿宋"/>
          <w:b/>
          <w:bCs/>
          <w:sz w:val="28"/>
          <w:szCs w:val="28"/>
        </w:rPr>
        <w:t>附件3：</w:t>
      </w:r>
    </w:p>
    <w:p w14:paraId="6BF59E11">
      <w:pPr>
        <w:snapToGrid w:val="0"/>
        <w:spacing w:line="560" w:lineRule="exact"/>
        <w:rPr>
          <w:rFonts w:hint="eastAsia" w:ascii="仿宋" w:hAnsi="仿宋"/>
          <w:b/>
          <w:bCs/>
          <w:sz w:val="28"/>
          <w:szCs w:val="28"/>
        </w:rPr>
      </w:pPr>
    </w:p>
    <w:p w14:paraId="277405E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bCs/>
          <w:sz w:val="36"/>
          <w:szCs w:val="36"/>
          <w:lang w:val="en-US" w:eastAsia="zh-CN"/>
        </w:rPr>
      </w:pPr>
      <w:r>
        <w:rPr>
          <w:rFonts w:hint="eastAsia" w:ascii="宋体" w:hAnsi="宋体" w:eastAsia="宋体" w:cs="宋体"/>
          <w:b/>
          <w:bCs/>
          <w:sz w:val="32"/>
          <w:szCs w:val="32"/>
          <w:lang w:val="en-US" w:eastAsia="zh-CN"/>
        </w:rPr>
        <w:t>北京世纪金光半导体有限公司 北京华进创威电子有限公司</w:t>
      </w:r>
    </w:p>
    <w:p w14:paraId="48BDDEAC">
      <w:pPr>
        <w:snapToGrid w:val="0"/>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预招募意向投资人</w:t>
      </w:r>
    </w:p>
    <w:p w14:paraId="371446EC">
      <w:pPr>
        <w:snapToGrid w:val="0"/>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法定代表人/负责人身份证明书</w:t>
      </w:r>
    </w:p>
    <w:p w14:paraId="1FF1AECB">
      <w:pPr>
        <w:snapToGrid w:val="0"/>
        <w:spacing w:line="560" w:lineRule="exact"/>
        <w:jc w:val="center"/>
        <w:rPr>
          <w:rFonts w:hint="eastAsia" w:ascii="仿宋" w:hAnsi="仿宋"/>
          <w:b/>
          <w:bCs/>
          <w:sz w:val="28"/>
          <w:szCs w:val="28"/>
        </w:rPr>
      </w:pPr>
    </w:p>
    <w:p w14:paraId="15CB5A2C">
      <w:pPr>
        <w:snapToGrid w:val="0"/>
        <w:spacing w:line="560" w:lineRule="exact"/>
        <w:rPr>
          <w:rFonts w:hint="eastAsia" w:ascii="仿宋" w:hAnsi="仿宋"/>
          <w:sz w:val="28"/>
          <w:szCs w:val="28"/>
        </w:rPr>
      </w:pPr>
      <w:r>
        <w:rPr>
          <w:rFonts w:hint="eastAsia" w:ascii="仿宋" w:hAnsi="仿宋"/>
          <w:sz w:val="28"/>
          <w:szCs w:val="28"/>
        </w:rPr>
        <w:t>北京世纪金光半导体有限公司 北京华进创威电子有限公司管理人：</w:t>
      </w:r>
    </w:p>
    <w:p w14:paraId="354EF4D8">
      <w:pPr>
        <w:snapToGrid w:val="0"/>
        <w:spacing w:line="560" w:lineRule="exact"/>
        <w:rPr>
          <w:rFonts w:hint="eastAsia" w:ascii="仿宋" w:hAnsi="仿宋"/>
          <w:sz w:val="28"/>
          <w:szCs w:val="28"/>
        </w:rPr>
      </w:pPr>
    </w:p>
    <w:p w14:paraId="3113D86A">
      <w:pPr>
        <w:snapToGrid w:val="0"/>
        <w:spacing w:line="560" w:lineRule="exact"/>
        <w:ind w:firstLine="560" w:firstLineChars="200"/>
        <w:rPr>
          <w:rFonts w:hint="eastAsia" w:ascii="仿宋" w:hAnsi="仿宋"/>
          <w:sz w:val="28"/>
          <w:szCs w:val="28"/>
        </w:rPr>
      </w:pPr>
      <w:r>
        <w:rPr>
          <w:rFonts w:hint="eastAsia" w:ascii="仿宋" w:hAnsi="仿宋"/>
          <w:sz w:val="28"/>
          <w:szCs w:val="28"/>
        </w:rPr>
        <w:t>兹证明</w:t>
      </w:r>
      <w:r>
        <w:rPr>
          <w:rFonts w:hint="eastAsia" w:ascii="仿宋" w:hAnsi="仿宋"/>
          <w:sz w:val="28"/>
          <w:szCs w:val="28"/>
          <w:u w:val="single"/>
        </w:rPr>
        <w:t xml:space="preserve">        </w:t>
      </w:r>
      <w:r>
        <w:rPr>
          <w:rFonts w:hint="eastAsia" w:ascii="仿宋" w:hAnsi="仿宋"/>
          <w:sz w:val="28"/>
          <w:szCs w:val="28"/>
        </w:rPr>
        <w:t>（身份证号：</w:t>
      </w:r>
      <w:r>
        <w:rPr>
          <w:rFonts w:hint="eastAsia" w:ascii="仿宋" w:hAnsi="仿宋"/>
          <w:sz w:val="28"/>
          <w:szCs w:val="28"/>
          <w:u w:val="single"/>
        </w:rPr>
        <w:t xml:space="preserve">                      </w:t>
      </w:r>
      <w:r>
        <w:rPr>
          <w:rFonts w:hint="eastAsia" w:ascii="仿宋" w:hAnsi="仿宋"/>
          <w:sz w:val="28"/>
          <w:szCs w:val="28"/>
        </w:rPr>
        <w:t>）在本单位担任</w:t>
      </w:r>
      <w:r>
        <w:rPr>
          <w:rFonts w:hint="eastAsia" w:ascii="仿宋" w:hAnsi="仿宋"/>
          <w:sz w:val="28"/>
          <w:szCs w:val="28"/>
          <w:u w:val="single"/>
        </w:rPr>
        <w:t xml:space="preserve">        </w:t>
      </w:r>
      <w:r>
        <w:rPr>
          <w:rFonts w:hint="eastAsia" w:ascii="仿宋" w:hAnsi="仿宋"/>
          <w:sz w:val="28"/>
          <w:szCs w:val="28"/>
        </w:rPr>
        <w:t xml:space="preserve">职务，为本单位的法定代表人（负责人）。 </w:t>
      </w:r>
    </w:p>
    <w:p w14:paraId="61621B18">
      <w:pPr>
        <w:snapToGrid w:val="0"/>
        <w:spacing w:line="560" w:lineRule="exact"/>
        <w:ind w:firstLine="560" w:firstLineChars="200"/>
        <w:rPr>
          <w:rFonts w:hint="eastAsia" w:ascii="仿宋" w:hAnsi="仿宋"/>
          <w:sz w:val="28"/>
          <w:szCs w:val="28"/>
        </w:rPr>
      </w:pPr>
    </w:p>
    <w:p w14:paraId="0BB65797">
      <w:pPr>
        <w:snapToGrid w:val="0"/>
        <w:spacing w:line="560" w:lineRule="exact"/>
        <w:ind w:firstLine="560" w:firstLineChars="200"/>
        <w:rPr>
          <w:rFonts w:hint="eastAsia" w:ascii="仿宋" w:hAnsi="仿宋"/>
          <w:sz w:val="28"/>
          <w:szCs w:val="28"/>
        </w:rPr>
      </w:pPr>
      <w:r>
        <w:rPr>
          <w:rFonts w:hint="eastAsia" w:ascii="仿宋" w:hAnsi="仿宋"/>
          <w:sz w:val="28"/>
          <w:szCs w:val="28"/>
        </w:rPr>
        <w:t>特此证明。</w:t>
      </w:r>
    </w:p>
    <w:p w14:paraId="6D4AF699">
      <w:pPr>
        <w:snapToGrid w:val="0"/>
        <w:spacing w:line="560" w:lineRule="exact"/>
        <w:ind w:firstLine="560" w:firstLineChars="200"/>
        <w:rPr>
          <w:rFonts w:hint="eastAsia" w:ascii="仿宋" w:hAnsi="仿宋"/>
          <w:sz w:val="28"/>
          <w:szCs w:val="28"/>
        </w:rPr>
      </w:pPr>
    </w:p>
    <w:p w14:paraId="6FE33501">
      <w:pPr>
        <w:spacing w:line="560" w:lineRule="exact"/>
        <w:jc w:val="center"/>
        <w:rPr>
          <w:rFonts w:hint="eastAsia" w:ascii="仿宋" w:hAnsi="仿宋"/>
          <w:sz w:val="28"/>
          <w:szCs w:val="28"/>
        </w:rPr>
      </w:pPr>
      <w:r>
        <w:rPr>
          <w:rFonts w:hint="eastAsia" w:ascii="仿宋" w:hAnsi="仿宋"/>
          <w:sz w:val="28"/>
          <w:szCs w:val="28"/>
        </w:rPr>
        <w:t xml:space="preserve">     </w:t>
      </w:r>
    </w:p>
    <w:p w14:paraId="7A755714">
      <w:pPr>
        <w:spacing w:line="560" w:lineRule="exact"/>
        <w:jc w:val="center"/>
        <w:rPr>
          <w:rFonts w:hint="eastAsia" w:ascii="仿宋" w:hAnsi="仿宋"/>
          <w:sz w:val="28"/>
          <w:szCs w:val="28"/>
        </w:rPr>
      </w:pPr>
      <w:r>
        <w:rPr>
          <w:rFonts w:hint="eastAsia" w:ascii="仿宋" w:hAnsi="仿宋"/>
          <w:sz w:val="28"/>
          <w:szCs w:val="28"/>
        </w:rPr>
        <w:t xml:space="preserve">               意向投资人（盖章）：</w:t>
      </w:r>
    </w:p>
    <w:p w14:paraId="029A93E1">
      <w:pPr>
        <w:wordWrap w:val="0"/>
        <w:spacing w:line="560" w:lineRule="exact"/>
        <w:jc w:val="right"/>
        <w:rPr>
          <w:rFonts w:hint="eastAsia" w:ascii="仿宋" w:hAnsi="仿宋"/>
          <w:sz w:val="28"/>
          <w:szCs w:val="28"/>
          <w:u w:val="single"/>
        </w:rPr>
      </w:pPr>
      <w:r>
        <w:rPr>
          <w:rFonts w:hint="eastAsia" w:ascii="仿宋" w:hAnsi="仿宋"/>
          <w:sz w:val="28"/>
          <w:szCs w:val="28"/>
        </w:rPr>
        <w:t>日期：</w:t>
      </w:r>
      <w:r>
        <w:rPr>
          <w:rFonts w:hint="eastAsia" w:ascii="仿宋" w:hAnsi="仿宋"/>
          <w:sz w:val="28"/>
          <w:szCs w:val="28"/>
          <w:u w:val="single"/>
        </w:rPr>
        <w:t xml:space="preserve">          </w:t>
      </w:r>
    </w:p>
    <w:p w14:paraId="7F27CAB8">
      <w:pPr>
        <w:spacing w:line="560" w:lineRule="exact"/>
        <w:jc w:val="right"/>
        <w:rPr>
          <w:rFonts w:hint="eastAsia" w:ascii="仿宋" w:hAnsi="仿宋"/>
          <w:sz w:val="28"/>
          <w:szCs w:val="28"/>
          <w:u w:val="single"/>
        </w:rPr>
      </w:pPr>
    </w:p>
    <w:p w14:paraId="3498E697">
      <w:pPr>
        <w:spacing w:line="560" w:lineRule="exact"/>
        <w:jc w:val="right"/>
        <w:rPr>
          <w:rFonts w:hint="eastAsia" w:ascii="仿宋" w:hAnsi="仿宋"/>
          <w:sz w:val="28"/>
          <w:szCs w:val="28"/>
          <w:u w:val="single"/>
        </w:rPr>
      </w:pPr>
    </w:p>
    <w:p w14:paraId="68D2EF11">
      <w:pPr>
        <w:spacing w:line="560" w:lineRule="exact"/>
        <w:jc w:val="right"/>
        <w:rPr>
          <w:rFonts w:hint="eastAsia" w:ascii="仿宋" w:hAnsi="仿宋"/>
          <w:sz w:val="28"/>
          <w:szCs w:val="28"/>
          <w:u w:val="single"/>
        </w:rPr>
      </w:pPr>
    </w:p>
    <w:p w14:paraId="7F2A5290">
      <w:pPr>
        <w:spacing w:line="560" w:lineRule="exact"/>
        <w:jc w:val="right"/>
        <w:rPr>
          <w:rFonts w:hint="eastAsia" w:ascii="仿宋" w:hAnsi="仿宋"/>
          <w:sz w:val="28"/>
          <w:szCs w:val="28"/>
          <w:u w:val="single"/>
        </w:rPr>
      </w:pPr>
    </w:p>
    <w:p w14:paraId="15AE5407">
      <w:pPr>
        <w:spacing w:line="560" w:lineRule="exact"/>
        <w:jc w:val="right"/>
        <w:rPr>
          <w:rFonts w:hint="eastAsia" w:ascii="仿宋" w:hAnsi="仿宋"/>
          <w:sz w:val="28"/>
          <w:szCs w:val="28"/>
          <w:u w:val="single"/>
        </w:rPr>
      </w:pPr>
    </w:p>
    <w:p w14:paraId="5BDA51CE">
      <w:pPr>
        <w:spacing w:line="560" w:lineRule="exact"/>
        <w:jc w:val="right"/>
        <w:rPr>
          <w:rFonts w:hint="eastAsia" w:ascii="仿宋" w:hAnsi="仿宋"/>
          <w:sz w:val="28"/>
          <w:szCs w:val="28"/>
          <w:u w:val="single"/>
        </w:rPr>
      </w:pPr>
    </w:p>
    <w:p w14:paraId="61812DB1">
      <w:pPr>
        <w:spacing w:line="560" w:lineRule="exact"/>
        <w:jc w:val="right"/>
        <w:rPr>
          <w:rFonts w:hint="eastAsia" w:ascii="仿宋" w:hAnsi="仿宋"/>
          <w:sz w:val="28"/>
          <w:szCs w:val="28"/>
          <w:u w:val="single"/>
        </w:rPr>
      </w:pPr>
    </w:p>
    <w:p w14:paraId="33C2C1AF">
      <w:pPr>
        <w:spacing w:line="560" w:lineRule="exact"/>
        <w:jc w:val="right"/>
        <w:rPr>
          <w:rFonts w:hint="eastAsia" w:ascii="仿宋" w:hAnsi="仿宋"/>
          <w:sz w:val="28"/>
          <w:szCs w:val="28"/>
          <w:u w:val="single"/>
        </w:rPr>
      </w:pPr>
    </w:p>
    <w:p w14:paraId="2D9EA5AD">
      <w:pPr>
        <w:snapToGrid w:val="0"/>
        <w:spacing w:line="560" w:lineRule="exact"/>
        <w:rPr>
          <w:rFonts w:hint="eastAsia" w:ascii="仿宋" w:hAnsi="仿宋"/>
          <w:b/>
          <w:bCs/>
          <w:sz w:val="28"/>
          <w:szCs w:val="28"/>
        </w:rPr>
      </w:pPr>
      <w:r>
        <w:rPr>
          <w:rFonts w:hint="eastAsia" w:ascii="仿宋" w:hAnsi="仿宋"/>
          <w:b/>
          <w:bCs/>
          <w:sz w:val="28"/>
          <w:szCs w:val="28"/>
        </w:rPr>
        <w:t>附件4：</w:t>
      </w:r>
    </w:p>
    <w:p w14:paraId="3A46B06B">
      <w:pPr>
        <w:snapToGrid w:val="0"/>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授权委托书</w:t>
      </w:r>
    </w:p>
    <w:p w14:paraId="44EAD927">
      <w:pPr>
        <w:snapToGrid w:val="0"/>
        <w:spacing w:line="500" w:lineRule="exact"/>
        <w:rPr>
          <w:rFonts w:hint="eastAsia" w:ascii="仿宋" w:hAnsi="仿宋"/>
          <w:sz w:val="28"/>
          <w:szCs w:val="28"/>
        </w:rPr>
      </w:pPr>
      <w:r>
        <w:rPr>
          <w:rFonts w:hint="eastAsia" w:ascii="仿宋" w:hAnsi="仿宋"/>
          <w:sz w:val="28"/>
          <w:szCs w:val="28"/>
        </w:rPr>
        <w:t>委托人：</w:t>
      </w:r>
    </w:p>
    <w:p w14:paraId="009996AC">
      <w:pPr>
        <w:snapToGrid w:val="0"/>
        <w:spacing w:line="500" w:lineRule="exact"/>
        <w:rPr>
          <w:rFonts w:hint="eastAsia" w:ascii="仿宋" w:hAnsi="仿宋"/>
          <w:sz w:val="28"/>
          <w:szCs w:val="28"/>
        </w:rPr>
      </w:pPr>
      <w:r>
        <w:rPr>
          <w:rFonts w:hint="eastAsia" w:ascii="仿宋" w:hAnsi="仿宋"/>
          <w:sz w:val="28"/>
          <w:szCs w:val="28"/>
        </w:rPr>
        <w:t>法定代表人（负责人）：</w:t>
      </w:r>
    </w:p>
    <w:p w14:paraId="1F35EE5F">
      <w:pPr>
        <w:snapToGrid w:val="0"/>
        <w:spacing w:line="500" w:lineRule="exact"/>
        <w:rPr>
          <w:rFonts w:hint="eastAsia" w:ascii="仿宋" w:hAnsi="仿宋"/>
          <w:sz w:val="28"/>
          <w:szCs w:val="28"/>
        </w:rPr>
      </w:pPr>
      <w:r>
        <w:rPr>
          <w:rFonts w:hint="eastAsia" w:ascii="仿宋" w:hAnsi="仿宋"/>
          <w:sz w:val="28"/>
          <w:szCs w:val="28"/>
        </w:rPr>
        <w:t>住所地：                           联系方式：</w:t>
      </w:r>
    </w:p>
    <w:p w14:paraId="73067A97">
      <w:pPr>
        <w:snapToGrid w:val="0"/>
        <w:spacing w:line="240" w:lineRule="exact"/>
        <w:rPr>
          <w:rFonts w:hint="eastAsia" w:ascii="仿宋" w:hAnsi="仿宋"/>
          <w:sz w:val="28"/>
          <w:szCs w:val="28"/>
        </w:rPr>
      </w:pPr>
    </w:p>
    <w:p w14:paraId="5A99F485">
      <w:pPr>
        <w:snapToGrid w:val="0"/>
        <w:spacing w:line="500" w:lineRule="exact"/>
        <w:rPr>
          <w:rFonts w:hint="eastAsia" w:ascii="仿宋" w:hAnsi="仿宋"/>
          <w:sz w:val="28"/>
          <w:szCs w:val="28"/>
        </w:rPr>
      </w:pPr>
      <w:r>
        <w:rPr>
          <w:rFonts w:hint="eastAsia" w:ascii="仿宋" w:hAnsi="仿宋"/>
          <w:sz w:val="28"/>
          <w:szCs w:val="28"/>
        </w:rPr>
        <w:t>受托人：</w:t>
      </w:r>
    </w:p>
    <w:p w14:paraId="5F4665B6">
      <w:pPr>
        <w:snapToGrid w:val="0"/>
        <w:spacing w:line="500" w:lineRule="exact"/>
        <w:rPr>
          <w:rFonts w:hint="eastAsia" w:ascii="仿宋" w:hAnsi="仿宋"/>
          <w:sz w:val="28"/>
          <w:szCs w:val="28"/>
        </w:rPr>
      </w:pPr>
      <w:r>
        <w:rPr>
          <w:rFonts w:hint="eastAsia" w:ascii="仿宋" w:hAnsi="仿宋"/>
          <w:sz w:val="28"/>
          <w:szCs w:val="28"/>
        </w:rPr>
        <w:t>身份证号码：</w:t>
      </w:r>
    </w:p>
    <w:p w14:paraId="2AB8D754">
      <w:pPr>
        <w:snapToGrid w:val="0"/>
        <w:spacing w:line="500" w:lineRule="exact"/>
        <w:rPr>
          <w:rFonts w:hint="eastAsia" w:ascii="仿宋" w:hAnsi="仿宋"/>
          <w:sz w:val="28"/>
          <w:szCs w:val="28"/>
        </w:rPr>
      </w:pPr>
      <w:r>
        <w:rPr>
          <w:rFonts w:hint="eastAsia" w:ascii="仿宋" w:hAnsi="仿宋"/>
          <w:sz w:val="28"/>
          <w:szCs w:val="28"/>
        </w:rPr>
        <w:t>工作单位：                         联系方式：</w:t>
      </w:r>
    </w:p>
    <w:p w14:paraId="10296DB0">
      <w:pPr>
        <w:snapToGrid w:val="0"/>
        <w:spacing w:line="240" w:lineRule="exact"/>
        <w:rPr>
          <w:rFonts w:hint="eastAsia" w:ascii="仿宋" w:hAnsi="仿宋"/>
          <w:sz w:val="28"/>
          <w:szCs w:val="28"/>
        </w:rPr>
      </w:pPr>
    </w:p>
    <w:p w14:paraId="2061A6F2">
      <w:pPr>
        <w:snapToGrid w:val="0"/>
        <w:spacing w:line="480" w:lineRule="exact"/>
        <w:ind w:firstLine="560" w:firstLineChars="200"/>
        <w:rPr>
          <w:rFonts w:hint="eastAsia" w:ascii="仿宋" w:hAnsi="仿宋"/>
          <w:sz w:val="28"/>
          <w:szCs w:val="28"/>
        </w:rPr>
      </w:pPr>
      <w:r>
        <w:rPr>
          <w:rFonts w:hint="eastAsia" w:ascii="仿宋" w:hAnsi="仿宋"/>
          <w:sz w:val="28"/>
          <w:szCs w:val="28"/>
        </w:rPr>
        <w:t>委托人就本参选机构参与北京世纪金光半导体有限公司</w:t>
      </w:r>
      <w:r>
        <w:rPr>
          <w:rFonts w:hint="eastAsia" w:ascii="仿宋" w:hAnsi="仿宋"/>
          <w:sz w:val="28"/>
          <w:szCs w:val="28"/>
          <w:lang w:eastAsia="zh-CN"/>
        </w:rPr>
        <w:t>、</w:t>
      </w:r>
      <w:r>
        <w:rPr>
          <w:rFonts w:hint="eastAsia" w:ascii="仿宋" w:hAnsi="仿宋"/>
          <w:sz w:val="28"/>
          <w:szCs w:val="28"/>
          <w:lang w:val="en-US" w:eastAsia="zh-CN"/>
        </w:rPr>
        <w:t>北京华进创威电子有限公司</w:t>
      </w:r>
      <w:r>
        <w:rPr>
          <w:rFonts w:hint="eastAsia" w:ascii="仿宋" w:hAnsi="仿宋"/>
          <w:sz w:val="28"/>
          <w:szCs w:val="28"/>
        </w:rPr>
        <w:t>意向投资人预招募和遴选程序（以下简称“本次预招募”），特委托上述受委托人作为委托人的代理人，代表本单位办理如下事宜：</w:t>
      </w:r>
    </w:p>
    <w:p w14:paraId="5D4E599E">
      <w:pPr>
        <w:pStyle w:val="12"/>
        <w:snapToGrid w:val="0"/>
        <w:spacing w:line="480" w:lineRule="exact"/>
        <w:ind w:firstLine="560"/>
        <w:rPr>
          <w:rFonts w:hint="eastAsia" w:ascii="仿宋" w:hAnsi="仿宋"/>
          <w:sz w:val="28"/>
          <w:szCs w:val="28"/>
        </w:rPr>
      </w:pPr>
      <w:r>
        <w:rPr>
          <w:rFonts w:hint="eastAsia" w:ascii="仿宋" w:hAnsi="仿宋"/>
          <w:sz w:val="28"/>
          <w:szCs w:val="28"/>
        </w:rPr>
        <w:t>1.向管理人报名参与本次预招募，提交重整投资人报名意向书、重整投资方案、重整投资协议等与本次预招募相关文件资料，参与本次预招募相关工作并代表委托人发表意见；</w:t>
      </w:r>
    </w:p>
    <w:p w14:paraId="21D0FC16">
      <w:pPr>
        <w:pStyle w:val="12"/>
        <w:snapToGrid w:val="0"/>
        <w:spacing w:line="480" w:lineRule="exact"/>
        <w:ind w:firstLine="560"/>
        <w:rPr>
          <w:rFonts w:hint="eastAsia" w:ascii="仿宋" w:hAnsi="仿宋"/>
          <w:sz w:val="28"/>
          <w:szCs w:val="28"/>
        </w:rPr>
      </w:pPr>
      <w:r>
        <w:rPr>
          <w:rFonts w:hint="eastAsia" w:ascii="仿宋" w:hAnsi="仿宋"/>
          <w:sz w:val="28"/>
          <w:szCs w:val="28"/>
        </w:rPr>
        <w:t>2.签署、递交、接收和转送有关本次预招募的各类法律文件及其他文件；</w:t>
      </w:r>
    </w:p>
    <w:p w14:paraId="69638ADE">
      <w:pPr>
        <w:pStyle w:val="12"/>
        <w:snapToGrid w:val="0"/>
        <w:spacing w:line="480" w:lineRule="exact"/>
        <w:ind w:firstLine="560"/>
        <w:rPr>
          <w:rFonts w:hint="eastAsia" w:ascii="仿宋" w:hAnsi="仿宋"/>
          <w:sz w:val="28"/>
          <w:szCs w:val="28"/>
        </w:rPr>
      </w:pPr>
      <w:r>
        <w:rPr>
          <w:rFonts w:hint="eastAsia" w:ascii="仿宋" w:hAnsi="仿宋"/>
          <w:sz w:val="28"/>
          <w:szCs w:val="28"/>
        </w:rPr>
        <w:t xml:space="preserve">3.处理与本次预招募相关的其他工作。 </w:t>
      </w:r>
    </w:p>
    <w:p w14:paraId="2AD34D4D">
      <w:pPr>
        <w:snapToGrid w:val="0"/>
        <w:spacing w:line="480" w:lineRule="exact"/>
        <w:ind w:firstLine="560" w:firstLineChars="200"/>
        <w:rPr>
          <w:rFonts w:hint="eastAsia" w:ascii="仿宋" w:hAnsi="仿宋"/>
          <w:sz w:val="28"/>
          <w:szCs w:val="28"/>
        </w:rPr>
      </w:pPr>
      <w:r>
        <w:rPr>
          <w:rFonts w:hint="eastAsia" w:ascii="仿宋" w:hAnsi="仿宋"/>
          <w:sz w:val="28"/>
          <w:szCs w:val="28"/>
        </w:rPr>
        <w:t>受托人的代理权限为特别授权。受托人在本次预招募过程中代表本参选机构签署的所有文件和处理的所有相关事务，本参选机构均予以承认，并承担相应法律责任。授权期限自授权委托书出具之日起至委托事项完结为止。</w:t>
      </w:r>
    </w:p>
    <w:p w14:paraId="074956F9">
      <w:pPr>
        <w:snapToGrid w:val="0"/>
        <w:spacing w:line="480" w:lineRule="exact"/>
        <w:ind w:firstLine="560" w:firstLineChars="200"/>
        <w:rPr>
          <w:rFonts w:hint="eastAsia" w:ascii="仿宋" w:hAnsi="仿宋"/>
          <w:sz w:val="28"/>
          <w:szCs w:val="28"/>
        </w:rPr>
      </w:pPr>
      <w:r>
        <w:rPr>
          <w:rFonts w:hint="eastAsia" w:ascii="仿宋" w:hAnsi="仿宋"/>
          <w:sz w:val="28"/>
          <w:szCs w:val="28"/>
        </w:rPr>
        <w:t>特此授权。</w:t>
      </w:r>
    </w:p>
    <w:p w14:paraId="239A3353">
      <w:pPr>
        <w:snapToGrid w:val="0"/>
        <w:spacing w:line="480" w:lineRule="exact"/>
        <w:ind w:firstLine="560" w:firstLineChars="200"/>
        <w:rPr>
          <w:rFonts w:hint="eastAsia" w:ascii="仿宋" w:hAnsi="仿宋"/>
          <w:sz w:val="28"/>
          <w:szCs w:val="28"/>
        </w:rPr>
      </w:pPr>
      <w:r>
        <w:rPr>
          <w:rFonts w:hint="eastAsia" w:ascii="仿宋" w:hAnsi="仿宋"/>
          <w:sz w:val="28"/>
          <w:szCs w:val="28"/>
        </w:rPr>
        <w:t>附：受托人身份证复印件（盖章）</w:t>
      </w:r>
    </w:p>
    <w:p w14:paraId="094E1BDA">
      <w:pPr>
        <w:spacing w:line="480" w:lineRule="exact"/>
        <w:jc w:val="center"/>
        <w:rPr>
          <w:rFonts w:hint="eastAsia" w:ascii="仿宋" w:hAnsi="仿宋"/>
          <w:sz w:val="28"/>
          <w:szCs w:val="28"/>
        </w:rPr>
      </w:pPr>
      <w:r>
        <w:rPr>
          <w:rFonts w:hint="eastAsia" w:ascii="仿宋" w:hAnsi="仿宋"/>
          <w:sz w:val="28"/>
          <w:szCs w:val="28"/>
        </w:rPr>
        <w:t xml:space="preserve">  意向投资人/委托人（盖章）：</w:t>
      </w:r>
    </w:p>
    <w:p w14:paraId="148F25E2">
      <w:pPr>
        <w:wordWrap w:val="0"/>
        <w:spacing w:line="480" w:lineRule="exact"/>
        <w:jc w:val="right"/>
        <w:rPr>
          <w:rFonts w:hint="eastAsia" w:ascii="仿宋" w:hAnsi="仿宋"/>
          <w:sz w:val="28"/>
          <w:szCs w:val="28"/>
          <w:u w:val="single"/>
        </w:rPr>
      </w:pPr>
      <w:r>
        <w:rPr>
          <w:rFonts w:hint="eastAsia" w:ascii="仿宋" w:hAnsi="仿宋"/>
          <w:sz w:val="28"/>
          <w:szCs w:val="28"/>
        </w:rPr>
        <w:t xml:space="preserve"> 法定代表人（负责人）/授权代表签字：</w:t>
      </w:r>
      <w:r>
        <w:rPr>
          <w:rFonts w:hint="eastAsia" w:ascii="仿宋" w:hAnsi="仿宋"/>
          <w:sz w:val="28"/>
          <w:szCs w:val="28"/>
          <w:u w:val="single"/>
        </w:rPr>
        <w:t xml:space="preserve">          </w:t>
      </w:r>
    </w:p>
    <w:p w14:paraId="52ACFE9B">
      <w:pPr>
        <w:wordWrap w:val="0"/>
        <w:spacing w:line="480" w:lineRule="exact"/>
        <w:jc w:val="right"/>
        <w:rPr>
          <w:rFonts w:hint="eastAsia" w:ascii="仿宋" w:hAnsi="仿宋"/>
          <w:sz w:val="28"/>
          <w:szCs w:val="28"/>
          <w:u w:val="single"/>
        </w:rPr>
      </w:pPr>
      <w:r>
        <w:rPr>
          <w:rFonts w:hint="eastAsia" w:ascii="仿宋" w:hAnsi="仿宋"/>
          <w:sz w:val="28"/>
          <w:szCs w:val="28"/>
        </w:rPr>
        <w:t xml:space="preserve"> 日期：</w:t>
      </w:r>
      <w:r>
        <w:rPr>
          <w:rFonts w:hint="eastAsia" w:ascii="仿宋" w:hAnsi="仿宋"/>
          <w:sz w:val="28"/>
          <w:szCs w:val="28"/>
          <w:u w:val="single"/>
        </w:rPr>
        <w:t xml:space="preserve">          </w:t>
      </w:r>
    </w:p>
    <w:p w14:paraId="51B0604A">
      <w:pPr>
        <w:snapToGrid w:val="0"/>
        <w:spacing w:line="500" w:lineRule="exact"/>
        <w:rPr>
          <w:rFonts w:hint="eastAsia" w:ascii="仿宋" w:hAnsi="仿宋"/>
          <w:b/>
          <w:bCs/>
          <w:sz w:val="28"/>
          <w:szCs w:val="28"/>
        </w:rPr>
      </w:pPr>
      <w:r>
        <w:rPr>
          <w:rFonts w:hint="eastAsia" w:ascii="仿宋" w:hAnsi="仿宋"/>
          <w:b/>
          <w:bCs/>
          <w:sz w:val="28"/>
          <w:szCs w:val="28"/>
        </w:rPr>
        <w:t>附件5：</w:t>
      </w:r>
    </w:p>
    <w:p w14:paraId="7792442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b/>
          <w:bCs/>
          <w:sz w:val="36"/>
          <w:szCs w:val="36"/>
          <w:lang w:val="en-US" w:eastAsia="zh-CN"/>
        </w:rPr>
      </w:pPr>
      <w:r>
        <w:rPr>
          <w:rFonts w:hint="eastAsia" w:ascii="宋体" w:hAnsi="宋体" w:eastAsia="宋体" w:cs="宋体"/>
          <w:b/>
          <w:bCs/>
          <w:sz w:val="32"/>
          <w:szCs w:val="32"/>
          <w:lang w:val="en-US" w:eastAsia="zh-CN"/>
        </w:rPr>
        <w:t>北京世纪金光半导体有限公司 北京华进创威电子有限公司</w:t>
      </w:r>
    </w:p>
    <w:p w14:paraId="39098226">
      <w:pPr>
        <w:snapToGrid w:val="0"/>
        <w:spacing w:line="560" w:lineRule="exact"/>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实质合并破产清算案</w:t>
      </w:r>
    </w:p>
    <w:p w14:paraId="7EC14DBE">
      <w:pPr>
        <w:snapToGrid w:val="0"/>
        <w:spacing w:line="560" w:lineRule="exact"/>
        <w:jc w:val="center"/>
        <w:rPr>
          <w:rFonts w:hint="eastAsia" w:ascii="宋体" w:hAnsi="宋体" w:eastAsia="宋体" w:cs="宋体"/>
          <w:b/>
          <w:bCs/>
          <w:sz w:val="36"/>
          <w:szCs w:val="36"/>
        </w:rPr>
      </w:pPr>
      <w:r>
        <w:rPr>
          <w:rFonts w:hint="eastAsia" w:ascii="宋体" w:hAnsi="宋体" w:eastAsia="宋体" w:cs="宋体"/>
          <w:b/>
          <w:bCs/>
          <w:sz w:val="36"/>
          <w:szCs w:val="36"/>
        </w:rPr>
        <w:t>保密承诺函</w:t>
      </w:r>
    </w:p>
    <w:p w14:paraId="58D05F0B">
      <w:pPr>
        <w:snapToGrid w:val="0"/>
        <w:spacing w:line="240" w:lineRule="exact"/>
        <w:jc w:val="center"/>
        <w:rPr>
          <w:rFonts w:hint="eastAsia" w:ascii="仿宋" w:hAnsi="仿宋"/>
          <w:b/>
          <w:bCs/>
          <w:sz w:val="28"/>
          <w:szCs w:val="28"/>
        </w:rPr>
      </w:pPr>
    </w:p>
    <w:p w14:paraId="4CDB0DED">
      <w:pPr>
        <w:snapToGrid w:val="0"/>
        <w:spacing w:line="560" w:lineRule="exact"/>
        <w:rPr>
          <w:rFonts w:hint="eastAsia" w:ascii="仿宋" w:hAnsi="仿宋"/>
          <w:sz w:val="28"/>
          <w:szCs w:val="28"/>
        </w:rPr>
      </w:pPr>
      <w:r>
        <w:rPr>
          <w:rFonts w:hint="eastAsia" w:ascii="仿宋" w:hAnsi="仿宋"/>
          <w:sz w:val="28"/>
          <w:szCs w:val="28"/>
        </w:rPr>
        <w:t>北京世纪金光半导体有限公司 北京华进创威电子有限公司管理人：</w:t>
      </w:r>
    </w:p>
    <w:p w14:paraId="0AB20A47">
      <w:pPr>
        <w:snapToGrid w:val="0"/>
        <w:spacing w:line="560" w:lineRule="exact"/>
        <w:ind w:firstLine="560" w:firstLineChars="200"/>
        <w:rPr>
          <w:rFonts w:hint="eastAsia" w:ascii="仿宋" w:hAnsi="仿宋"/>
          <w:sz w:val="28"/>
          <w:szCs w:val="28"/>
        </w:rPr>
      </w:pPr>
      <w:r>
        <w:rPr>
          <w:rFonts w:hint="eastAsia" w:ascii="仿宋" w:hAnsi="仿宋"/>
          <w:sz w:val="28"/>
          <w:szCs w:val="28"/>
        </w:rPr>
        <w:t>我方承诺，就参与北京世纪金光半导体有限公司</w:t>
      </w:r>
      <w:r>
        <w:rPr>
          <w:rFonts w:hint="eastAsia" w:ascii="仿宋" w:hAnsi="仿宋"/>
          <w:sz w:val="28"/>
          <w:szCs w:val="28"/>
          <w:lang w:eastAsia="zh-CN"/>
        </w:rPr>
        <w:t>、</w:t>
      </w:r>
      <w:r>
        <w:rPr>
          <w:rFonts w:hint="eastAsia" w:ascii="仿宋" w:hAnsi="仿宋"/>
          <w:sz w:val="28"/>
          <w:szCs w:val="28"/>
          <w:lang w:val="en-US" w:eastAsia="zh-CN"/>
        </w:rPr>
        <w:t>北京华进创威电子有限公司实质合并</w:t>
      </w:r>
      <w:r>
        <w:rPr>
          <w:rFonts w:hint="eastAsia" w:ascii="仿宋" w:hAnsi="仿宋"/>
          <w:sz w:val="28"/>
          <w:szCs w:val="28"/>
        </w:rPr>
        <w:t>破产清算及重整程序中获取的保密信息，按本函的下列要求履行保密义务。</w:t>
      </w:r>
    </w:p>
    <w:p w14:paraId="6B40FCB7">
      <w:pPr>
        <w:pStyle w:val="12"/>
        <w:snapToGrid w:val="0"/>
        <w:spacing w:line="560" w:lineRule="exact"/>
        <w:ind w:firstLine="562"/>
        <w:rPr>
          <w:rFonts w:hint="eastAsia" w:ascii="仿宋" w:hAnsi="仿宋"/>
          <w:sz w:val="28"/>
          <w:szCs w:val="28"/>
        </w:rPr>
      </w:pPr>
      <w:r>
        <w:rPr>
          <w:rFonts w:hint="eastAsia" w:ascii="仿宋" w:hAnsi="仿宋"/>
          <w:b/>
          <w:bCs/>
          <w:sz w:val="28"/>
          <w:szCs w:val="28"/>
        </w:rPr>
        <w:t>第一条 保密信息</w:t>
      </w:r>
      <w:r>
        <w:rPr>
          <w:rFonts w:hint="eastAsia" w:ascii="仿宋" w:hAnsi="仿宋"/>
          <w:sz w:val="28"/>
          <w:szCs w:val="28"/>
        </w:rPr>
        <w:t xml:space="preserve"> </w:t>
      </w:r>
    </w:p>
    <w:p w14:paraId="372BD7CA">
      <w:pPr>
        <w:snapToGrid w:val="0"/>
        <w:spacing w:line="560" w:lineRule="exact"/>
        <w:ind w:firstLine="560" w:firstLineChars="200"/>
        <w:rPr>
          <w:rFonts w:hint="eastAsia" w:ascii="仿宋" w:hAnsi="仿宋"/>
          <w:sz w:val="28"/>
          <w:szCs w:val="28"/>
        </w:rPr>
      </w:pPr>
      <w:r>
        <w:rPr>
          <w:rFonts w:hint="eastAsia" w:ascii="仿宋" w:hAnsi="仿宋"/>
          <w:sz w:val="28"/>
          <w:szCs w:val="28"/>
        </w:rPr>
        <w:t>保密信息指我方获得的与北京世纪金光半导体有限公司</w:t>
      </w:r>
      <w:r>
        <w:rPr>
          <w:rFonts w:hint="eastAsia" w:ascii="仿宋" w:hAnsi="仿宋"/>
          <w:sz w:val="28"/>
          <w:szCs w:val="28"/>
          <w:lang w:eastAsia="zh-CN"/>
        </w:rPr>
        <w:t>、</w:t>
      </w:r>
      <w:r>
        <w:rPr>
          <w:rFonts w:hint="eastAsia" w:ascii="仿宋" w:hAnsi="仿宋"/>
          <w:sz w:val="28"/>
          <w:szCs w:val="28"/>
          <w:lang w:val="en-US" w:eastAsia="zh-CN"/>
        </w:rPr>
        <w:t>北京华进创威电子有限公司</w:t>
      </w:r>
      <w:r>
        <w:rPr>
          <w:rFonts w:hint="eastAsia" w:ascii="仿宋" w:hAnsi="仿宋"/>
          <w:sz w:val="28"/>
          <w:szCs w:val="28"/>
        </w:rPr>
        <w:t>（以下简称</w:t>
      </w:r>
      <w:r>
        <w:rPr>
          <w:rFonts w:hint="eastAsia" w:ascii="仿宋" w:hAnsi="仿宋"/>
          <w:sz w:val="28"/>
          <w:szCs w:val="28"/>
          <w:lang w:eastAsia="zh-CN"/>
        </w:rPr>
        <w:t>“</w:t>
      </w:r>
      <w:r>
        <w:rPr>
          <w:rFonts w:hint="eastAsia" w:ascii="仿宋" w:hAnsi="仿宋"/>
          <w:sz w:val="28"/>
          <w:szCs w:val="28"/>
          <w:lang w:val="en-US" w:eastAsia="zh-CN"/>
        </w:rPr>
        <w:t>世纪金光等关联公司</w:t>
      </w:r>
      <w:r>
        <w:rPr>
          <w:rFonts w:hint="eastAsia" w:ascii="仿宋" w:hAnsi="仿宋"/>
          <w:sz w:val="28"/>
          <w:szCs w:val="28"/>
          <w:lang w:eastAsia="zh-CN"/>
        </w:rPr>
        <w:t>”</w:t>
      </w:r>
      <w:r>
        <w:rPr>
          <w:rFonts w:hint="eastAsia" w:ascii="仿宋" w:hAnsi="仿宋"/>
          <w:sz w:val="28"/>
          <w:szCs w:val="28"/>
        </w:rPr>
        <w:t>）</w:t>
      </w:r>
      <w:r>
        <w:rPr>
          <w:rFonts w:hint="eastAsia" w:ascii="仿宋" w:hAnsi="仿宋"/>
          <w:sz w:val="28"/>
          <w:szCs w:val="28"/>
          <w:lang w:val="en-US" w:eastAsia="zh-CN"/>
        </w:rPr>
        <w:t>实质合并</w:t>
      </w:r>
      <w:r>
        <w:rPr>
          <w:rFonts w:hint="eastAsia" w:ascii="仿宋" w:hAnsi="仿宋"/>
          <w:sz w:val="28"/>
          <w:szCs w:val="28"/>
        </w:rPr>
        <w:t>破产清算及重整有关或因此产生的以书面、口头、图像或者其他任何形式作为载体的任何信息，包括但不限于：</w:t>
      </w:r>
    </w:p>
    <w:p w14:paraId="28023C06">
      <w:pPr>
        <w:pStyle w:val="12"/>
        <w:snapToGrid w:val="0"/>
        <w:spacing w:line="560" w:lineRule="exact"/>
        <w:ind w:firstLine="560"/>
        <w:rPr>
          <w:rFonts w:hint="eastAsia" w:ascii="仿宋" w:hAnsi="仿宋"/>
          <w:sz w:val="28"/>
          <w:szCs w:val="28"/>
        </w:rPr>
      </w:pPr>
      <w:r>
        <w:rPr>
          <w:rFonts w:hint="eastAsia" w:ascii="仿宋" w:hAnsi="仿宋"/>
          <w:sz w:val="28"/>
          <w:szCs w:val="28"/>
        </w:rPr>
        <w:t>1.贵方以口头、书面或者其他形式，向我方提供的世纪金光</w:t>
      </w:r>
      <w:r>
        <w:rPr>
          <w:rFonts w:hint="eastAsia" w:ascii="仿宋" w:hAnsi="仿宋"/>
          <w:sz w:val="28"/>
          <w:szCs w:val="28"/>
          <w:lang w:val="en-US" w:eastAsia="zh-CN"/>
        </w:rPr>
        <w:t>等关联公司</w:t>
      </w:r>
      <w:r>
        <w:rPr>
          <w:rFonts w:hint="eastAsia" w:ascii="仿宋" w:hAnsi="仿宋"/>
          <w:sz w:val="28"/>
          <w:szCs w:val="28"/>
        </w:rPr>
        <w:t>的一切非公开、保密、专有的文件及其他资料；</w:t>
      </w:r>
    </w:p>
    <w:p w14:paraId="78C56B46">
      <w:pPr>
        <w:pStyle w:val="12"/>
        <w:snapToGrid w:val="0"/>
        <w:spacing w:line="560" w:lineRule="exact"/>
        <w:ind w:firstLine="560"/>
        <w:rPr>
          <w:rFonts w:hint="eastAsia" w:ascii="仿宋" w:hAnsi="仿宋"/>
          <w:sz w:val="28"/>
          <w:szCs w:val="28"/>
        </w:rPr>
      </w:pPr>
      <w:r>
        <w:rPr>
          <w:rFonts w:hint="eastAsia" w:ascii="仿宋" w:hAnsi="仿宋"/>
          <w:sz w:val="28"/>
          <w:szCs w:val="28"/>
        </w:rPr>
        <w:t>2.我方或我方代表通过与世纪金光</w:t>
      </w:r>
      <w:r>
        <w:rPr>
          <w:rFonts w:hint="eastAsia" w:ascii="仿宋" w:hAnsi="仿宋"/>
          <w:sz w:val="28"/>
          <w:szCs w:val="28"/>
          <w:lang w:val="en-US" w:eastAsia="zh-CN"/>
        </w:rPr>
        <w:t>等关联公司</w:t>
      </w:r>
      <w:r>
        <w:rPr>
          <w:rFonts w:hint="eastAsia" w:ascii="仿宋" w:hAnsi="仿宋"/>
          <w:sz w:val="28"/>
          <w:szCs w:val="28"/>
        </w:rPr>
        <w:t>股东、员工、参与世纪金光</w:t>
      </w:r>
      <w:r>
        <w:rPr>
          <w:rFonts w:hint="eastAsia" w:ascii="仿宋" w:hAnsi="仿宋"/>
          <w:sz w:val="28"/>
          <w:szCs w:val="28"/>
          <w:lang w:val="en-US" w:eastAsia="zh-CN"/>
        </w:rPr>
        <w:t>等关联公司实质合并</w:t>
      </w:r>
      <w:r>
        <w:rPr>
          <w:rFonts w:hint="eastAsia" w:ascii="仿宋" w:hAnsi="仿宋"/>
          <w:sz w:val="28"/>
          <w:szCs w:val="28"/>
        </w:rPr>
        <w:t>破产清算及重整案中介机构/顾问的接触、沟通、商讨，而获得的任何不被公众所知悉或披露义务人尚未公开披露的与世纪金光</w:t>
      </w:r>
      <w:r>
        <w:rPr>
          <w:rFonts w:hint="eastAsia" w:ascii="仿宋" w:hAnsi="仿宋"/>
          <w:sz w:val="28"/>
          <w:szCs w:val="28"/>
          <w:lang w:val="en-US" w:eastAsia="zh-CN"/>
        </w:rPr>
        <w:t>等关联公司</w:t>
      </w:r>
      <w:r>
        <w:rPr>
          <w:rFonts w:hint="eastAsia" w:ascii="仿宋" w:hAnsi="仿宋"/>
          <w:sz w:val="28"/>
          <w:szCs w:val="28"/>
        </w:rPr>
        <w:t>及世纪金光</w:t>
      </w:r>
      <w:r>
        <w:rPr>
          <w:rFonts w:hint="eastAsia" w:ascii="仿宋" w:hAnsi="仿宋"/>
          <w:sz w:val="28"/>
          <w:szCs w:val="28"/>
          <w:lang w:val="en-US" w:eastAsia="zh-CN"/>
        </w:rPr>
        <w:t>等关联公司</w:t>
      </w:r>
      <w:r>
        <w:rPr>
          <w:rFonts w:hint="eastAsia" w:ascii="仿宋" w:hAnsi="仿宋"/>
          <w:sz w:val="28"/>
          <w:szCs w:val="28"/>
        </w:rPr>
        <w:t>破产清算及重整案有关的信息；</w:t>
      </w:r>
    </w:p>
    <w:p w14:paraId="48B14601">
      <w:pPr>
        <w:pStyle w:val="12"/>
        <w:snapToGrid w:val="0"/>
        <w:spacing w:line="560" w:lineRule="exact"/>
        <w:ind w:firstLine="560"/>
        <w:rPr>
          <w:rFonts w:hint="eastAsia" w:ascii="仿宋" w:hAnsi="仿宋"/>
          <w:sz w:val="28"/>
          <w:szCs w:val="28"/>
        </w:rPr>
      </w:pPr>
      <w:r>
        <w:rPr>
          <w:rFonts w:hint="eastAsia" w:ascii="仿宋" w:hAnsi="仿宋"/>
          <w:sz w:val="28"/>
          <w:szCs w:val="28"/>
        </w:rPr>
        <w:t>3.涉及世纪金光</w:t>
      </w:r>
      <w:r>
        <w:rPr>
          <w:rFonts w:hint="eastAsia" w:ascii="仿宋" w:hAnsi="仿宋"/>
          <w:sz w:val="28"/>
          <w:szCs w:val="28"/>
          <w:lang w:val="en-US" w:eastAsia="zh-CN"/>
        </w:rPr>
        <w:t>等关联公司</w:t>
      </w:r>
      <w:r>
        <w:rPr>
          <w:rFonts w:hint="eastAsia" w:ascii="仿宋" w:hAnsi="仿宋"/>
          <w:sz w:val="28"/>
          <w:szCs w:val="28"/>
        </w:rPr>
        <w:t>资产负债基本情况、价值评估、内部经营管理情况等信息；</w:t>
      </w:r>
    </w:p>
    <w:p w14:paraId="53D76BA7">
      <w:pPr>
        <w:pStyle w:val="12"/>
        <w:snapToGrid w:val="0"/>
        <w:spacing w:line="560" w:lineRule="exact"/>
        <w:ind w:firstLine="560"/>
        <w:rPr>
          <w:rFonts w:hint="eastAsia" w:ascii="仿宋" w:hAnsi="仿宋"/>
          <w:sz w:val="28"/>
          <w:szCs w:val="28"/>
        </w:rPr>
      </w:pPr>
      <w:r>
        <w:rPr>
          <w:rFonts w:hint="eastAsia" w:ascii="仿宋" w:hAnsi="仿宋"/>
          <w:sz w:val="28"/>
          <w:szCs w:val="28"/>
        </w:rPr>
        <w:t>4.由贵方或披露义务人制作的、与世纪金光</w:t>
      </w:r>
      <w:r>
        <w:rPr>
          <w:rFonts w:hint="eastAsia" w:ascii="仿宋" w:hAnsi="仿宋"/>
          <w:sz w:val="28"/>
          <w:szCs w:val="28"/>
          <w:lang w:val="en-US" w:eastAsia="zh-CN"/>
        </w:rPr>
        <w:t>等关联公司实质合并</w:t>
      </w:r>
      <w:r>
        <w:rPr>
          <w:rFonts w:hint="eastAsia" w:ascii="仿宋" w:hAnsi="仿宋"/>
          <w:sz w:val="28"/>
          <w:szCs w:val="28"/>
        </w:rPr>
        <w:t>破产清算及重整相关的任何原始材料、记录、文件、报告、分析、编辑研究、法律意见以及其他材料或文件；</w:t>
      </w:r>
    </w:p>
    <w:p w14:paraId="0A49D6F7">
      <w:pPr>
        <w:pStyle w:val="12"/>
        <w:snapToGrid w:val="0"/>
        <w:spacing w:line="560" w:lineRule="exact"/>
        <w:ind w:firstLine="560"/>
        <w:rPr>
          <w:rFonts w:hint="eastAsia" w:ascii="仿宋" w:hAnsi="仿宋"/>
          <w:sz w:val="28"/>
          <w:szCs w:val="28"/>
        </w:rPr>
      </w:pPr>
      <w:r>
        <w:rPr>
          <w:rFonts w:hint="eastAsia" w:ascii="仿宋" w:hAnsi="仿宋"/>
          <w:sz w:val="28"/>
          <w:szCs w:val="28"/>
        </w:rPr>
        <w:t>5.世纪金光</w:t>
      </w:r>
      <w:r>
        <w:rPr>
          <w:rFonts w:hint="eastAsia" w:ascii="仿宋" w:hAnsi="仿宋"/>
          <w:sz w:val="28"/>
          <w:szCs w:val="28"/>
          <w:lang w:val="en-US" w:eastAsia="zh-CN"/>
        </w:rPr>
        <w:t>等关联公司</w:t>
      </w:r>
      <w:r>
        <w:rPr>
          <w:rFonts w:hint="eastAsia" w:ascii="仿宋" w:hAnsi="仿宋"/>
          <w:sz w:val="28"/>
          <w:szCs w:val="28"/>
        </w:rPr>
        <w:t>专有的任何带有“秘密”“机密”“绝密”字样的文件（如有），以及涉及世纪金光</w:t>
      </w:r>
      <w:r>
        <w:rPr>
          <w:rFonts w:hint="eastAsia" w:ascii="仿宋" w:hAnsi="仿宋"/>
          <w:sz w:val="28"/>
          <w:szCs w:val="28"/>
          <w:lang w:val="en-US" w:eastAsia="zh-CN"/>
        </w:rPr>
        <w:t>等关联公司</w:t>
      </w:r>
      <w:r>
        <w:rPr>
          <w:rFonts w:hint="eastAsia" w:ascii="仿宋" w:hAnsi="仿宋"/>
          <w:sz w:val="28"/>
          <w:szCs w:val="28"/>
        </w:rPr>
        <w:t>破产清算及重整事项的各项内部规章制度；</w:t>
      </w:r>
    </w:p>
    <w:p w14:paraId="4DC8676B">
      <w:pPr>
        <w:pStyle w:val="12"/>
        <w:snapToGrid w:val="0"/>
        <w:spacing w:line="560" w:lineRule="exact"/>
        <w:ind w:firstLine="560"/>
        <w:rPr>
          <w:rFonts w:hint="eastAsia" w:ascii="仿宋" w:hAnsi="仿宋"/>
          <w:sz w:val="28"/>
          <w:szCs w:val="28"/>
        </w:rPr>
      </w:pPr>
      <w:r>
        <w:rPr>
          <w:rFonts w:hint="eastAsia" w:ascii="仿宋" w:hAnsi="仿宋"/>
          <w:sz w:val="28"/>
          <w:szCs w:val="28"/>
        </w:rPr>
        <w:t>6.贵方或披露义务人与我方或我方代表为进行世纪金光</w:t>
      </w:r>
      <w:r>
        <w:rPr>
          <w:rFonts w:hint="eastAsia" w:ascii="仿宋" w:hAnsi="仿宋"/>
          <w:sz w:val="28"/>
          <w:szCs w:val="28"/>
          <w:lang w:val="en-US" w:eastAsia="zh-CN"/>
        </w:rPr>
        <w:t>等关联公司实质合并</w:t>
      </w:r>
      <w:r>
        <w:rPr>
          <w:rFonts w:hint="eastAsia" w:ascii="仿宋" w:hAnsi="仿宋"/>
          <w:sz w:val="28"/>
          <w:szCs w:val="28"/>
        </w:rPr>
        <w:t>破产清算及重整工作而达成的任何合同、协议、约定或在进行破产清算及重整工作过程中产生的任何会议纪要、会谈记录等；</w:t>
      </w:r>
    </w:p>
    <w:p w14:paraId="1C345BB9">
      <w:pPr>
        <w:pStyle w:val="12"/>
        <w:snapToGrid w:val="0"/>
        <w:spacing w:line="560" w:lineRule="exact"/>
        <w:ind w:firstLine="560"/>
        <w:rPr>
          <w:rFonts w:hint="eastAsia" w:ascii="仿宋" w:hAnsi="仿宋"/>
          <w:sz w:val="28"/>
          <w:szCs w:val="28"/>
        </w:rPr>
      </w:pPr>
      <w:r>
        <w:rPr>
          <w:rFonts w:hint="eastAsia" w:ascii="仿宋" w:hAnsi="仿宋"/>
          <w:sz w:val="28"/>
          <w:szCs w:val="28"/>
        </w:rPr>
        <w:t>7.我方或我方委派人员制作的包含或有关上述资料的书面备忘录、笔记、分析、报告、汇编和研究资料等；</w:t>
      </w:r>
    </w:p>
    <w:p w14:paraId="1FAF989B">
      <w:pPr>
        <w:pStyle w:val="12"/>
        <w:snapToGrid w:val="0"/>
        <w:spacing w:line="560" w:lineRule="exact"/>
        <w:ind w:firstLine="560"/>
        <w:rPr>
          <w:rFonts w:hint="eastAsia" w:ascii="仿宋" w:hAnsi="仿宋"/>
          <w:sz w:val="28"/>
          <w:szCs w:val="28"/>
        </w:rPr>
      </w:pPr>
      <w:r>
        <w:rPr>
          <w:rFonts w:hint="eastAsia" w:ascii="仿宋" w:hAnsi="仿宋"/>
          <w:sz w:val="28"/>
          <w:szCs w:val="28"/>
        </w:rPr>
        <w:t>8.上述资料的全部复制件或录音资料等；</w:t>
      </w:r>
    </w:p>
    <w:p w14:paraId="2E7E4854">
      <w:pPr>
        <w:pStyle w:val="12"/>
        <w:snapToGrid w:val="0"/>
        <w:spacing w:line="560" w:lineRule="exact"/>
        <w:ind w:firstLine="560"/>
        <w:rPr>
          <w:rFonts w:hint="eastAsia" w:ascii="仿宋" w:hAnsi="仿宋"/>
          <w:sz w:val="28"/>
          <w:szCs w:val="28"/>
        </w:rPr>
      </w:pPr>
      <w:r>
        <w:rPr>
          <w:rFonts w:hint="eastAsia" w:ascii="仿宋" w:hAnsi="仿宋"/>
          <w:sz w:val="28"/>
          <w:szCs w:val="28"/>
        </w:rPr>
        <w:t>9.贵方或披露义务人向我方提供的不被公众所知的其他文件资料和信息；</w:t>
      </w:r>
    </w:p>
    <w:p w14:paraId="3DA98613">
      <w:pPr>
        <w:pStyle w:val="12"/>
        <w:snapToGrid w:val="0"/>
        <w:spacing w:line="560" w:lineRule="exact"/>
        <w:ind w:firstLine="560"/>
        <w:rPr>
          <w:rFonts w:hint="eastAsia" w:ascii="仿宋" w:hAnsi="仿宋"/>
          <w:sz w:val="28"/>
          <w:szCs w:val="28"/>
        </w:rPr>
      </w:pPr>
      <w:r>
        <w:rPr>
          <w:rFonts w:hint="eastAsia" w:ascii="仿宋" w:hAnsi="仿宋"/>
          <w:sz w:val="28"/>
          <w:szCs w:val="28"/>
        </w:rPr>
        <w:t>10.上述保密信息无论以何种形式存在（包括但不限于数据、图表、胶片、光盘、文件、计算机媒介和网络），也无论是否以口头、文件、演示或其他形式提供，也无论是否记载或标注为保密信息，均不影响其在本承诺函项下的保密性质。</w:t>
      </w:r>
    </w:p>
    <w:p w14:paraId="2B894C4A">
      <w:pPr>
        <w:pStyle w:val="12"/>
        <w:snapToGrid w:val="0"/>
        <w:spacing w:line="560" w:lineRule="exact"/>
        <w:ind w:firstLine="562"/>
        <w:rPr>
          <w:rFonts w:hint="eastAsia" w:ascii="仿宋" w:hAnsi="仿宋"/>
          <w:sz w:val="28"/>
          <w:szCs w:val="28"/>
        </w:rPr>
      </w:pPr>
      <w:r>
        <w:rPr>
          <w:rFonts w:hint="eastAsia" w:ascii="仿宋" w:hAnsi="仿宋"/>
          <w:b/>
          <w:bCs/>
          <w:sz w:val="28"/>
          <w:szCs w:val="28"/>
        </w:rPr>
        <w:t>第二条保密义务的期限</w:t>
      </w:r>
      <w:r>
        <w:rPr>
          <w:rFonts w:hint="eastAsia" w:ascii="仿宋" w:hAnsi="仿宋"/>
          <w:sz w:val="28"/>
          <w:szCs w:val="28"/>
        </w:rPr>
        <w:t xml:space="preserve"> </w:t>
      </w:r>
    </w:p>
    <w:p w14:paraId="4D406E00">
      <w:pPr>
        <w:snapToGrid w:val="0"/>
        <w:spacing w:line="560" w:lineRule="exact"/>
        <w:ind w:firstLine="560" w:firstLineChars="200"/>
        <w:rPr>
          <w:rFonts w:hint="eastAsia" w:ascii="仿宋" w:hAnsi="仿宋"/>
          <w:sz w:val="28"/>
          <w:szCs w:val="28"/>
        </w:rPr>
      </w:pPr>
      <w:r>
        <w:rPr>
          <w:rFonts w:hint="eastAsia" w:ascii="仿宋" w:hAnsi="仿宋"/>
          <w:sz w:val="28"/>
          <w:szCs w:val="28"/>
        </w:rPr>
        <w:t>自我方获取世纪金光</w:t>
      </w:r>
      <w:r>
        <w:rPr>
          <w:rFonts w:hint="eastAsia" w:ascii="仿宋" w:hAnsi="仿宋"/>
          <w:sz w:val="28"/>
          <w:szCs w:val="28"/>
          <w:lang w:val="en-US" w:eastAsia="zh-CN"/>
        </w:rPr>
        <w:t>等关联公司</w:t>
      </w:r>
      <w:r>
        <w:rPr>
          <w:rFonts w:hint="eastAsia" w:ascii="仿宋" w:hAnsi="仿宋"/>
          <w:sz w:val="28"/>
          <w:szCs w:val="28"/>
        </w:rPr>
        <w:t xml:space="preserve">重整保密信息之日起至任何保密信息进入公共领域成为公知信息之日止，不受期限限制。 </w:t>
      </w:r>
    </w:p>
    <w:p w14:paraId="3BC8DBE7">
      <w:pPr>
        <w:snapToGrid w:val="0"/>
        <w:spacing w:line="560" w:lineRule="exact"/>
        <w:ind w:firstLine="562" w:firstLineChars="200"/>
        <w:rPr>
          <w:rFonts w:hint="eastAsia" w:ascii="仿宋" w:hAnsi="仿宋"/>
          <w:sz w:val="28"/>
          <w:szCs w:val="28"/>
        </w:rPr>
      </w:pPr>
      <w:r>
        <w:rPr>
          <w:rFonts w:hint="eastAsia" w:ascii="仿宋" w:hAnsi="仿宋"/>
          <w:b/>
          <w:bCs/>
          <w:sz w:val="28"/>
          <w:szCs w:val="28"/>
        </w:rPr>
        <w:t>第三条  保密义务</w:t>
      </w:r>
      <w:r>
        <w:rPr>
          <w:rFonts w:hint="eastAsia" w:ascii="仿宋" w:hAnsi="仿宋"/>
          <w:sz w:val="28"/>
          <w:szCs w:val="28"/>
        </w:rPr>
        <w:t xml:space="preserve"> </w:t>
      </w:r>
    </w:p>
    <w:p w14:paraId="23A907F5">
      <w:pPr>
        <w:pStyle w:val="12"/>
        <w:snapToGrid w:val="0"/>
        <w:spacing w:line="560" w:lineRule="exact"/>
        <w:ind w:firstLine="560"/>
        <w:rPr>
          <w:rFonts w:hint="eastAsia" w:ascii="仿宋" w:hAnsi="仿宋"/>
          <w:sz w:val="28"/>
          <w:szCs w:val="28"/>
        </w:rPr>
      </w:pPr>
      <w:r>
        <w:rPr>
          <w:rFonts w:hint="eastAsia" w:ascii="仿宋" w:hAnsi="仿宋"/>
          <w:sz w:val="28"/>
          <w:szCs w:val="28"/>
        </w:rPr>
        <w:t>1.我方采取对上述资料保密的措施，保证知悉保密信息的人员，仅限于我方为了评估及/或参与世纪金光</w:t>
      </w:r>
      <w:r>
        <w:rPr>
          <w:rFonts w:hint="eastAsia" w:ascii="仿宋" w:hAnsi="仿宋"/>
          <w:sz w:val="28"/>
          <w:szCs w:val="28"/>
          <w:lang w:val="en-US" w:eastAsia="zh-CN"/>
        </w:rPr>
        <w:t>等关联公司实质合并</w:t>
      </w:r>
      <w:r>
        <w:rPr>
          <w:rFonts w:hint="eastAsia" w:ascii="仿宋" w:hAnsi="仿宋"/>
          <w:sz w:val="28"/>
          <w:szCs w:val="28"/>
        </w:rPr>
        <w:t xml:space="preserve">破产清算及重整程序必须知道保密信息的代表。 </w:t>
      </w:r>
    </w:p>
    <w:p w14:paraId="26A31015">
      <w:pPr>
        <w:pStyle w:val="12"/>
        <w:snapToGrid w:val="0"/>
        <w:spacing w:line="560" w:lineRule="exact"/>
        <w:ind w:firstLine="560"/>
        <w:rPr>
          <w:rFonts w:hint="eastAsia" w:ascii="仿宋" w:hAnsi="仿宋"/>
          <w:sz w:val="28"/>
          <w:szCs w:val="28"/>
        </w:rPr>
      </w:pPr>
      <w:r>
        <w:rPr>
          <w:rFonts w:hint="eastAsia" w:ascii="仿宋" w:hAnsi="仿宋"/>
          <w:sz w:val="28"/>
          <w:szCs w:val="28"/>
        </w:rPr>
        <w:t xml:space="preserve">2.我方同意对所有保密信息保密，除非贵方同意，不会将任何信息以任何形式披露给除本条第1款之外的其他任何人。未经贵方的事先书面同意，我方不以任何方式将保密信息向任何第三人披露、传播或复制。 </w:t>
      </w:r>
    </w:p>
    <w:p w14:paraId="58ACB372">
      <w:pPr>
        <w:pStyle w:val="12"/>
        <w:snapToGrid w:val="0"/>
        <w:spacing w:line="560" w:lineRule="exact"/>
        <w:ind w:firstLine="560"/>
        <w:rPr>
          <w:rFonts w:hint="eastAsia" w:ascii="仿宋" w:hAnsi="仿宋"/>
          <w:sz w:val="28"/>
          <w:szCs w:val="28"/>
        </w:rPr>
      </w:pPr>
      <w:r>
        <w:rPr>
          <w:rFonts w:hint="eastAsia" w:ascii="仿宋" w:hAnsi="仿宋"/>
          <w:sz w:val="28"/>
          <w:szCs w:val="28"/>
        </w:rPr>
        <w:t>3.我方将严格遵守相关法律法规，切实履行内幕信息知情人的保密义务，在保密信息依法披露前不公开或者泄露该信息，不利用上述信息进行内幕交易。</w:t>
      </w:r>
    </w:p>
    <w:p w14:paraId="746CF0A1">
      <w:pPr>
        <w:pStyle w:val="12"/>
        <w:snapToGrid w:val="0"/>
        <w:spacing w:line="560" w:lineRule="exact"/>
        <w:ind w:firstLine="560"/>
        <w:rPr>
          <w:rFonts w:hint="eastAsia" w:ascii="仿宋" w:hAnsi="仿宋"/>
          <w:sz w:val="28"/>
          <w:szCs w:val="28"/>
        </w:rPr>
      </w:pPr>
      <w:r>
        <w:rPr>
          <w:rFonts w:hint="eastAsia" w:ascii="仿宋" w:hAnsi="仿宋"/>
          <w:sz w:val="28"/>
          <w:szCs w:val="28"/>
        </w:rPr>
        <w:t>4.我方以参与世纪金光</w:t>
      </w:r>
      <w:r>
        <w:rPr>
          <w:rFonts w:hint="eastAsia" w:ascii="仿宋" w:hAnsi="仿宋"/>
          <w:sz w:val="28"/>
          <w:szCs w:val="28"/>
          <w:lang w:val="en-US" w:eastAsia="zh-CN"/>
        </w:rPr>
        <w:t>等关联公司实质合并</w:t>
      </w:r>
      <w:r>
        <w:rPr>
          <w:rFonts w:hint="eastAsia" w:ascii="仿宋" w:hAnsi="仿宋"/>
          <w:sz w:val="28"/>
          <w:szCs w:val="28"/>
        </w:rPr>
        <w:t>破产清算及重整程序目的进行尽职调查，获取、使用世纪金光</w:t>
      </w:r>
      <w:r>
        <w:rPr>
          <w:rFonts w:hint="eastAsia" w:ascii="仿宋" w:hAnsi="仿宋"/>
          <w:sz w:val="28"/>
          <w:szCs w:val="28"/>
          <w:lang w:val="en-US" w:eastAsia="zh-CN"/>
        </w:rPr>
        <w:t>等关联公司</w:t>
      </w:r>
      <w:r>
        <w:rPr>
          <w:rFonts w:hint="eastAsia" w:ascii="仿宋" w:hAnsi="仿宋"/>
          <w:sz w:val="28"/>
          <w:szCs w:val="28"/>
        </w:rPr>
        <w:t xml:space="preserve">相关资料，不以其他目的获取、使用资料。 </w:t>
      </w:r>
    </w:p>
    <w:p w14:paraId="125856FD">
      <w:pPr>
        <w:pStyle w:val="12"/>
        <w:snapToGrid w:val="0"/>
        <w:spacing w:line="560" w:lineRule="exact"/>
        <w:ind w:firstLine="560"/>
        <w:rPr>
          <w:rFonts w:hint="eastAsia" w:ascii="仿宋" w:hAnsi="仿宋"/>
          <w:sz w:val="28"/>
          <w:szCs w:val="28"/>
        </w:rPr>
      </w:pPr>
      <w:r>
        <w:rPr>
          <w:rFonts w:hint="eastAsia" w:ascii="仿宋" w:hAnsi="仿宋"/>
          <w:sz w:val="28"/>
          <w:szCs w:val="28"/>
        </w:rPr>
        <w:t>5.若我方未履行本保密函保密义务，给贵方或世纪金光</w:t>
      </w:r>
      <w:r>
        <w:rPr>
          <w:rFonts w:hint="eastAsia" w:ascii="仿宋" w:hAnsi="仿宋"/>
          <w:sz w:val="28"/>
          <w:szCs w:val="28"/>
          <w:lang w:val="en-US" w:eastAsia="zh-CN"/>
        </w:rPr>
        <w:t>等关联公司</w:t>
      </w:r>
      <w:r>
        <w:rPr>
          <w:rFonts w:hint="eastAsia" w:ascii="仿宋" w:hAnsi="仿宋"/>
          <w:sz w:val="28"/>
          <w:szCs w:val="28"/>
        </w:rPr>
        <w:t xml:space="preserve">造成损失的，我方应赔偿损失。损失范围包括直接损失和间接损失，以及因此支出的律师费、仲裁费、诉讼费等。 </w:t>
      </w:r>
    </w:p>
    <w:p w14:paraId="620DDD2F">
      <w:pPr>
        <w:snapToGrid w:val="0"/>
        <w:spacing w:line="560" w:lineRule="exact"/>
        <w:ind w:firstLine="560" w:firstLineChars="200"/>
        <w:rPr>
          <w:rFonts w:hint="eastAsia" w:ascii="仿宋" w:hAnsi="仿宋"/>
          <w:sz w:val="28"/>
          <w:szCs w:val="28"/>
        </w:rPr>
      </w:pPr>
      <w:r>
        <w:rPr>
          <w:rFonts w:hint="eastAsia" w:ascii="仿宋" w:hAnsi="仿宋"/>
          <w:sz w:val="28"/>
          <w:szCs w:val="28"/>
        </w:rPr>
        <w:t xml:space="preserve">此致   </w:t>
      </w:r>
    </w:p>
    <w:p w14:paraId="48EB3388">
      <w:pPr>
        <w:spacing w:line="560" w:lineRule="exact"/>
        <w:jc w:val="center"/>
        <w:rPr>
          <w:rFonts w:hint="eastAsia" w:ascii="仿宋" w:hAnsi="仿宋"/>
          <w:sz w:val="28"/>
          <w:szCs w:val="28"/>
        </w:rPr>
      </w:pPr>
      <w:r>
        <w:rPr>
          <w:rFonts w:hint="eastAsia" w:ascii="仿宋" w:hAnsi="仿宋"/>
          <w:sz w:val="28"/>
          <w:szCs w:val="28"/>
        </w:rPr>
        <w:t xml:space="preserve">      </w:t>
      </w:r>
    </w:p>
    <w:p w14:paraId="0224D1FC">
      <w:pPr>
        <w:spacing w:line="560" w:lineRule="exact"/>
        <w:jc w:val="center"/>
        <w:rPr>
          <w:rFonts w:hint="eastAsia" w:ascii="仿宋" w:hAnsi="仿宋"/>
          <w:sz w:val="28"/>
          <w:szCs w:val="28"/>
        </w:rPr>
      </w:pPr>
    </w:p>
    <w:p w14:paraId="59986166">
      <w:pPr>
        <w:spacing w:line="560" w:lineRule="exact"/>
        <w:jc w:val="center"/>
        <w:rPr>
          <w:rFonts w:hint="eastAsia" w:ascii="仿宋" w:hAnsi="仿宋"/>
          <w:sz w:val="28"/>
          <w:szCs w:val="28"/>
        </w:rPr>
      </w:pPr>
    </w:p>
    <w:p w14:paraId="45DD7061">
      <w:pPr>
        <w:spacing w:line="560" w:lineRule="exact"/>
        <w:jc w:val="center"/>
        <w:rPr>
          <w:rFonts w:hint="eastAsia" w:ascii="仿宋" w:hAnsi="仿宋"/>
          <w:sz w:val="28"/>
          <w:szCs w:val="28"/>
        </w:rPr>
      </w:pPr>
      <w:r>
        <w:rPr>
          <w:rFonts w:hint="eastAsia" w:ascii="仿宋" w:hAnsi="仿宋"/>
          <w:sz w:val="28"/>
          <w:szCs w:val="28"/>
        </w:rPr>
        <w:t xml:space="preserve">     意向投资人（盖章）：</w:t>
      </w:r>
    </w:p>
    <w:p w14:paraId="5B2D206A">
      <w:pPr>
        <w:spacing w:line="560" w:lineRule="exact"/>
        <w:jc w:val="center"/>
        <w:rPr>
          <w:rFonts w:hint="eastAsia" w:ascii="仿宋" w:hAnsi="仿宋"/>
          <w:sz w:val="28"/>
          <w:szCs w:val="28"/>
        </w:rPr>
      </w:pPr>
    </w:p>
    <w:p w14:paraId="6D4160EA">
      <w:pPr>
        <w:wordWrap w:val="0"/>
        <w:spacing w:line="560" w:lineRule="exact"/>
        <w:jc w:val="right"/>
        <w:rPr>
          <w:rFonts w:hint="eastAsia" w:ascii="仿宋" w:hAnsi="仿宋"/>
          <w:sz w:val="28"/>
          <w:szCs w:val="28"/>
          <w:u w:val="single"/>
        </w:rPr>
      </w:pPr>
      <w:r>
        <w:rPr>
          <w:rFonts w:hint="eastAsia" w:ascii="仿宋" w:hAnsi="仿宋"/>
          <w:sz w:val="28"/>
          <w:szCs w:val="28"/>
        </w:rPr>
        <w:t xml:space="preserve"> 法定代表人（负责人）/授权代表签字：</w:t>
      </w:r>
      <w:r>
        <w:rPr>
          <w:rFonts w:hint="eastAsia" w:ascii="仿宋" w:hAnsi="仿宋"/>
          <w:sz w:val="28"/>
          <w:szCs w:val="28"/>
          <w:u w:val="single"/>
        </w:rPr>
        <w:t xml:space="preserve">          </w:t>
      </w:r>
    </w:p>
    <w:p w14:paraId="002FEC1F">
      <w:pPr>
        <w:wordWrap w:val="0"/>
        <w:spacing w:line="560" w:lineRule="exact"/>
        <w:jc w:val="right"/>
        <w:rPr>
          <w:rFonts w:hint="eastAsia" w:ascii="仿宋" w:hAnsi="仿宋"/>
          <w:sz w:val="28"/>
          <w:szCs w:val="28"/>
          <w:u w:val="single"/>
        </w:rPr>
      </w:pPr>
      <w:r>
        <w:rPr>
          <w:rFonts w:hint="eastAsia" w:ascii="仿宋" w:hAnsi="仿宋"/>
          <w:sz w:val="28"/>
          <w:szCs w:val="28"/>
        </w:rPr>
        <w:t xml:space="preserve"> 日期：</w:t>
      </w:r>
      <w:r>
        <w:rPr>
          <w:rFonts w:hint="eastAsia" w:ascii="仿宋" w:hAnsi="仿宋"/>
          <w:sz w:val="28"/>
          <w:szCs w:val="28"/>
          <w:u w:val="single"/>
        </w:rPr>
        <w:t xml:space="preserve">          </w:t>
      </w:r>
    </w:p>
    <w:p w14:paraId="4981FF28">
      <w:pPr>
        <w:spacing w:line="560" w:lineRule="exact"/>
        <w:jc w:val="right"/>
        <w:rPr>
          <w:rFonts w:hint="eastAsia" w:ascii="仿宋" w:hAnsi="仿宋"/>
          <w:sz w:val="28"/>
          <w:szCs w:val="28"/>
          <w:u w:val="single"/>
        </w:rPr>
      </w:pPr>
    </w:p>
    <w:p w14:paraId="1B268D95">
      <w:pPr>
        <w:spacing w:line="560" w:lineRule="exact"/>
        <w:rPr>
          <w:rFonts w:hint="eastAsia" w:ascii="仿宋" w:hAnsi="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E99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07F1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D107F1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CD3F58"/>
    <w:rsid w:val="00092509"/>
    <w:rsid w:val="00116791"/>
    <w:rsid w:val="002313F4"/>
    <w:rsid w:val="0028648D"/>
    <w:rsid w:val="00397A6A"/>
    <w:rsid w:val="005319D6"/>
    <w:rsid w:val="007A51B4"/>
    <w:rsid w:val="00885B23"/>
    <w:rsid w:val="008F23B7"/>
    <w:rsid w:val="00941A98"/>
    <w:rsid w:val="00BA72B0"/>
    <w:rsid w:val="00CD3F58"/>
    <w:rsid w:val="00EF2649"/>
    <w:rsid w:val="012B2B5D"/>
    <w:rsid w:val="014D4997"/>
    <w:rsid w:val="019B5683"/>
    <w:rsid w:val="01C25065"/>
    <w:rsid w:val="02251150"/>
    <w:rsid w:val="023A7A39"/>
    <w:rsid w:val="02BD0AD8"/>
    <w:rsid w:val="02C0622E"/>
    <w:rsid w:val="02F474A0"/>
    <w:rsid w:val="03191118"/>
    <w:rsid w:val="031A4A2D"/>
    <w:rsid w:val="037C0825"/>
    <w:rsid w:val="03AD764F"/>
    <w:rsid w:val="046B3792"/>
    <w:rsid w:val="052A53FB"/>
    <w:rsid w:val="057123DC"/>
    <w:rsid w:val="059A4725"/>
    <w:rsid w:val="060D44F4"/>
    <w:rsid w:val="063D7BEF"/>
    <w:rsid w:val="06473D8B"/>
    <w:rsid w:val="068540FB"/>
    <w:rsid w:val="06D74DCF"/>
    <w:rsid w:val="06D82C35"/>
    <w:rsid w:val="070026F9"/>
    <w:rsid w:val="07251F7D"/>
    <w:rsid w:val="07512869"/>
    <w:rsid w:val="07BE007D"/>
    <w:rsid w:val="07C03DF5"/>
    <w:rsid w:val="07F25F78"/>
    <w:rsid w:val="085E04B3"/>
    <w:rsid w:val="08640C24"/>
    <w:rsid w:val="087846CF"/>
    <w:rsid w:val="09905A49"/>
    <w:rsid w:val="099A0675"/>
    <w:rsid w:val="09A14A08"/>
    <w:rsid w:val="09C86F91"/>
    <w:rsid w:val="0AB85257"/>
    <w:rsid w:val="0B4D3BF1"/>
    <w:rsid w:val="0B8D2240"/>
    <w:rsid w:val="0BB73477"/>
    <w:rsid w:val="0BE206E2"/>
    <w:rsid w:val="0BF7590B"/>
    <w:rsid w:val="0C4C20FB"/>
    <w:rsid w:val="0CC46135"/>
    <w:rsid w:val="0CE75980"/>
    <w:rsid w:val="0CEA5F50"/>
    <w:rsid w:val="0D463A32"/>
    <w:rsid w:val="0DA6583B"/>
    <w:rsid w:val="0DD028B8"/>
    <w:rsid w:val="0DD93221"/>
    <w:rsid w:val="0DF447F8"/>
    <w:rsid w:val="0DF540CC"/>
    <w:rsid w:val="0EDE1004"/>
    <w:rsid w:val="0F234C69"/>
    <w:rsid w:val="0FA364D6"/>
    <w:rsid w:val="0FD04DF1"/>
    <w:rsid w:val="10093E5F"/>
    <w:rsid w:val="1020718A"/>
    <w:rsid w:val="106D2640"/>
    <w:rsid w:val="11731ED8"/>
    <w:rsid w:val="117A0B97"/>
    <w:rsid w:val="11CE13B2"/>
    <w:rsid w:val="11DA6369"/>
    <w:rsid w:val="123B6858"/>
    <w:rsid w:val="123E24E6"/>
    <w:rsid w:val="12DB4F5A"/>
    <w:rsid w:val="13313DF9"/>
    <w:rsid w:val="13345E52"/>
    <w:rsid w:val="135172E5"/>
    <w:rsid w:val="13520228"/>
    <w:rsid w:val="13B13559"/>
    <w:rsid w:val="13C16B12"/>
    <w:rsid w:val="13C407C9"/>
    <w:rsid w:val="13D11138"/>
    <w:rsid w:val="144B2489"/>
    <w:rsid w:val="157A2AA0"/>
    <w:rsid w:val="15B34F99"/>
    <w:rsid w:val="162639BD"/>
    <w:rsid w:val="16300397"/>
    <w:rsid w:val="168C1346"/>
    <w:rsid w:val="16C60CFC"/>
    <w:rsid w:val="16E56387"/>
    <w:rsid w:val="176C173F"/>
    <w:rsid w:val="178C7B60"/>
    <w:rsid w:val="17C6385E"/>
    <w:rsid w:val="180715CC"/>
    <w:rsid w:val="181979C4"/>
    <w:rsid w:val="18562BE0"/>
    <w:rsid w:val="18787ADF"/>
    <w:rsid w:val="189C0F42"/>
    <w:rsid w:val="19434561"/>
    <w:rsid w:val="19E64A97"/>
    <w:rsid w:val="19FD61E8"/>
    <w:rsid w:val="1A18361C"/>
    <w:rsid w:val="1A5959E3"/>
    <w:rsid w:val="1AF04599"/>
    <w:rsid w:val="1B972C67"/>
    <w:rsid w:val="1C6B037B"/>
    <w:rsid w:val="1C7A627F"/>
    <w:rsid w:val="1CD53A47"/>
    <w:rsid w:val="1CF0180F"/>
    <w:rsid w:val="1D385D84"/>
    <w:rsid w:val="1D720ECB"/>
    <w:rsid w:val="1D7A639C"/>
    <w:rsid w:val="1D8D4321"/>
    <w:rsid w:val="1D9751A0"/>
    <w:rsid w:val="1DAB150C"/>
    <w:rsid w:val="1E053128"/>
    <w:rsid w:val="1E2B385A"/>
    <w:rsid w:val="1E34479D"/>
    <w:rsid w:val="1E872A4D"/>
    <w:rsid w:val="1EDB2E6A"/>
    <w:rsid w:val="1EE71D4D"/>
    <w:rsid w:val="1F664E2A"/>
    <w:rsid w:val="1FAE59D5"/>
    <w:rsid w:val="1FBA6F24"/>
    <w:rsid w:val="1FC84609"/>
    <w:rsid w:val="1FF02946"/>
    <w:rsid w:val="202820DF"/>
    <w:rsid w:val="20735A50"/>
    <w:rsid w:val="217001E2"/>
    <w:rsid w:val="21787096"/>
    <w:rsid w:val="22284619"/>
    <w:rsid w:val="23183B09"/>
    <w:rsid w:val="232A0BCD"/>
    <w:rsid w:val="236F114E"/>
    <w:rsid w:val="239D4B92"/>
    <w:rsid w:val="23E138B2"/>
    <w:rsid w:val="24724271"/>
    <w:rsid w:val="24AF1021"/>
    <w:rsid w:val="24FD1D8D"/>
    <w:rsid w:val="250C558A"/>
    <w:rsid w:val="25553977"/>
    <w:rsid w:val="256E2FC7"/>
    <w:rsid w:val="25755DC7"/>
    <w:rsid w:val="2584425C"/>
    <w:rsid w:val="25D725DE"/>
    <w:rsid w:val="26553787"/>
    <w:rsid w:val="26B20955"/>
    <w:rsid w:val="26E256DE"/>
    <w:rsid w:val="272F01F7"/>
    <w:rsid w:val="27744462"/>
    <w:rsid w:val="277F4C03"/>
    <w:rsid w:val="27934C2A"/>
    <w:rsid w:val="27A26C1B"/>
    <w:rsid w:val="27CF10B1"/>
    <w:rsid w:val="281C7EDB"/>
    <w:rsid w:val="282B5482"/>
    <w:rsid w:val="282E2BB6"/>
    <w:rsid w:val="28904CC6"/>
    <w:rsid w:val="2967011C"/>
    <w:rsid w:val="299A404E"/>
    <w:rsid w:val="29C015DB"/>
    <w:rsid w:val="29E27804"/>
    <w:rsid w:val="2A622692"/>
    <w:rsid w:val="2A953EC7"/>
    <w:rsid w:val="2AA1765E"/>
    <w:rsid w:val="2AAD1B5F"/>
    <w:rsid w:val="2ADC41F2"/>
    <w:rsid w:val="2B25186C"/>
    <w:rsid w:val="2B3C4A3A"/>
    <w:rsid w:val="2B403822"/>
    <w:rsid w:val="2B726905"/>
    <w:rsid w:val="2C576226"/>
    <w:rsid w:val="2C9B053D"/>
    <w:rsid w:val="2CAC4287"/>
    <w:rsid w:val="2CF25F4F"/>
    <w:rsid w:val="2CF577ED"/>
    <w:rsid w:val="2D8A43D9"/>
    <w:rsid w:val="2DDA6B70"/>
    <w:rsid w:val="2DEC5759"/>
    <w:rsid w:val="2DF06932"/>
    <w:rsid w:val="2DF10C13"/>
    <w:rsid w:val="2E4D4D83"/>
    <w:rsid w:val="2E734E6D"/>
    <w:rsid w:val="2F484E5B"/>
    <w:rsid w:val="2F4862FA"/>
    <w:rsid w:val="2F5D6621"/>
    <w:rsid w:val="2FA774C5"/>
    <w:rsid w:val="2FB971F8"/>
    <w:rsid w:val="2FC811E9"/>
    <w:rsid w:val="2FDE6C5E"/>
    <w:rsid w:val="306D5DBE"/>
    <w:rsid w:val="30B5662C"/>
    <w:rsid w:val="30D269D3"/>
    <w:rsid w:val="3110566A"/>
    <w:rsid w:val="31701B38"/>
    <w:rsid w:val="319475D5"/>
    <w:rsid w:val="31E00A6C"/>
    <w:rsid w:val="31E16592"/>
    <w:rsid w:val="32180206"/>
    <w:rsid w:val="32405150"/>
    <w:rsid w:val="326351F9"/>
    <w:rsid w:val="32BC2FDE"/>
    <w:rsid w:val="32CE2FBA"/>
    <w:rsid w:val="32EC3440"/>
    <w:rsid w:val="33EB36F8"/>
    <w:rsid w:val="3426317B"/>
    <w:rsid w:val="34562B28"/>
    <w:rsid w:val="346871AD"/>
    <w:rsid w:val="34713D3E"/>
    <w:rsid w:val="347E456C"/>
    <w:rsid w:val="34C51A78"/>
    <w:rsid w:val="34E75451"/>
    <w:rsid w:val="34FA62E8"/>
    <w:rsid w:val="34FB7C51"/>
    <w:rsid w:val="356C2617"/>
    <w:rsid w:val="357716E7"/>
    <w:rsid w:val="35BC534C"/>
    <w:rsid w:val="35CD57AB"/>
    <w:rsid w:val="35F8724A"/>
    <w:rsid w:val="35FC7E3E"/>
    <w:rsid w:val="361433DA"/>
    <w:rsid w:val="368C11C2"/>
    <w:rsid w:val="36D46030"/>
    <w:rsid w:val="36F867A5"/>
    <w:rsid w:val="36FB1EA4"/>
    <w:rsid w:val="37023A8C"/>
    <w:rsid w:val="37740855"/>
    <w:rsid w:val="37794C71"/>
    <w:rsid w:val="37893C91"/>
    <w:rsid w:val="378E32F1"/>
    <w:rsid w:val="37FC4126"/>
    <w:rsid w:val="39247160"/>
    <w:rsid w:val="394925BC"/>
    <w:rsid w:val="395B1762"/>
    <w:rsid w:val="39697599"/>
    <w:rsid w:val="396C3C86"/>
    <w:rsid w:val="3991089E"/>
    <w:rsid w:val="39977886"/>
    <w:rsid w:val="39D36974"/>
    <w:rsid w:val="39F13820"/>
    <w:rsid w:val="3A0D261A"/>
    <w:rsid w:val="3A173499"/>
    <w:rsid w:val="3A231E3E"/>
    <w:rsid w:val="3A35391F"/>
    <w:rsid w:val="3A4B4EF0"/>
    <w:rsid w:val="3A6366DE"/>
    <w:rsid w:val="3A687850"/>
    <w:rsid w:val="3A81085B"/>
    <w:rsid w:val="3A9028D6"/>
    <w:rsid w:val="3A9628EA"/>
    <w:rsid w:val="3AB81FBF"/>
    <w:rsid w:val="3AC14DF1"/>
    <w:rsid w:val="3AC60CE0"/>
    <w:rsid w:val="3B302890"/>
    <w:rsid w:val="3BB27AA7"/>
    <w:rsid w:val="3BC10BB8"/>
    <w:rsid w:val="3C9708C1"/>
    <w:rsid w:val="3CE70ABB"/>
    <w:rsid w:val="3D1E3033"/>
    <w:rsid w:val="3D474095"/>
    <w:rsid w:val="3D714C6E"/>
    <w:rsid w:val="3D74650C"/>
    <w:rsid w:val="3DFC2270"/>
    <w:rsid w:val="3E616CC7"/>
    <w:rsid w:val="3F0411E2"/>
    <w:rsid w:val="3F177A97"/>
    <w:rsid w:val="3F4C7741"/>
    <w:rsid w:val="3F5672FF"/>
    <w:rsid w:val="3F777D79"/>
    <w:rsid w:val="3FA330D9"/>
    <w:rsid w:val="3FE67B95"/>
    <w:rsid w:val="400B75FC"/>
    <w:rsid w:val="403D59EE"/>
    <w:rsid w:val="407904EE"/>
    <w:rsid w:val="407C4056"/>
    <w:rsid w:val="40CF4978"/>
    <w:rsid w:val="416845DA"/>
    <w:rsid w:val="418121C3"/>
    <w:rsid w:val="418D0295"/>
    <w:rsid w:val="41967399"/>
    <w:rsid w:val="41970A1B"/>
    <w:rsid w:val="41B17D2F"/>
    <w:rsid w:val="41EC6FB9"/>
    <w:rsid w:val="41FD2112"/>
    <w:rsid w:val="42181B5C"/>
    <w:rsid w:val="42562684"/>
    <w:rsid w:val="42886A32"/>
    <w:rsid w:val="42FB3958"/>
    <w:rsid w:val="42FC322C"/>
    <w:rsid w:val="43601A0D"/>
    <w:rsid w:val="43EC7D40"/>
    <w:rsid w:val="44156B63"/>
    <w:rsid w:val="4427252A"/>
    <w:rsid w:val="44676DCB"/>
    <w:rsid w:val="44F763A1"/>
    <w:rsid w:val="452F66F3"/>
    <w:rsid w:val="457B0D80"/>
    <w:rsid w:val="45C30031"/>
    <w:rsid w:val="461940F5"/>
    <w:rsid w:val="463F0128"/>
    <w:rsid w:val="4689127A"/>
    <w:rsid w:val="46952E12"/>
    <w:rsid w:val="46AD1557"/>
    <w:rsid w:val="478C02B5"/>
    <w:rsid w:val="47AE494B"/>
    <w:rsid w:val="485049B4"/>
    <w:rsid w:val="485338EE"/>
    <w:rsid w:val="486147E8"/>
    <w:rsid w:val="489A776F"/>
    <w:rsid w:val="48A02D6A"/>
    <w:rsid w:val="48AE321A"/>
    <w:rsid w:val="48E07351"/>
    <w:rsid w:val="49025314"/>
    <w:rsid w:val="496C3923"/>
    <w:rsid w:val="49D767A1"/>
    <w:rsid w:val="49F42EAF"/>
    <w:rsid w:val="4A7F2170"/>
    <w:rsid w:val="4AF2278F"/>
    <w:rsid w:val="4B03468A"/>
    <w:rsid w:val="4B0C61BC"/>
    <w:rsid w:val="4B753078"/>
    <w:rsid w:val="4BFF5B3B"/>
    <w:rsid w:val="4C7E73A7"/>
    <w:rsid w:val="4CF51226"/>
    <w:rsid w:val="4CFD218C"/>
    <w:rsid w:val="4D123792"/>
    <w:rsid w:val="4D4759EB"/>
    <w:rsid w:val="4D92310A"/>
    <w:rsid w:val="4DB172E0"/>
    <w:rsid w:val="4E1B3100"/>
    <w:rsid w:val="4E630603"/>
    <w:rsid w:val="4F6E14D1"/>
    <w:rsid w:val="4FE703B2"/>
    <w:rsid w:val="50247E54"/>
    <w:rsid w:val="506F7957"/>
    <w:rsid w:val="508B5BEF"/>
    <w:rsid w:val="50DE0415"/>
    <w:rsid w:val="511D2CEB"/>
    <w:rsid w:val="51B573D8"/>
    <w:rsid w:val="522400A9"/>
    <w:rsid w:val="528B0128"/>
    <w:rsid w:val="531E71EE"/>
    <w:rsid w:val="534704F3"/>
    <w:rsid w:val="534851A3"/>
    <w:rsid w:val="536F625B"/>
    <w:rsid w:val="53AE2320"/>
    <w:rsid w:val="53F341D7"/>
    <w:rsid w:val="54147A7B"/>
    <w:rsid w:val="54175631"/>
    <w:rsid w:val="541C1980"/>
    <w:rsid w:val="54315761"/>
    <w:rsid w:val="54590627"/>
    <w:rsid w:val="545E318A"/>
    <w:rsid w:val="546A34D4"/>
    <w:rsid w:val="548F2152"/>
    <w:rsid w:val="549A237A"/>
    <w:rsid w:val="54E666E2"/>
    <w:rsid w:val="54F10CEB"/>
    <w:rsid w:val="551E3C7F"/>
    <w:rsid w:val="553920BD"/>
    <w:rsid w:val="554525D7"/>
    <w:rsid w:val="55E93AE3"/>
    <w:rsid w:val="56402F49"/>
    <w:rsid w:val="56505750"/>
    <w:rsid w:val="56BC2FA6"/>
    <w:rsid w:val="56F83D0C"/>
    <w:rsid w:val="57347F79"/>
    <w:rsid w:val="573945F7"/>
    <w:rsid w:val="57490511"/>
    <w:rsid w:val="57C57793"/>
    <w:rsid w:val="57E86B8D"/>
    <w:rsid w:val="58293F10"/>
    <w:rsid w:val="58463123"/>
    <w:rsid w:val="58953AAF"/>
    <w:rsid w:val="590260F8"/>
    <w:rsid w:val="591E5852"/>
    <w:rsid w:val="59266968"/>
    <w:rsid w:val="593B28A8"/>
    <w:rsid w:val="596040BD"/>
    <w:rsid w:val="5A1338B2"/>
    <w:rsid w:val="5A315A59"/>
    <w:rsid w:val="5A5D684E"/>
    <w:rsid w:val="5AC10B8B"/>
    <w:rsid w:val="5AEC664B"/>
    <w:rsid w:val="5AFD42EC"/>
    <w:rsid w:val="5BA109BC"/>
    <w:rsid w:val="5BC8419B"/>
    <w:rsid w:val="5C116077"/>
    <w:rsid w:val="5C3969A7"/>
    <w:rsid w:val="5C4A2E02"/>
    <w:rsid w:val="5D647EF4"/>
    <w:rsid w:val="5D9600A9"/>
    <w:rsid w:val="5DCB6DD4"/>
    <w:rsid w:val="5E005E6E"/>
    <w:rsid w:val="5E785D2C"/>
    <w:rsid w:val="5EA56F52"/>
    <w:rsid w:val="5EE13D8B"/>
    <w:rsid w:val="5EEC5713"/>
    <w:rsid w:val="5EF62DCD"/>
    <w:rsid w:val="5F2E07B9"/>
    <w:rsid w:val="5FCA3AC9"/>
    <w:rsid w:val="5FD7038B"/>
    <w:rsid w:val="602A5424"/>
    <w:rsid w:val="602D2CDA"/>
    <w:rsid w:val="604A60AF"/>
    <w:rsid w:val="606F1138"/>
    <w:rsid w:val="60A672B7"/>
    <w:rsid w:val="610A0237"/>
    <w:rsid w:val="610E7D0F"/>
    <w:rsid w:val="610F0176"/>
    <w:rsid w:val="617A7850"/>
    <w:rsid w:val="61CE3B8D"/>
    <w:rsid w:val="61E50E74"/>
    <w:rsid w:val="61E6537B"/>
    <w:rsid w:val="61E7726F"/>
    <w:rsid w:val="6222423F"/>
    <w:rsid w:val="62312A9A"/>
    <w:rsid w:val="6299419B"/>
    <w:rsid w:val="63827325"/>
    <w:rsid w:val="63935B88"/>
    <w:rsid w:val="63E47698"/>
    <w:rsid w:val="641713F7"/>
    <w:rsid w:val="6417181C"/>
    <w:rsid w:val="641C5084"/>
    <w:rsid w:val="641F2C4E"/>
    <w:rsid w:val="64357481"/>
    <w:rsid w:val="64540CC2"/>
    <w:rsid w:val="647D2B1A"/>
    <w:rsid w:val="64FC5B4A"/>
    <w:rsid w:val="652561BA"/>
    <w:rsid w:val="658904F7"/>
    <w:rsid w:val="65C430C7"/>
    <w:rsid w:val="66252916"/>
    <w:rsid w:val="664B3EDF"/>
    <w:rsid w:val="66664CDC"/>
    <w:rsid w:val="669C24AC"/>
    <w:rsid w:val="66EF082E"/>
    <w:rsid w:val="670E33AA"/>
    <w:rsid w:val="672229B1"/>
    <w:rsid w:val="675130E9"/>
    <w:rsid w:val="67730FE6"/>
    <w:rsid w:val="679766E8"/>
    <w:rsid w:val="67C95523"/>
    <w:rsid w:val="681F5143"/>
    <w:rsid w:val="687C724F"/>
    <w:rsid w:val="68BE1F8F"/>
    <w:rsid w:val="68DE6DAC"/>
    <w:rsid w:val="68EF4B15"/>
    <w:rsid w:val="6934051A"/>
    <w:rsid w:val="696D3E24"/>
    <w:rsid w:val="69832373"/>
    <w:rsid w:val="69DC0710"/>
    <w:rsid w:val="69F36887"/>
    <w:rsid w:val="6AAB7162"/>
    <w:rsid w:val="6BCA180B"/>
    <w:rsid w:val="6BEE04A9"/>
    <w:rsid w:val="6C2778B2"/>
    <w:rsid w:val="6C350CF1"/>
    <w:rsid w:val="6C97174C"/>
    <w:rsid w:val="6CAB169B"/>
    <w:rsid w:val="6CAE57C5"/>
    <w:rsid w:val="6CC53523"/>
    <w:rsid w:val="6D001EC2"/>
    <w:rsid w:val="6D0843F7"/>
    <w:rsid w:val="6D205BE5"/>
    <w:rsid w:val="6D3A4588"/>
    <w:rsid w:val="6DCA5B51"/>
    <w:rsid w:val="6E021177"/>
    <w:rsid w:val="6E2D10AB"/>
    <w:rsid w:val="6E9543B1"/>
    <w:rsid w:val="6E9D3265"/>
    <w:rsid w:val="6EA120AE"/>
    <w:rsid w:val="6EA2262A"/>
    <w:rsid w:val="6EB505AF"/>
    <w:rsid w:val="6EE3336E"/>
    <w:rsid w:val="6EFC61DE"/>
    <w:rsid w:val="6EFD5AB2"/>
    <w:rsid w:val="6FAA79E8"/>
    <w:rsid w:val="6FCF25B2"/>
    <w:rsid w:val="6FD95D52"/>
    <w:rsid w:val="703674CE"/>
    <w:rsid w:val="70417249"/>
    <w:rsid w:val="70904E30"/>
    <w:rsid w:val="709366CE"/>
    <w:rsid w:val="70B36D70"/>
    <w:rsid w:val="71040C56"/>
    <w:rsid w:val="71492141"/>
    <w:rsid w:val="714F6A99"/>
    <w:rsid w:val="717C18F3"/>
    <w:rsid w:val="719B7F30"/>
    <w:rsid w:val="720C087B"/>
    <w:rsid w:val="7217743E"/>
    <w:rsid w:val="72467481"/>
    <w:rsid w:val="72635AA9"/>
    <w:rsid w:val="72640322"/>
    <w:rsid w:val="72FC4077"/>
    <w:rsid w:val="736E59F6"/>
    <w:rsid w:val="7375655F"/>
    <w:rsid w:val="73CA68AB"/>
    <w:rsid w:val="73ED413E"/>
    <w:rsid w:val="74820F33"/>
    <w:rsid w:val="74835155"/>
    <w:rsid w:val="749319D7"/>
    <w:rsid w:val="75267B11"/>
    <w:rsid w:val="755553FC"/>
    <w:rsid w:val="75675DB8"/>
    <w:rsid w:val="75C41B24"/>
    <w:rsid w:val="75D7705D"/>
    <w:rsid w:val="75FE0A8D"/>
    <w:rsid w:val="760836BA"/>
    <w:rsid w:val="76D167D5"/>
    <w:rsid w:val="76D65566"/>
    <w:rsid w:val="773100A7"/>
    <w:rsid w:val="777A4144"/>
    <w:rsid w:val="7782124A"/>
    <w:rsid w:val="77A45665"/>
    <w:rsid w:val="78324A1E"/>
    <w:rsid w:val="78553271"/>
    <w:rsid w:val="78AB3A9C"/>
    <w:rsid w:val="78B74F24"/>
    <w:rsid w:val="78D75945"/>
    <w:rsid w:val="79153814"/>
    <w:rsid w:val="793F04DA"/>
    <w:rsid w:val="794767E7"/>
    <w:rsid w:val="794F03AD"/>
    <w:rsid w:val="79554E68"/>
    <w:rsid w:val="798454A1"/>
    <w:rsid w:val="79D51B05"/>
    <w:rsid w:val="79F71A7C"/>
    <w:rsid w:val="7A0F54D7"/>
    <w:rsid w:val="7A5C3FD5"/>
    <w:rsid w:val="7AAF67FA"/>
    <w:rsid w:val="7B1E2019"/>
    <w:rsid w:val="7B626146"/>
    <w:rsid w:val="7BA8063D"/>
    <w:rsid w:val="7BCC18D7"/>
    <w:rsid w:val="7BCE74FC"/>
    <w:rsid w:val="7BD007D6"/>
    <w:rsid w:val="7BF2699E"/>
    <w:rsid w:val="7C2D5C29"/>
    <w:rsid w:val="7C2F7189"/>
    <w:rsid w:val="7C5331B5"/>
    <w:rsid w:val="7C8D4919"/>
    <w:rsid w:val="7C975798"/>
    <w:rsid w:val="7D036989"/>
    <w:rsid w:val="7D173529"/>
    <w:rsid w:val="7D742D00"/>
    <w:rsid w:val="7E02580A"/>
    <w:rsid w:val="7E24305B"/>
    <w:rsid w:val="7E4F6BCE"/>
    <w:rsid w:val="7E8D7A0C"/>
    <w:rsid w:val="7ECD2D48"/>
    <w:rsid w:val="7F565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仿宋"/>
      <w:sz w:val="30"/>
      <w:szCs w:val="3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rPr>
      <w:sz w:val="24"/>
    </w:rPr>
  </w:style>
  <w:style w:type="paragraph" w:styleId="6">
    <w:name w:val="annotation subject"/>
    <w:basedOn w:val="2"/>
    <w:next w:val="2"/>
    <w:link w:val="14"/>
    <w:qFormat/>
    <w:uiPriority w:val="0"/>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paragraph" w:styleId="12">
    <w:name w:val="List Paragraph"/>
    <w:basedOn w:val="1"/>
    <w:qFormat/>
    <w:uiPriority w:val="34"/>
    <w:pPr>
      <w:ind w:firstLine="420" w:firstLineChars="200"/>
    </w:pPr>
  </w:style>
  <w:style w:type="character" w:customStyle="1" w:styleId="13">
    <w:name w:val="批注文字 字符"/>
    <w:basedOn w:val="9"/>
    <w:link w:val="2"/>
    <w:qFormat/>
    <w:uiPriority w:val="0"/>
    <w:rPr>
      <w:rFonts w:ascii="Calibri" w:hAnsi="Calibri" w:eastAsia="仿宋" w:cs="仿宋"/>
      <w:sz w:val="30"/>
      <w:szCs w:val="30"/>
    </w:rPr>
  </w:style>
  <w:style w:type="character" w:customStyle="1" w:styleId="14">
    <w:name w:val="批注主题 字符"/>
    <w:basedOn w:val="13"/>
    <w:link w:val="6"/>
    <w:qFormat/>
    <w:uiPriority w:val="0"/>
    <w:rPr>
      <w:rFonts w:ascii="Calibri" w:hAnsi="Calibri" w:eastAsia="仿宋" w:cs="仿宋"/>
      <w:b/>
      <w:bCs/>
      <w:sz w:val="30"/>
      <w:szCs w:val="30"/>
    </w:rPr>
  </w:style>
  <w:style w:type="paragraph" w:customStyle="1" w:styleId="15">
    <w:name w:val="Revision"/>
    <w:hidden/>
    <w:unhideWhenUsed/>
    <w:qFormat/>
    <w:uiPriority w:val="99"/>
    <w:rPr>
      <w:rFonts w:ascii="Calibri" w:hAnsi="Calibri" w:eastAsia="仿宋" w:cs="仿宋"/>
      <w:sz w:val="30"/>
      <w:szCs w:val="3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8361</Words>
  <Characters>8918</Characters>
  <Lines>65</Lines>
  <Paragraphs>18</Paragraphs>
  <TotalTime>4</TotalTime>
  <ScaleCrop>false</ScaleCrop>
  <LinksUpToDate>false</LinksUpToDate>
  <CharactersWithSpaces>9211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2024-04-10T00:00:00Z</dcterms:created>
  <dc:creator>34334</dc:creator>
  <cp:lastModifiedBy>念安夕1418602464</cp:lastModifiedBy>
  <cp:lastPrinted>2024-11-05T00:05:00Z</cp:lastPrinted>
  <dcterms:modified xsi:type="dcterms:W3CDTF">2025-06-06T10:42:41Z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71FD0DE4B35040AB86502C541FDC6EBC_13</vt:lpwstr>
  </property>
  <property fmtid="{D5CDD505-2E9C-101B-9397-08002B2CF9AE}" pid="4" name="KSOTemplateDocerSaveRecord">
    <vt:lpwstr>eyJoZGlkIjoiMzEwNTM5NzYwMDRjMzkwZTVkZjY2ODkwMGIxNGU0OTUiLCJ1c2VySWQiOiIxNDc3MTc2NTcwIn0=</vt:lpwstr>
  </property>
</Properties>
</file>