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BF7D0D">
      <w:pPr>
        <w:shd w:val="clear"/>
        <w:spacing w:before="156" w:beforeLines="50" w:after="156" w:afterLines="50" w:line="240" w:lineRule="auto"/>
        <w:jc w:val="center"/>
        <w:outlineLvl w:val="0"/>
        <w:rPr>
          <w:rFonts w:hint="eastAsia" w:ascii="仿宋" w:hAnsi="仿宋" w:eastAsia="仿宋" w:cs="仿宋"/>
          <w:b/>
          <w:snapToGrid w:val="0"/>
          <w:kern w:val="0"/>
          <w:sz w:val="36"/>
          <w:szCs w:val="36"/>
          <w:highlight w:val="none"/>
          <w:lang w:val="en-US" w:eastAsia="zh-CN"/>
        </w:rPr>
      </w:pPr>
      <w:r>
        <w:rPr>
          <w:rFonts w:hint="eastAsia" w:ascii="仿宋" w:hAnsi="仿宋" w:eastAsia="仿宋" w:cs="仿宋"/>
          <w:b/>
          <w:snapToGrid w:val="0"/>
          <w:kern w:val="0"/>
          <w:sz w:val="36"/>
          <w:szCs w:val="36"/>
          <w:highlight w:val="none"/>
          <w:lang w:val="en-US" w:eastAsia="zh-CN"/>
        </w:rPr>
        <w:t>长沙江城农产品股份有限公司破产重整案</w:t>
      </w:r>
    </w:p>
    <w:p w14:paraId="016CEE2E">
      <w:pPr>
        <w:shd w:val="clear"/>
        <w:spacing w:before="156" w:beforeLines="50" w:after="156" w:afterLines="50" w:line="240" w:lineRule="auto"/>
        <w:jc w:val="center"/>
        <w:outlineLvl w:val="0"/>
        <w:rPr>
          <w:rFonts w:hint="eastAsia" w:ascii="仿宋" w:hAnsi="仿宋" w:eastAsia="仿宋" w:cs="仿宋"/>
          <w:b/>
          <w:snapToGrid w:val="0"/>
          <w:kern w:val="0"/>
          <w:sz w:val="36"/>
          <w:szCs w:val="36"/>
          <w:highlight w:val="none"/>
        </w:rPr>
      </w:pPr>
      <w:r>
        <w:rPr>
          <w:rFonts w:hint="eastAsia" w:ascii="仿宋" w:hAnsi="仿宋" w:eastAsia="仿宋" w:cs="仿宋"/>
          <w:b/>
          <w:snapToGrid w:val="0"/>
          <w:kern w:val="0"/>
          <w:sz w:val="36"/>
          <w:szCs w:val="36"/>
          <w:highlight w:val="none"/>
          <w:lang w:val="en-US" w:eastAsia="zh-CN"/>
        </w:rPr>
        <w:t>债权申报须知及指引</w:t>
      </w:r>
    </w:p>
    <w:p w14:paraId="4AF9FBAE">
      <w:pPr>
        <w:shd w:val="clear"/>
        <w:spacing w:before="156" w:beforeLines="50" w:after="156" w:afterLines="50" w:line="240" w:lineRule="auto"/>
        <w:outlineLvl w:val="0"/>
        <w:rPr>
          <w:rFonts w:hint="eastAsia" w:ascii="仿宋" w:hAnsi="仿宋" w:eastAsia="仿宋" w:cs="仿宋"/>
          <w:snapToGrid w:val="0"/>
          <w:kern w:val="0"/>
          <w:sz w:val="30"/>
          <w:szCs w:val="30"/>
          <w:highlight w:val="none"/>
        </w:rPr>
      </w:pPr>
    </w:p>
    <w:p w14:paraId="7339190D">
      <w:pPr>
        <w:shd w:val="clear"/>
        <w:spacing w:before="156" w:beforeLines="50" w:after="156" w:afterLines="50" w:line="240" w:lineRule="auto"/>
        <w:outlineLvl w:val="0"/>
        <w:rPr>
          <w:rFonts w:hint="eastAsia" w:ascii="仿宋" w:hAnsi="仿宋" w:eastAsia="仿宋" w:cs="仿宋"/>
          <w:b/>
          <w:snapToGrid w:val="0"/>
          <w:kern w:val="0"/>
          <w:sz w:val="28"/>
          <w:szCs w:val="28"/>
          <w:highlight w:val="none"/>
        </w:rPr>
      </w:pPr>
      <w:r>
        <w:rPr>
          <w:rFonts w:hint="eastAsia" w:ascii="仿宋" w:hAnsi="仿宋" w:eastAsia="仿宋" w:cs="仿宋"/>
          <w:b/>
          <w:snapToGrid w:val="0"/>
          <w:kern w:val="0"/>
          <w:sz w:val="28"/>
          <w:szCs w:val="28"/>
          <w:highlight w:val="none"/>
        </w:rPr>
        <w:t>各位债权人：</w:t>
      </w:r>
    </w:p>
    <w:p w14:paraId="48E55056">
      <w:pPr>
        <w:shd w:val="clear"/>
        <w:spacing w:before="156" w:beforeLines="50" w:after="156" w:afterLines="50" w:line="240" w:lineRule="auto"/>
        <w:ind w:firstLine="560" w:firstLineChars="200"/>
        <w:rPr>
          <w:rFonts w:hint="eastAsia" w:ascii="仿宋" w:hAnsi="仿宋" w:eastAsia="仿宋" w:cs="仿宋"/>
          <w:sz w:val="28"/>
          <w:szCs w:val="28"/>
          <w:highlight w:val="none"/>
          <w:lang w:eastAsia="zh-Hans"/>
        </w:rPr>
      </w:pPr>
      <w:r>
        <w:rPr>
          <w:rFonts w:hint="eastAsia" w:ascii="仿宋" w:hAnsi="仿宋" w:eastAsia="仿宋" w:cs="仿宋"/>
          <w:sz w:val="28"/>
          <w:szCs w:val="28"/>
          <w:highlight w:val="none"/>
          <w:lang w:eastAsia="zh-Hans"/>
        </w:rPr>
        <w:t>2025年2月27日，湖南省长沙市中级人民法院（以下简称</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eastAsia="zh-Hans"/>
        </w:rPr>
        <w:t>长沙中院</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eastAsia="zh-Hans"/>
        </w:rPr>
        <w:t>）作出（2024）湘01破申136号《民事裁定书》，依法裁定受理长沙江城农产品股份有限公司（以下简称</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eastAsia="zh-Hans"/>
        </w:rPr>
        <w:t>江城农产品公司</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eastAsia="zh-Hans"/>
        </w:rPr>
        <w:t>）破产重整一案。2025年4月27日，长沙中院作出（2025）湘01破18号《民事裁定书》，依法裁定将本案移送湖南省宁乡市人民法院审理（以下简称</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eastAsia="zh-Hans"/>
        </w:rPr>
        <w:t>宁乡市法院</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eastAsia="zh-Hans"/>
        </w:rPr>
        <w:t>）。2025年5月27日，宁乡市法院作出（2025）湘0182破6号《决定书》，指定湖南人和人律师事务所担任江城农产品公司管理人。</w:t>
      </w:r>
    </w:p>
    <w:p w14:paraId="70830107">
      <w:pPr>
        <w:shd w:val="clear"/>
        <w:spacing w:before="156" w:beforeLines="50" w:after="156" w:afterLines="50" w:line="240" w:lineRule="auto"/>
        <w:ind w:firstLine="560" w:firstLineChars="200"/>
        <w:rPr>
          <w:rFonts w:hint="eastAsia" w:ascii="仿宋" w:hAnsi="仿宋" w:eastAsia="仿宋" w:cs="仿宋"/>
          <w:sz w:val="28"/>
          <w:szCs w:val="28"/>
          <w:highlight w:val="none"/>
          <w:lang w:eastAsia="zh-Hans"/>
        </w:rPr>
      </w:pPr>
      <w:r>
        <w:rPr>
          <w:rFonts w:hint="eastAsia" w:ascii="仿宋" w:hAnsi="仿宋" w:eastAsia="仿宋" w:cs="仿宋"/>
          <w:sz w:val="28"/>
          <w:szCs w:val="28"/>
          <w:highlight w:val="none"/>
          <w:lang w:eastAsia="zh-Hans"/>
        </w:rPr>
        <w:t>为明确本</w:t>
      </w:r>
      <w:r>
        <w:rPr>
          <w:rFonts w:hint="eastAsia" w:ascii="仿宋" w:hAnsi="仿宋" w:eastAsia="仿宋" w:cs="仿宋"/>
          <w:sz w:val="28"/>
          <w:szCs w:val="28"/>
          <w:highlight w:val="none"/>
          <w:lang w:val="en-US" w:eastAsia="zh-CN"/>
        </w:rPr>
        <w:t>破产重整案</w:t>
      </w:r>
      <w:r>
        <w:rPr>
          <w:rFonts w:hint="eastAsia" w:ascii="仿宋" w:hAnsi="仿宋" w:eastAsia="仿宋" w:cs="仿宋"/>
          <w:sz w:val="28"/>
          <w:szCs w:val="28"/>
          <w:highlight w:val="none"/>
          <w:lang w:eastAsia="zh-Hans"/>
        </w:rPr>
        <w:t>债权申报的有关事项，帮助债权人顺利申报债权，管理人现依据相关法律和司法解释的规定，就债权申报事项特制定本《债权申报指引》（以下简称《指引》），请债权申报人在申报债权时认真阅读。未按《指引》申报债权的，其产生的不利后果由申报人自行承担。</w:t>
      </w:r>
    </w:p>
    <w:p w14:paraId="0C2B250F">
      <w:pPr>
        <w:shd w:val="clear"/>
        <w:spacing w:before="156" w:beforeLines="50" w:after="156" w:afterLines="50" w:line="240" w:lineRule="auto"/>
        <w:ind w:firstLine="562" w:firstLineChars="200"/>
        <w:rPr>
          <w:rFonts w:hint="eastAsia" w:ascii="仿宋" w:hAnsi="仿宋" w:eastAsia="仿宋" w:cs="仿宋"/>
          <w:b/>
          <w:sz w:val="28"/>
          <w:szCs w:val="28"/>
          <w:highlight w:val="none"/>
        </w:rPr>
      </w:pPr>
      <w:r>
        <w:rPr>
          <w:rFonts w:hint="eastAsia" w:ascii="仿宋" w:hAnsi="仿宋" w:eastAsia="仿宋" w:cs="仿宋"/>
          <w:b/>
          <w:sz w:val="28"/>
          <w:szCs w:val="28"/>
          <w:highlight w:val="none"/>
          <w:lang w:eastAsia="zh-Hans"/>
        </w:rPr>
        <w:t>一、</w:t>
      </w:r>
      <w:r>
        <w:rPr>
          <w:rFonts w:hint="eastAsia" w:ascii="仿宋" w:hAnsi="仿宋" w:eastAsia="仿宋" w:cs="仿宋"/>
          <w:b/>
          <w:sz w:val="28"/>
          <w:szCs w:val="28"/>
          <w:highlight w:val="none"/>
        </w:rPr>
        <w:t>债权申报主体</w:t>
      </w:r>
    </w:p>
    <w:p w14:paraId="6E395995">
      <w:pPr>
        <w:shd w:val="clear"/>
        <w:spacing w:before="156" w:beforeLines="50" w:after="156" w:afterLines="50" w:line="24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eastAsia="zh-Hans"/>
        </w:rPr>
        <w:t>参照</w:t>
      </w:r>
      <w:r>
        <w:rPr>
          <w:rFonts w:hint="eastAsia" w:ascii="仿宋" w:hAnsi="仿宋" w:eastAsia="仿宋" w:cs="仿宋"/>
          <w:sz w:val="28"/>
          <w:szCs w:val="28"/>
          <w:highlight w:val="none"/>
        </w:rPr>
        <w:t>《中华人民共和国企业破产法》（以下简称</w:t>
      </w:r>
      <w:r>
        <w:rPr>
          <w:rFonts w:hint="eastAsia" w:ascii="仿宋" w:hAnsi="仿宋" w:eastAsia="仿宋" w:cs="仿宋"/>
          <w:b/>
          <w:bCs/>
          <w:sz w:val="28"/>
          <w:szCs w:val="28"/>
          <w:highlight w:val="none"/>
        </w:rPr>
        <w:t>《企业破产法》</w:t>
      </w:r>
      <w:r>
        <w:rPr>
          <w:rFonts w:hint="eastAsia" w:ascii="仿宋" w:hAnsi="仿宋" w:eastAsia="仿宋" w:cs="仿宋"/>
          <w:sz w:val="28"/>
          <w:szCs w:val="28"/>
          <w:highlight w:val="none"/>
        </w:rPr>
        <w:t>）的规定，法院受理</w:t>
      </w:r>
      <w:r>
        <w:rPr>
          <w:rFonts w:hint="eastAsia" w:ascii="仿宋" w:hAnsi="仿宋" w:eastAsia="仿宋" w:cs="仿宋"/>
          <w:sz w:val="28"/>
          <w:szCs w:val="28"/>
          <w:highlight w:val="none"/>
          <w:lang w:val="en-US" w:eastAsia="zh-CN"/>
        </w:rPr>
        <w:t>破产</w:t>
      </w:r>
      <w:r>
        <w:rPr>
          <w:rFonts w:hint="eastAsia" w:ascii="仿宋" w:hAnsi="仿宋" w:eastAsia="仿宋" w:cs="仿宋"/>
          <w:sz w:val="28"/>
          <w:szCs w:val="28"/>
          <w:highlight w:val="none"/>
        </w:rPr>
        <w:t>申请时对</w:t>
      </w:r>
      <w:r>
        <w:rPr>
          <w:rFonts w:hint="eastAsia" w:ascii="仿宋" w:hAnsi="仿宋" w:eastAsia="仿宋" w:cs="仿宋"/>
          <w:sz w:val="28"/>
          <w:szCs w:val="28"/>
          <w:highlight w:val="none"/>
          <w:lang w:eastAsia="zh-CN"/>
        </w:rPr>
        <w:t>江城农产品公司</w:t>
      </w:r>
      <w:r>
        <w:rPr>
          <w:rFonts w:hint="eastAsia" w:ascii="仿宋" w:hAnsi="仿宋" w:eastAsia="仿宋" w:cs="仿宋"/>
          <w:sz w:val="28"/>
          <w:szCs w:val="28"/>
          <w:highlight w:val="none"/>
        </w:rPr>
        <w:t>享有债权的自然人、法人或其他组织，均可以向管理人申报债权。未到期</w:t>
      </w:r>
      <w:r>
        <w:rPr>
          <w:rFonts w:hint="eastAsia" w:ascii="仿宋" w:hAnsi="仿宋" w:eastAsia="仿宋" w:cs="仿宋"/>
          <w:sz w:val="28"/>
          <w:szCs w:val="28"/>
          <w:highlight w:val="none"/>
          <w:lang w:eastAsia="zh-Hans"/>
        </w:rPr>
        <w:t>的</w:t>
      </w:r>
      <w:r>
        <w:rPr>
          <w:rFonts w:hint="eastAsia" w:ascii="仿宋" w:hAnsi="仿宋" w:eastAsia="仿宋" w:cs="仿宋"/>
          <w:sz w:val="28"/>
          <w:szCs w:val="28"/>
          <w:highlight w:val="none"/>
        </w:rPr>
        <w:t>债权，在法院</w:t>
      </w:r>
      <w:r>
        <w:rPr>
          <w:rFonts w:hint="eastAsia" w:ascii="仿宋" w:hAnsi="仿宋" w:eastAsia="仿宋" w:cs="仿宋"/>
          <w:sz w:val="28"/>
          <w:szCs w:val="28"/>
          <w:highlight w:val="none"/>
          <w:lang w:eastAsia="zh-CN"/>
        </w:rPr>
        <w:t>破产重整</w:t>
      </w:r>
      <w:r>
        <w:rPr>
          <w:rFonts w:hint="eastAsia" w:ascii="仿宋" w:hAnsi="仿宋" w:eastAsia="仿宋" w:cs="仿宋"/>
          <w:sz w:val="28"/>
          <w:szCs w:val="28"/>
          <w:highlight w:val="none"/>
          <w:lang w:eastAsia="zh-Hans"/>
        </w:rPr>
        <w:t>受理</w:t>
      </w:r>
      <w:r>
        <w:rPr>
          <w:rFonts w:hint="eastAsia" w:ascii="仿宋" w:hAnsi="仿宋" w:eastAsia="仿宋" w:cs="仿宋"/>
          <w:sz w:val="28"/>
          <w:szCs w:val="28"/>
          <w:highlight w:val="none"/>
        </w:rPr>
        <w:t>时视为到期，相关债权人可以向管理人申报债权。附条件、附期限的债权和诉讼、仲裁未决的债权，债权人可以向管理人申报。</w:t>
      </w:r>
    </w:p>
    <w:p w14:paraId="36DFE537">
      <w:pPr>
        <w:shd w:val="clear"/>
        <w:spacing w:before="156" w:beforeLines="50" w:after="156" w:afterLines="50" w:line="240" w:lineRule="auto"/>
        <w:ind w:firstLine="562" w:firstLineChars="200"/>
        <w:rPr>
          <w:rFonts w:hint="eastAsia" w:ascii="仿宋" w:hAnsi="仿宋" w:eastAsia="仿宋" w:cs="仿宋"/>
          <w:b/>
          <w:bCs/>
          <w:sz w:val="28"/>
          <w:szCs w:val="28"/>
          <w:highlight w:val="none"/>
          <w:u w:val="single"/>
          <w:lang w:eastAsia="zh-Hans"/>
        </w:rPr>
      </w:pPr>
      <w:r>
        <w:rPr>
          <w:rFonts w:hint="eastAsia" w:ascii="仿宋" w:hAnsi="仿宋" w:eastAsia="仿宋" w:cs="仿宋"/>
          <w:b/>
          <w:sz w:val="28"/>
          <w:szCs w:val="28"/>
          <w:highlight w:val="none"/>
          <w:u w:val="single"/>
        </w:rPr>
        <w:t>管理人特别提示</w:t>
      </w:r>
      <w:r>
        <w:rPr>
          <w:rFonts w:hint="eastAsia" w:ascii="仿宋" w:hAnsi="仿宋" w:eastAsia="仿宋" w:cs="仿宋"/>
          <w:sz w:val="28"/>
          <w:szCs w:val="28"/>
          <w:highlight w:val="none"/>
          <w:u w:val="single"/>
        </w:rPr>
        <w:t>，依据《企业破产法》第四十六条第二款之规定，附利息的债权自破产申请受理时停止计息。</w:t>
      </w:r>
      <w:r>
        <w:rPr>
          <w:rFonts w:hint="eastAsia" w:ascii="仿宋" w:hAnsi="仿宋" w:eastAsia="仿宋" w:cs="仿宋"/>
          <w:b/>
          <w:bCs/>
          <w:sz w:val="28"/>
          <w:szCs w:val="28"/>
          <w:highlight w:val="none"/>
          <w:u w:val="single"/>
        </w:rPr>
        <w:t>因此，</w:t>
      </w:r>
      <w:r>
        <w:rPr>
          <w:rFonts w:hint="eastAsia" w:ascii="仿宋" w:hAnsi="仿宋" w:eastAsia="仿宋" w:cs="仿宋"/>
          <w:b/>
          <w:bCs/>
          <w:sz w:val="28"/>
          <w:szCs w:val="28"/>
          <w:highlight w:val="none"/>
          <w:u w:val="single"/>
          <w:lang w:eastAsia="zh-CN"/>
        </w:rPr>
        <w:t>江城农产品公司</w:t>
      </w:r>
      <w:r>
        <w:rPr>
          <w:rFonts w:hint="eastAsia" w:ascii="仿宋" w:hAnsi="仿宋" w:eastAsia="仿宋" w:cs="仿宋"/>
          <w:b/>
          <w:bCs/>
          <w:sz w:val="28"/>
          <w:szCs w:val="28"/>
          <w:highlight w:val="none"/>
          <w:u w:val="single"/>
        </w:rPr>
        <w:t>的债权申报人均应以</w:t>
      </w:r>
      <w:r>
        <w:rPr>
          <w:rFonts w:hint="eastAsia" w:ascii="仿宋" w:hAnsi="仿宋" w:eastAsia="仿宋" w:cs="仿宋"/>
          <w:b/>
          <w:bCs/>
          <w:sz w:val="28"/>
          <w:szCs w:val="28"/>
          <w:highlight w:val="none"/>
          <w:u w:val="single"/>
          <w:lang w:eastAsia="zh-CN"/>
        </w:rPr>
        <w:t>江城农产品公司</w:t>
      </w:r>
      <w:r>
        <w:rPr>
          <w:rFonts w:hint="eastAsia" w:ascii="仿宋" w:hAnsi="仿宋" w:eastAsia="仿宋" w:cs="仿宋"/>
          <w:b/>
          <w:bCs/>
          <w:sz w:val="28"/>
          <w:szCs w:val="28"/>
          <w:highlight w:val="none"/>
          <w:u w:val="single"/>
        </w:rPr>
        <w:t>破产申请受理日</w:t>
      </w:r>
      <w:r>
        <w:rPr>
          <w:rFonts w:hint="eastAsia" w:ascii="仿宋" w:hAnsi="仿宋" w:eastAsia="仿宋" w:cs="仿宋"/>
          <w:b/>
          <w:bCs/>
          <w:sz w:val="28"/>
          <w:szCs w:val="28"/>
          <w:highlight w:val="none"/>
          <w:u w:val="single"/>
        </w:rPr>
        <w:t>（即202</w:t>
      </w:r>
      <w:r>
        <w:rPr>
          <w:rFonts w:hint="eastAsia" w:ascii="仿宋" w:hAnsi="仿宋" w:eastAsia="仿宋" w:cs="仿宋"/>
          <w:b/>
          <w:bCs/>
          <w:sz w:val="28"/>
          <w:szCs w:val="28"/>
          <w:highlight w:val="none"/>
          <w:u w:val="single"/>
          <w:lang w:val="en-US" w:eastAsia="zh-CN"/>
        </w:rPr>
        <w:t>5</w:t>
      </w:r>
      <w:r>
        <w:rPr>
          <w:rFonts w:hint="eastAsia" w:ascii="仿宋" w:hAnsi="仿宋" w:eastAsia="仿宋" w:cs="仿宋"/>
          <w:b/>
          <w:bCs/>
          <w:sz w:val="28"/>
          <w:szCs w:val="28"/>
          <w:highlight w:val="none"/>
          <w:u w:val="single"/>
        </w:rPr>
        <w:t>年</w:t>
      </w:r>
      <w:r>
        <w:rPr>
          <w:rFonts w:hint="eastAsia" w:ascii="仿宋" w:hAnsi="仿宋" w:eastAsia="仿宋" w:cs="仿宋"/>
          <w:b/>
          <w:bCs/>
          <w:sz w:val="28"/>
          <w:szCs w:val="28"/>
          <w:highlight w:val="none"/>
          <w:u w:val="single"/>
          <w:lang w:val="en-US" w:eastAsia="zh-CN"/>
        </w:rPr>
        <w:t>2</w:t>
      </w:r>
      <w:r>
        <w:rPr>
          <w:rFonts w:hint="eastAsia" w:ascii="仿宋" w:hAnsi="仿宋" w:eastAsia="仿宋" w:cs="仿宋"/>
          <w:b/>
          <w:bCs/>
          <w:sz w:val="28"/>
          <w:szCs w:val="28"/>
          <w:highlight w:val="none"/>
          <w:u w:val="single"/>
        </w:rPr>
        <w:t>月</w:t>
      </w:r>
      <w:r>
        <w:rPr>
          <w:rFonts w:hint="eastAsia" w:ascii="仿宋" w:hAnsi="仿宋" w:eastAsia="仿宋" w:cs="仿宋"/>
          <w:b/>
          <w:bCs/>
          <w:sz w:val="28"/>
          <w:szCs w:val="28"/>
          <w:highlight w:val="none"/>
          <w:u w:val="single"/>
          <w:lang w:val="en-US" w:eastAsia="zh-CN"/>
        </w:rPr>
        <w:t>27</w:t>
      </w:r>
      <w:r>
        <w:rPr>
          <w:rFonts w:hint="eastAsia" w:ascii="仿宋" w:hAnsi="仿宋" w:eastAsia="仿宋" w:cs="仿宋"/>
          <w:b/>
          <w:bCs/>
          <w:sz w:val="28"/>
          <w:szCs w:val="28"/>
          <w:highlight w:val="none"/>
          <w:u w:val="single"/>
        </w:rPr>
        <w:t>日）前一日为利息计算截止日，即利息至202</w:t>
      </w:r>
      <w:r>
        <w:rPr>
          <w:rFonts w:hint="eastAsia" w:ascii="仿宋" w:hAnsi="仿宋" w:eastAsia="仿宋" w:cs="仿宋"/>
          <w:b/>
          <w:bCs/>
          <w:sz w:val="28"/>
          <w:szCs w:val="28"/>
          <w:highlight w:val="none"/>
          <w:u w:val="single"/>
          <w:lang w:val="en-US" w:eastAsia="zh-CN"/>
        </w:rPr>
        <w:t>5</w:t>
      </w:r>
      <w:r>
        <w:rPr>
          <w:rFonts w:hint="eastAsia" w:ascii="仿宋" w:hAnsi="仿宋" w:eastAsia="仿宋" w:cs="仿宋"/>
          <w:b/>
          <w:bCs/>
          <w:sz w:val="28"/>
          <w:szCs w:val="28"/>
          <w:highlight w:val="none"/>
          <w:u w:val="single"/>
        </w:rPr>
        <w:t>年</w:t>
      </w:r>
      <w:r>
        <w:rPr>
          <w:rFonts w:hint="eastAsia" w:ascii="仿宋" w:hAnsi="仿宋" w:eastAsia="仿宋" w:cs="仿宋"/>
          <w:b/>
          <w:bCs/>
          <w:sz w:val="28"/>
          <w:szCs w:val="28"/>
          <w:highlight w:val="none"/>
          <w:u w:val="single"/>
          <w:lang w:val="en-US" w:eastAsia="zh-CN"/>
        </w:rPr>
        <w:t>2</w:t>
      </w:r>
      <w:r>
        <w:rPr>
          <w:rFonts w:hint="eastAsia" w:ascii="仿宋" w:hAnsi="仿宋" w:eastAsia="仿宋" w:cs="仿宋"/>
          <w:b/>
          <w:bCs/>
          <w:sz w:val="28"/>
          <w:szCs w:val="28"/>
          <w:highlight w:val="none"/>
          <w:u w:val="single"/>
        </w:rPr>
        <w:t>月</w:t>
      </w:r>
      <w:r>
        <w:rPr>
          <w:rFonts w:hint="eastAsia" w:ascii="仿宋" w:hAnsi="仿宋" w:eastAsia="仿宋" w:cs="仿宋"/>
          <w:b/>
          <w:bCs/>
          <w:sz w:val="28"/>
          <w:szCs w:val="28"/>
          <w:highlight w:val="none"/>
          <w:u w:val="single"/>
          <w:lang w:val="en-US" w:eastAsia="zh-CN"/>
        </w:rPr>
        <w:t>26</w:t>
      </w:r>
      <w:r>
        <w:rPr>
          <w:rFonts w:hint="eastAsia" w:ascii="仿宋" w:hAnsi="仿宋" w:eastAsia="仿宋" w:cs="仿宋"/>
          <w:b/>
          <w:bCs/>
          <w:sz w:val="28"/>
          <w:szCs w:val="28"/>
          <w:highlight w:val="none"/>
          <w:u w:val="single"/>
        </w:rPr>
        <w:t>日（利息计算期间不</w:t>
      </w:r>
      <w:bookmarkStart w:id="2" w:name="_GoBack"/>
      <w:bookmarkEnd w:id="2"/>
      <w:r>
        <w:rPr>
          <w:rFonts w:hint="eastAsia" w:ascii="仿宋" w:hAnsi="仿宋" w:eastAsia="仿宋" w:cs="仿宋"/>
          <w:b/>
          <w:bCs/>
          <w:sz w:val="28"/>
          <w:szCs w:val="28"/>
          <w:highlight w:val="none"/>
          <w:u w:val="single"/>
        </w:rPr>
        <w:t>含破产申请受理日当日）。</w:t>
      </w:r>
    </w:p>
    <w:p w14:paraId="292E9E9E">
      <w:pPr>
        <w:shd w:val="clear"/>
        <w:spacing w:before="156" w:beforeLines="50" w:after="156" w:afterLines="50" w:line="240" w:lineRule="auto"/>
        <w:ind w:left="420" w:leftChars="200" w:firstLine="281" w:firstLineChars="100"/>
        <w:rPr>
          <w:rFonts w:hint="eastAsia" w:ascii="仿宋" w:hAnsi="仿宋" w:eastAsia="仿宋" w:cs="仿宋"/>
          <w:b/>
          <w:sz w:val="28"/>
          <w:szCs w:val="28"/>
          <w:highlight w:val="none"/>
        </w:rPr>
      </w:pPr>
      <w:r>
        <w:rPr>
          <w:rFonts w:hint="eastAsia" w:ascii="仿宋" w:hAnsi="仿宋" w:eastAsia="仿宋" w:cs="仿宋"/>
          <w:b/>
          <w:sz w:val="28"/>
          <w:szCs w:val="28"/>
          <w:highlight w:val="none"/>
          <w:lang w:eastAsia="zh-Hans"/>
        </w:rPr>
        <w:t>二、</w:t>
      </w:r>
      <w:r>
        <w:rPr>
          <w:rFonts w:hint="eastAsia" w:ascii="仿宋" w:hAnsi="仿宋" w:eastAsia="仿宋" w:cs="仿宋"/>
          <w:b/>
          <w:sz w:val="28"/>
          <w:szCs w:val="28"/>
          <w:highlight w:val="none"/>
        </w:rPr>
        <w:t>债权申报期限</w:t>
      </w:r>
    </w:p>
    <w:p w14:paraId="569FCF99">
      <w:pPr>
        <w:shd w:val="clear"/>
        <w:spacing w:before="156" w:beforeLines="50" w:after="156" w:afterLines="50" w:line="240" w:lineRule="auto"/>
        <w:ind w:firstLine="562" w:firstLineChars="200"/>
        <w:rPr>
          <w:rFonts w:hint="eastAsia" w:ascii="仿宋" w:hAnsi="仿宋" w:eastAsia="仿宋" w:cs="仿宋"/>
          <w:b/>
          <w:sz w:val="28"/>
          <w:szCs w:val="28"/>
          <w:highlight w:val="none"/>
          <w:u w:val="single"/>
        </w:rPr>
      </w:pPr>
      <w:r>
        <w:rPr>
          <w:rFonts w:hint="eastAsia" w:ascii="仿宋" w:hAnsi="仿宋" w:eastAsia="仿宋" w:cs="仿宋"/>
          <w:b/>
          <w:sz w:val="28"/>
          <w:szCs w:val="28"/>
          <w:highlight w:val="none"/>
          <w:u w:val="single"/>
        </w:rPr>
        <w:t>根据宁乡市法院于202</w:t>
      </w:r>
      <w:r>
        <w:rPr>
          <w:rFonts w:hint="eastAsia" w:ascii="仿宋" w:hAnsi="仿宋" w:eastAsia="仿宋" w:cs="仿宋"/>
          <w:b/>
          <w:sz w:val="28"/>
          <w:szCs w:val="28"/>
          <w:highlight w:val="none"/>
          <w:u w:val="single"/>
          <w:lang w:val="en-US" w:eastAsia="zh-CN"/>
        </w:rPr>
        <w:t>5</w:t>
      </w:r>
      <w:r>
        <w:rPr>
          <w:rFonts w:hint="eastAsia" w:ascii="仿宋" w:hAnsi="仿宋" w:eastAsia="仿宋" w:cs="仿宋"/>
          <w:b/>
          <w:sz w:val="28"/>
          <w:szCs w:val="28"/>
          <w:highlight w:val="none"/>
          <w:u w:val="single"/>
        </w:rPr>
        <w:t>年</w:t>
      </w:r>
      <w:r>
        <w:rPr>
          <w:rFonts w:hint="eastAsia" w:ascii="仿宋" w:hAnsi="仿宋" w:eastAsia="仿宋" w:cs="仿宋"/>
          <w:b/>
          <w:sz w:val="28"/>
          <w:szCs w:val="28"/>
          <w:highlight w:val="none"/>
          <w:u w:val="single"/>
          <w:lang w:val="en-US" w:eastAsia="zh-CN"/>
        </w:rPr>
        <w:t>6</w:t>
      </w:r>
      <w:r>
        <w:rPr>
          <w:rFonts w:hint="eastAsia" w:ascii="仿宋" w:hAnsi="仿宋" w:eastAsia="仿宋" w:cs="仿宋"/>
          <w:b/>
          <w:sz w:val="28"/>
          <w:szCs w:val="28"/>
          <w:highlight w:val="none"/>
          <w:u w:val="single"/>
        </w:rPr>
        <w:t>月</w:t>
      </w:r>
      <w:r>
        <w:rPr>
          <w:rFonts w:hint="eastAsia" w:ascii="仿宋" w:hAnsi="仿宋" w:eastAsia="仿宋" w:cs="仿宋"/>
          <w:b/>
          <w:sz w:val="28"/>
          <w:szCs w:val="28"/>
          <w:highlight w:val="none"/>
          <w:u w:val="single"/>
          <w:lang w:val="en-US" w:eastAsia="zh-CN"/>
        </w:rPr>
        <w:t>5</w:t>
      </w:r>
      <w:r>
        <w:rPr>
          <w:rFonts w:hint="eastAsia" w:ascii="仿宋" w:hAnsi="仿宋" w:eastAsia="仿宋" w:cs="仿宋"/>
          <w:b/>
          <w:sz w:val="28"/>
          <w:szCs w:val="28"/>
          <w:highlight w:val="none"/>
          <w:u w:val="single"/>
        </w:rPr>
        <w:t>日发布的（2025）湘0182破6号《湖南省</w:t>
      </w:r>
      <w:r>
        <w:rPr>
          <w:rFonts w:hint="eastAsia" w:ascii="仿宋" w:hAnsi="仿宋" w:eastAsia="仿宋" w:cs="仿宋"/>
          <w:b/>
          <w:sz w:val="28"/>
          <w:szCs w:val="28"/>
          <w:highlight w:val="none"/>
          <w:u w:val="single"/>
          <w:lang w:val="en-US" w:eastAsia="zh-CN"/>
        </w:rPr>
        <w:t>宁乡</w:t>
      </w:r>
      <w:r>
        <w:rPr>
          <w:rFonts w:hint="eastAsia" w:ascii="仿宋" w:hAnsi="仿宋" w:eastAsia="仿宋" w:cs="仿宋"/>
          <w:b/>
          <w:sz w:val="28"/>
          <w:szCs w:val="28"/>
          <w:highlight w:val="none"/>
          <w:u w:val="single"/>
        </w:rPr>
        <w:t>市人民法院公告》</w:t>
      </w:r>
      <w:r>
        <w:rPr>
          <w:rFonts w:hint="eastAsia" w:ascii="仿宋" w:hAnsi="仿宋" w:eastAsia="仿宋" w:cs="仿宋"/>
          <w:b/>
          <w:sz w:val="28"/>
          <w:szCs w:val="28"/>
          <w:highlight w:val="none"/>
          <w:u w:val="single"/>
          <w:lang w:eastAsia="zh-CN"/>
        </w:rPr>
        <w:t>（</w:t>
      </w:r>
      <w:r>
        <w:rPr>
          <w:rFonts w:hint="eastAsia" w:ascii="仿宋" w:hAnsi="仿宋" w:eastAsia="仿宋" w:cs="仿宋"/>
          <w:b/>
          <w:sz w:val="28"/>
          <w:szCs w:val="28"/>
          <w:highlight w:val="none"/>
          <w:u w:val="single"/>
          <w:lang w:val="en-US" w:eastAsia="zh-CN"/>
        </w:rPr>
        <w:t>网址链接：http://nxxfy.hunancourt.gov.cn/article/detail/2025/06/id/8860022.shtml</w:t>
      </w:r>
      <w:r>
        <w:rPr>
          <w:rFonts w:hint="eastAsia" w:ascii="仿宋" w:hAnsi="仿宋" w:eastAsia="仿宋" w:cs="仿宋"/>
          <w:b/>
          <w:sz w:val="28"/>
          <w:szCs w:val="28"/>
          <w:highlight w:val="none"/>
          <w:u w:val="single"/>
          <w:lang w:eastAsia="zh-CN"/>
        </w:rPr>
        <w:t>）</w:t>
      </w:r>
      <w:r>
        <w:rPr>
          <w:rFonts w:hint="eastAsia" w:ascii="仿宋" w:hAnsi="仿宋" w:eastAsia="仿宋" w:cs="仿宋"/>
          <w:b/>
          <w:sz w:val="28"/>
          <w:szCs w:val="28"/>
          <w:highlight w:val="none"/>
          <w:u w:val="single"/>
        </w:rPr>
        <w:t>，</w:t>
      </w:r>
      <w:r>
        <w:rPr>
          <w:rFonts w:hint="eastAsia" w:ascii="仿宋" w:hAnsi="仿宋" w:eastAsia="仿宋" w:cs="仿宋"/>
          <w:b/>
          <w:sz w:val="28"/>
          <w:szCs w:val="28"/>
          <w:highlight w:val="none"/>
          <w:u w:val="single"/>
          <w:lang w:val="en-US" w:eastAsia="zh-CN"/>
        </w:rPr>
        <w:t>江城农产品公司</w:t>
      </w:r>
      <w:r>
        <w:rPr>
          <w:rFonts w:hint="eastAsia" w:ascii="仿宋" w:hAnsi="仿宋" w:eastAsia="仿宋" w:cs="仿宋"/>
          <w:b/>
          <w:sz w:val="28"/>
          <w:szCs w:val="28"/>
          <w:highlight w:val="none"/>
          <w:u w:val="single"/>
        </w:rPr>
        <w:t>的债权人应自公告之日</w:t>
      </w:r>
      <w:r>
        <w:rPr>
          <w:rFonts w:hint="eastAsia" w:ascii="仿宋" w:hAnsi="仿宋" w:eastAsia="仿宋" w:cs="仿宋"/>
          <w:b/>
          <w:sz w:val="28"/>
          <w:szCs w:val="28"/>
          <w:highlight w:val="none"/>
          <w:u w:val="single"/>
          <w:lang w:val="en-US" w:eastAsia="zh-CN"/>
        </w:rPr>
        <w:t>至</w:t>
      </w:r>
      <w:r>
        <w:rPr>
          <w:rFonts w:hint="eastAsia" w:ascii="仿宋" w:hAnsi="仿宋" w:eastAsia="仿宋" w:cs="仿宋"/>
          <w:b/>
          <w:sz w:val="28"/>
          <w:szCs w:val="28"/>
          <w:highlight w:val="none"/>
          <w:u w:val="single"/>
        </w:rPr>
        <w:t>202</w:t>
      </w:r>
      <w:r>
        <w:rPr>
          <w:rFonts w:hint="eastAsia" w:ascii="仿宋" w:hAnsi="仿宋" w:eastAsia="仿宋" w:cs="仿宋"/>
          <w:b/>
          <w:sz w:val="28"/>
          <w:szCs w:val="28"/>
          <w:highlight w:val="none"/>
          <w:u w:val="single"/>
          <w:lang w:val="en-US" w:eastAsia="zh-CN"/>
        </w:rPr>
        <w:t>5</w:t>
      </w:r>
      <w:r>
        <w:rPr>
          <w:rFonts w:hint="eastAsia" w:ascii="仿宋" w:hAnsi="仿宋" w:eastAsia="仿宋" w:cs="仿宋"/>
          <w:b/>
          <w:sz w:val="28"/>
          <w:szCs w:val="28"/>
          <w:highlight w:val="none"/>
          <w:u w:val="single"/>
        </w:rPr>
        <w:t>年</w:t>
      </w:r>
      <w:r>
        <w:rPr>
          <w:rFonts w:hint="eastAsia" w:ascii="仿宋" w:hAnsi="仿宋" w:eastAsia="仿宋" w:cs="仿宋"/>
          <w:b/>
          <w:sz w:val="28"/>
          <w:szCs w:val="28"/>
          <w:highlight w:val="none"/>
          <w:u w:val="single"/>
          <w:lang w:val="en-US" w:eastAsia="zh-CN"/>
        </w:rPr>
        <w:t>8</w:t>
      </w:r>
      <w:r>
        <w:rPr>
          <w:rFonts w:hint="eastAsia" w:ascii="仿宋" w:hAnsi="仿宋" w:eastAsia="仿宋" w:cs="仿宋"/>
          <w:b/>
          <w:sz w:val="28"/>
          <w:szCs w:val="28"/>
          <w:highlight w:val="none"/>
          <w:u w:val="single"/>
        </w:rPr>
        <w:t>月</w:t>
      </w:r>
      <w:r>
        <w:rPr>
          <w:rFonts w:hint="eastAsia" w:ascii="仿宋" w:hAnsi="仿宋" w:eastAsia="仿宋" w:cs="仿宋"/>
          <w:b/>
          <w:sz w:val="28"/>
          <w:szCs w:val="28"/>
          <w:highlight w:val="none"/>
          <w:u w:val="single"/>
          <w:lang w:val="en-US" w:eastAsia="zh-CN"/>
        </w:rPr>
        <w:t>6</w:t>
      </w:r>
      <w:r>
        <w:rPr>
          <w:rFonts w:hint="eastAsia" w:ascii="仿宋" w:hAnsi="仿宋" w:eastAsia="仿宋" w:cs="仿宋"/>
          <w:b/>
          <w:sz w:val="28"/>
          <w:szCs w:val="28"/>
          <w:highlight w:val="none"/>
          <w:u w:val="single"/>
        </w:rPr>
        <w:t>日</w:t>
      </w:r>
      <w:r>
        <w:rPr>
          <w:rFonts w:hint="eastAsia" w:ascii="仿宋" w:hAnsi="仿宋" w:eastAsia="仿宋" w:cs="仿宋"/>
          <w:b/>
          <w:sz w:val="28"/>
          <w:szCs w:val="28"/>
          <w:highlight w:val="none"/>
          <w:u w:val="single"/>
          <w:lang w:val="en-US" w:eastAsia="zh-CN"/>
        </w:rPr>
        <w:t>24:00之前</w:t>
      </w:r>
      <w:r>
        <w:rPr>
          <w:rFonts w:hint="eastAsia" w:ascii="仿宋" w:hAnsi="仿宋" w:eastAsia="仿宋" w:cs="仿宋"/>
          <w:b/>
          <w:sz w:val="28"/>
          <w:szCs w:val="28"/>
          <w:highlight w:val="none"/>
          <w:u w:val="single"/>
        </w:rPr>
        <w:t>，向</w:t>
      </w:r>
      <w:r>
        <w:rPr>
          <w:rFonts w:hint="eastAsia" w:ascii="仿宋" w:hAnsi="仿宋" w:eastAsia="仿宋" w:cs="仿宋"/>
          <w:b/>
          <w:sz w:val="28"/>
          <w:szCs w:val="28"/>
          <w:highlight w:val="none"/>
          <w:u w:val="single"/>
          <w:lang w:eastAsia="zh-CN"/>
        </w:rPr>
        <w:t>江城农产品公司</w:t>
      </w:r>
      <w:r>
        <w:rPr>
          <w:rFonts w:hint="eastAsia" w:ascii="仿宋" w:hAnsi="仿宋" w:eastAsia="仿宋" w:cs="仿宋"/>
          <w:b/>
          <w:sz w:val="28"/>
          <w:szCs w:val="28"/>
          <w:highlight w:val="none"/>
          <w:u w:val="single"/>
        </w:rPr>
        <w:t>管理人申报债权。</w:t>
      </w:r>
    </w:p>
    <w:p w14:paraId="62730675">
      <w:pPr>
        <w:shd w:val="clear"/>
        <w:spacing w:before="156" w:beforeLines="50" w:after="156" w:afterLines="50" w:line="24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逾期申报者，可在破产财产最后分配前补充申报，但对此前已进行的分配无权要求补充分配，同时要承担为审查和确认补充申报债权所产生的费用。未申报债权的，不得依照《中华人民共和国企业破产法》规定的程序行使权利。</w:t>
      </w:r>
    </w:p>
    <w:p w14:paraId="4DCF256A">
      <w:pPr>
        <w:shd w:val="clear"/>
        <w:spacing w:before="156" w:beforeLines="50" w:after="156" w:afterLines="50" w:line="240" w:lineRule="auto"/>
        <w:ind w:left="420" w:leftChars="200" w:firstLine="281" w:firstLineChars="100"/>
        <w:rPr>
          <w:rFonts w:hint="eastAsia" w:ascii="仿宋" w:hAnsi="仿宋" w:eastAsia="仿宋" w:cs="仿宋"/>
          <w:b/>
          <w:sz w:val="28"/>
          <w:szCs w:val="28"/>
          <w:highlight w:val="none"/>
        </w:rPr>
      </w:pPr>
      <w:r>
        <w:rPr>
          <w:rFonts w:hint="eastAsia" w:ascii="仿宋" w:hAnsi="仿宋" w:eastAsia="仿宋" w:cs="仿宋"/>
          <w:b/>
          <w:sz w:val="28"/>
          <w:szCs w:val="28"/>
          <w:highlight w:val="none"/>
          <w:lang w:eastAsia="zh-Hans"/>
        </w:rPr>
        <w:t>三、</w:t>
      </w:r>
      <w:r>
        <w:rPr>
          <w:rFonts w:hint="eastAsia" w:ascii="仿宋" w:hAnsi="仿宋" w:eastAsia="仿宋" w:cs="仿宋"/>
          <w:b/>
          <w:sz w:val="28"/>
          <w:szCs w:val="28"/>
          <w:highlight w:val="none"/>
        </w:rPr>
        <w:t>债权申报方式</w:t>
      </w:r>
    </w:p>
    <w:p w14:paraId="1EDB3212">
      <w:pPr>
        <w:shd w:val="clear"/>
        <w:spacing w:before="156" w:beforeLines="50" w:after="156" w:afterLines="50" w:line="240" w:lineRule="auto"/>
        <w:ind w:firstLine="560" w:firstLineChars="200"/>
        <w:rPr>
          <w:rFonts w:hint="eastAsia" w:ascii="仿宋" w:hAnsi="仿宋" w:eastAsia="仿宋" w:cs="仿宋"/>
          <w:b/>
          <w:sz w:val="30"/>
          <w:szCs w:val="30"/>
          <w:highlight w:val="none"/>
        </w:rPr>
      </w:pPr>
      <w:r>
        <w:rPr>
          <w:rFonts w:hint="eastAsia" w:ascii="仿宋" w:hAnsi="仿宋" w:eastAsia="仿宋" w:cs="仿宋"/>
          <w:sz w:val="28"/>
          <w:szCs w:val="28"/>
          <w:highlight w:val="none"/>
        </w:rPr>
        <w:t>为方便债权人申报债权，减少人员聚集和出行风险，</w:t>
      </w:r>
      <w:r>
        <w:rPr>
          <w:rFonts w:hint="eastAsia" w:ascii="仿宋" w:hAnsi="仿宋" w:eastAsia="仿宋" w:cs="仿宋"/>
          <w:b/>
          <w:sz w:val="28"/>
          <w:szCs w:val="28"/>
          <w:highlight w:val="none"/>
        </w:rPr>
        <w:t>本案将通过网络申报的方式申报债权，原则上不接受现场申报</w:t>
      </w:r>
      <w:r>
        <w:rPr>
          <w:rFonts w:hint="eastAsia" w:ascii="仿宋" w:hAnsi="仿宋" w:eastAsia="仿宋" w:cs="仿宋"/>
          <w:b/>
          <w:sz w:val="30"/>
          <w:szCs w:val="30"/>
          <w:highlight w:val="none"/>
        </w:rPr>
        <w:t>。网络申报确有困难的，债权人可联系管理人另行确定债权申报方式。</w:t>
      </w:r>
    </w:p>
    <w:p w14:paraId="300EBABC">
      <w:pPr>
        <w:shd w:val="clear"/>
        <w:spacing w:before="156" w:beforeLines="50" w:after="156" w:afterLines="50" w:line="24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网络债权申报系统网址以及</w:t>
      </w:r>
      <w:r>
        <w:rPr>
          <w:rFonts w:hint="eastAsia" w:ascii="仿宋" w:hAnsi="仿宋" w:eastAsia="仿宋" w:cs="仿宋"/>
          <w:sz w:val="28"/>
          <w:szCs w:val="28"/>
          <w:highlight w:val="none"/>
          <w:lang w:val="en-US" w:eastAsia="zh-CN"/>
        </w:rPr>
        <w:t>管理人</w:t>
      </w:r>
      <w:r>
        <w:rPr>
          <w:rFonts w:hint="eastAsia" w:ascii="仿宋" w:hAnsi="仿宋" w:eastAsia="仿宋" w:cs="仿宋"/>
          <w:sz w:val="28"/>
          <w:szCs w:val="28"/>
          <w:highlight w:val="none"/>
        </w:rPr>
        <w:t>联系方式如下：</w:t>
      </w:r>
    </w:p>
    <w:p w14:paraId="18FE4D8E">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after="0" w:line="570" w:lineRule="exact"/>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申报方式</w:t>
      </w:r>
    </w:p>
    <w:p w14:paraId="732AF48A">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after="0" w:line="570" w:lineRule="exact"/>
        <w:jc w:val="both"/>
        <w:textAlignment w:val="auto"/>
        <w:rPr>
          <w:rFonts w:hint="eastAsia" w:ascii="仿宋" w:hAnsi="仿宋" w:eastAsia="仿宋" w:cs="仿宋"/>
          <w:sz w:val="28"/>
          <w:szCs w:val="28"/>
          <w:lang w:val="en-US" w:eastAsia="zh-CN"/>
        </w:rPr>
      </w:pPr>
      <w:r>
        <w:rPr>
          <w:rFonts w:hint="default" w:ascii="仿宋" w:hAnsi="仿宋" w:eastAsia="仿宋" w:cs="仿宋"/>
          <w:sz w:val="28"/>
          <w:szCs w:val="28"/>
          <w:lang w:val="en-US" w:eastAsia="zh-CN"/>
        </w:rPr>
        <w:t>（1）电脑端申报</w:t>
      </w:r>
      <w:r>
        <w:rPr>
          <w:rFonts w:hint="eastAsia" w:ascii="仿宋" w:hAnsi="仿宋" w:eastAsia="仿宋" w:cs="仿宋"/>
          <w:sz w:val="28"/>
          <w:szCs w:val="28"/>
          <w:lang w:val="en-US" w:eastAsia="zh-CN"/>
        </w:rPr>
        <w:t>：</w:t>
      </w:r>
    </w:p>
    <w:p w14:paraId="54EE749D">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after="0" w:line="570" w:lineRule="exact"/>
        <w:ind w:firstLine="280" w:firstLineChars="1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https://www.pochanyun.cn/common/login/?id=383538（案件识别码）</w:t>
      </w:r>
    </w:p>
    <w:p w14:paraId="09279F2E">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after="0" w:line="570" w:lineRule="exact"/>
        <w:jc w:val="both"/>
        <w:textAlignment w:val="auto"/>
        <w:rPr>
          <w:rFonts w:hint="eastAsia" w:ascii="仿宋" w:hAnsi="仿宋" w:eastAsia="仿宋" w:cs="仿宋"/>
          <w:sz w:val="28"/>
          <w:szCs w:val="28"/>
          <w:lang w:val="en-US" w:eastAsia="zh-CN"/>
        </w:rPr>
      </w:pPr>
      <w:r>
        <w:rPr>
          <w:rFonts w:hint="default" w:ascii="仿宋" w:hAnsi="仿宋" w:eastAsia="仿宋" w:cs="仿宋"/>
          <w:sz w:val="28"/>
          <w:szCs w:val="28"/>
          <w:lang w:val="en-US" w:eastAsia="zh-CN"/>
        </w:rPr>
        <w:t>（2）手机端申报</w:t>
      </w:r>
      <w:r>
        <w:rPr>
          <w:rFonts w:hint="eastAsia" w:ascii="仿宋" w:hAnsi="仿宋" w:eastAsia="仿宋" w:cs="仿宋"/>
          <w:sz w:val="28"/>
          <w:szCs w:val="28"/>
          <w:lang w:val="en-US" w:eastAsia="zh-CN"/>
        </w:rPr>
        <w:t>关</w:t>
      </w:r>
      <w:r>
        <w:rPr>
          <w:rFonts w:hint="default" w:ascii="仿宋" w:hAnsi="仿宋" w:eastAsia="仿宋" w:cs="仿宋"/>
          <w:sz w:val="28"/>
          <w:szCs w:val="28"/>
          <w:lang w:val="en-US" w:eastAsia="zh-CN"/>
        </w:rPr>
        <w:t>注微信公众号“破产云”，点击“申报债权”进行申报或者微信搜索微信小程序“破产云申报系统”；手机微信小程序申报可以点击链接11dr.cn/d/5zyXox18q打开</w:t>
      </w:r>
      <w:r>
        <w:rPr>
          <w:rFonts w:hint="eastAsia" w:ascii="仿宋" w:hAnsi="仿宋" w:eastAsia="仿宋" w:cs="仿宋"/>
          <w:sz w:val="28"/>
          <w:szCs w:val="28"/>
          <w:lang w:val="en-US" w:eastAsia="zh-CN"/>
        </w:rPr>
        <w:t>，</w:t>
      </w:r>
      <w:r>
        <w:rPr>
          <w:rFonts w:hint="default" w:ascii="仿宋" w:hAnsi="仿宋" w:eastAsia="仿宋" w:cs="仿宋"/>
          <w:sz w:val="28"/>
          <w:szCs w:val="28"/>
          <w:lang w:val="en-US" w:eastAsia="zh-CN"/>
        </w:rPr>
        <w:t>案件识别码：</w:t>
      </w:r>
      <w:r>
        <w:rPr>
          <w:rFonts w:hint="eastAsia" w:ascii="仿宋" w:hAnsi="仿宋" w:eastAsia="仿宋" w:cs="仿宋"/>
          <w:color w:val="auto"/>
          <w:sz w:val="28"/>
          <w:szCs w:val="28"/>
          <w:lang w:val="en-US" w:eastAsia="zh-CN"/>
        </w:rPr>
        <w:t>383538</w:t>
      </w:r>
      <w:r>
        <w:rPr>
          <w:rFonts w:hint="default" w:ascii="仿宋" w:hAnsi="仿宋" w:eastAsia="仿宋" w:cs="仿宋"/>
          <w:sz w:val="28"/>
          <w:szCs w:val="28"/>
          <w:lang w:val="en-US" w:eastAsia="zh-CN"/>
        </w:rPr>
        <w:t>（需输入案件识别码进入系统）</w:t>
      </w:r>
      <w:r>
        <w:rPr>
          <w:rFonts w:hint="eastAsia" w:ascii="仿宋" w:hAnsi="仿宋" w:eastAsia="仿宋" w:cs="仿宋"/>
          <w:sz w:val="28"/>
          <w:szCs w:val="28"/>
          <w:lang w:val="en-US" w:eastAsia="zh-CN"/>
        </w:rPr>
        <w:t>。或使用手机微信扫一扫，扫描下方二维码进行申报：</w:t>
      </w:r>
    </w:p>
    <w:p w14:paraId="2DF43EF6">
      <w:pPr>
        <w:keepNext w:val="0"/>
        <w:keepLines w:val="0"/>
        <w:pageBreakBefore w:val="0"/>
        <w:widowControl/>
        <w:numPr>
          <w:ilvl w:val="0"/>
          <w:numId w:val="0"/>
        </w:numPr>
        <w:shd w:val="clear" w:color="auto" w:fill="FFFFFF"/>
        <w:tabs>
          <w:tab w:val="left" w:pos="312"/>
        </w:tabs>
        <w:kinsoku/>
        <w:wordWrap/>
        <w:overflowPunct/>
        <w:topLinePunct w:val="0"/>
        <w:autoSpaceDE/>
        <w:autoSpaceDN/>
        <w:bidi w:val="0"/>
        <w:adjustRightInd/>
        <w:snapToGrid/>
        <w:spacing w:after="0" w:line="240" w:lineRule="auto"/>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drawing>
          <wp:inline distT="0" distB="0" distL="114300" distR="114300">
            <wp:extent cx="1907540" cy="2362835"/>
            <wp:effectExtent l="0" t="0" r="6985" b="8890"/>
            <wp:docPr id="1" name="图片 1" descr="微信图片_20250605181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50605181343"/>
                    <pic:cNvPicPr>
                      <a:picLocks noChangeAspect="1"/>
                    </pic:cNvPicPr>
                  </pic:nvPicPr>
                  <pic:blipFill>
                    <a:blip r:embed="rId5"/>
                    <a:stretch>
                      <a:fillRect/>
                    </a:stretch>
                  </pic:blipFill>
                  <pic:spPr>
                    <a:xfrm>
                      <a:off x="0" y="0"/>
                      <a:ext cx="1907540" cy="2362835"/>
                    </a:xfrm>
                    <a:prstGeom prst="rect">
                      <a:avLst/>
                    </a:prstGeom>
                  </pic:spPr>
                </pic:pic>
              </a:graphicData>
            </a:graphic>
          </wp:inline>
        </w:drawing>
      </w:r>
    </w:p>
    <w:p w14:paraId="4C6DFE55">
      <w:pPr>
        <w:keepNext w:val="0"/>
        <w:keepLines w:val="0"/>
        <w:pageBreakBefore w:val="0"/>
        <w:widowControl/>
        <w:numPr>
          <w:ilvl w:val="0"/>
          <w:numId w:val="0"/>
        </w:numPr>
        <w:shd w:val="clear" w:color="auto" w:fill="FFFFFF"/>
        <w:tabs>
          <w:tab w:val="left" w:pos="312"/>
        </w:tabs>
        <w:kinsoku/>
        <w:wordWrap/>
        <w:overflowPunct/>
        <w:topLinePunct w:val="0"/>
        <w:autoSpaceDE/>
        <w:autoSpaceDN/>
        <w:bidi w:val="0"/>
        <w:adjustRightInd/>
        <w:snapToGrid/>
        <w:spacing w:after="0" w:line="240" w:lineRule="auto"/>
        <w:jc w:val="both"/>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w:t>
      </w:r>
      <w:r>
        <w:rPr>
          <w:rFonts w:hint="default" w:ascii="仿宋" w:hAnsi="仿宋" w:eastAsia="仿宋" w:cs="仿宋"/>
          <w:sz w:val="28"/>
          <w:szCs w:val="28"/>
          <w:lang w:val="en-US" w:eastAsia="zh-CN"/>
        </w:rPr>
        <w:t>管理人联系方式</w:t>
      </w:r>
    </w:p>
    <w:p w14:paraId="5CC2DCF1">
      <w:pPr>
        <w:keepNext w:val="0"/>
        <w:keepLines w:val="0"/>
        <w:pageBreakBefore w:val="0"/>
        <w:widowControl/>
        <w:shd w:val="clear" w:color="auto" w:fill="FFFFFF"/>
        <w:kinsoku/>
        <w:wordWrap/>
        <w:overflowPunct/>
        <w:topLinePunct w:val="0"/>
        <w:autoSpaceDE/>
        <w:autoSpaceDN/>
        <w:bidi w:val="0"/>
        <w:adjustRightInd/>
        <w:snapToGrid/>
        <w:spacing w:after="0" w:line="570" w:lineRule="exact"/>
        <w:ind w:firstLine="560" w:firstLineChars="200"/>
        <w:jc w:val="both"/>
        <w:textAlignment w:val="auto"/>
        <w:rPr>
          <w:rFonts w:hint="default" w:ascii="仿宋" w:hAnsi="仿宋" w:eastAsia="仿宋" w:cs="仿宋"/>
          <w:sz w:val="28"/>
          <w:szCs w:val="28"/>
          <w:highlight w:val="yellow"/>
          <w:lang w:val="en-US" w:eastAsia="zh-CN"/>
        </w:rPr>
      </w:pPr>
      <w:r>
        <w:rPr>
          <w:rFonts w:hint="default" w:ascii="仿宋" w:hAnsi="仿宋" w:eastAsia="仿宋" w:cs="仿宋"/>
          <w:sz w:val="28"/>
          <w:szCs w:val="28"/>
          <w:lang w:val="en-US" w:eastAsia="zh-CN"/>
        </w:rPr>
        <w:t>咨询时间：</w:t>
      </w:r>
      <w:r>
        <w:rPr>
          <w:rFonts w:hint="default" w:ascii="仿宋" w:hAnsi="仿宋" w:eastAsia="仿宋" w:cs="仿宋"/>
          <w:sz w:val="28"/>
          <w:szCs w:val="28"/>
          <w:highlight w:val="none"/>
          <w:lang w:val="en-US" w:eastAsia="zh-CN"/>
        </w:rPr>
        <w:t>工作日上午9:</w:t>
      </w:r>
      <w:r>
        <w:rPr>
          <w:rFonts w:hint="eastAsia" w:ascii="仿宋" w:hAnsi="仿宋" w:eastAsia="仿宋" w:cs="仿宋"/>
          <w:sz w:val="28"/>
          <w:szCs w:val="28"/>
          <w:highlight w:val="none"/>
          <w:lang w:val="en-US" w:eastAsia="zh-CN"/>
        </w:rPr>
        <w:t>0</w:t>
      </w:r>
      <w:r>
        <w:rPr>
          <w:rFonts w:hint="default" w:ascii="仿宋" w:hAnsi="仿宋" w:eastAsia="仿宋" w:cs="仿宋"/>
          <w:sz w:val="28"/>
          <w:szCs w:val="28"/>
          <w:highlight w:val="none"/>
          <w:lang w:val="en-US" w:eastAsia="zh-CN"/>
        </w:rPr>
        <w:t>0-12:00，下午2:00-5:30</w:t>
      </w:r>
    </w:p>
    <w:p w14:paraId="2339CDBA">
      <w:pPr>
        <w:keepNext w:val="0"/>
        <w:keepLines w:val="0"/>
        <w:pageBreakBefore w:val="0"/>
        <w:widowControl/>
        <w:shd w:val="clear" w:color="auto" w:fill="FFFFFF"/>
        <w:kinsoku/>
        <w:wordWrap/>
        <w:overflowPunct/>
        <w:topLinePunct w:val="0"/>
        <w:autoSpaceDE/>
        <w:autoSpaceDN/>
        <w:bidi w:val="0"/>
        <w:adjustRightInd/>
        <w:snapToGrid/>
        <w:spacing w:after="0" w:line="570" w:lineRule="exact"/>
        <w:ind w:firstLine="560" w:firstLineChars="200"/>
        <w:jc w:val="both"/>
        <w:textAlignment w:val="auto"/>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电子邮箱：17580319896@163.com</w:t>
      </w:r>
    </w:p>
    <w:p w14:paraId="35D95C6E">
      <w:pPr>
        <w:keepNext w:val="0"/>
        <w:keepLines w:val="0"/>
        <w:pageBreakBefore w:val="0"/>
        <w:widowControl/>
        <w:shd w:val="clear" w:color="auto" w:fill="FFFFFF"/>
        <w:kinsoku/>
        <w:wordWrap/>
        <w:overflowPunct/>
        <w:topLinePunct w:val="0"/>
        <w:autoSpaceDE/>
        <w:autoSpaceDN/>
        <w:bidi w:val="0"/>
        <w:adjustRightInd/>
        <w:snapToGrid/>
        <w:spacing w:after="0" w:line="570" w:lineRule="exact"/>
        <w:ind w:firstLine="560" w:firstLineChars="200"/>
        <w:jc w:val="both"/>
        <w:textAlignment w:val="auto"/>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联系地址：湖南省长沙市宁乡市双江口镇长兴村长沙大河西农产品物流中心C7栋管理中心办公楼三楼</w:t>
      </w:r>
    </w:p>
    <w:p w14:paraId="5434F2B7">
      <w:pPr>
        <w:keepNext w:val="0"/>
        <w:keepLines w:val="0"/>
        <w:pageBreakBefore w:val="0"/>
        <w:widowControl/>
        <w:shd w:val="clear" w:color="auto" w:fill="FFFFFF"/>
        <w:kinsoku/>
        <w:wordWrap/>
        <w:overflowPunct/>
        <w:topLinePunct w:val="0"/>
        <w:autoSpaceDE/>
        <w:autoSpaceDN/>
        <w:bidi w:val="0"/>
        <w:adjustRightInd/>
        <w:snapToGrid/>
        <w:spacing w:after="0" w:line="570" w:lineRule="exact"/>
        <w:ind w:firstLine="560" w:firstLineChars="200"/>
        <w:jc w:val="both"/>
        <w:textAlignment w:val="auto"/>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联系人</w:t>
      </w:r>
      <w:r>
        <w:rPr>
          <w:rFonts w:hint="eastAsia" w:ascii="仿宋" w:hAnsi="仿宋" w:eastAsia="仿宋" w:cs="仿宋"/>
          <w:sz w:val="28"/>
          <w:szCs w:val="28"/>
          <w:lang w:val="en-US" w:eastAsia="zh-CN"/>
        </w:rPr>
        <w:t>：郭律师</w:t>
      </w:r>
    </w:p>
    <w:p w14:paraId="536A5B23">
      <w:pPr>
        <w:keepNext w:val="0"/>
        <w:keepLines w:val="0"/>
        <w:pageBreakBefore w:val="0"/>
        <w:widowControl/>
        <w:shd w:val="clear" w:color="auto" w:fill="FFFFFF"/>
        <w:kinsoku/>
        <w:wordWrap/>
        <w:overflowPunct/>
        <w:topLinePunct w:val="0"/>
        <w:autoSpaceDE/>
        <w:autoSpaceDN/>
        <w:bidi w:val="0"/>
        <w:adjustRightInd/>
        <w:snapToGrid/>
        <w:spacing w:after="0" w:line="570" w:lineRule="exact"/>
        <w:ind w:firstLine="560" w:firstLineChars="200"/>
        <w:jc w:val="both"/>
        <w:textAlignment w:val="auto"/>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电话：17580319896</w:t>
      </w:r>
      <w:r>
        <w:rPr>
          <w:rFonts w:hint="eastAsia" w:ascii="仿宋" w:hAnsi="仿宋" w:eastAsia="仿宋" w:cs="仿宋"/>
          <w:sz w:val="28"/>
          <w:szCs w:val="28"/>
          <w:lang w:val="en-US" w:eastAsia="zh-CN"/>
        </w:rPr>
        <w:t>（</w:t>
      </w:r>
      <w:r>
        <w:rPr>
          <w:rFonts w:hint="eastAsia" w:ascii="仿宋" w:hAnsi="仿宋" w:eastAsia="仿宋" w:cs="仿宋"/>
          <w:b/>
          <w:bCs/>
          <w:sz w:val="28"/>
          <w:szCs w:val="28"/>
          <w:lang w:val="en-US" w:eastAsia="zh-CN"/>
        </w:rPr>
        <w:t>可以同步添加管理人微信</w:t>
      </w:r>
      <w:r>
        <w:rPr>
          <w:rFonts w:hint="eastAsia" w:ascii="仿宋" w:hAnsi="仿宋" w:eastAsia="仿宋" w:cs="仿宋"/>
          <w:sz w:val="28"/>
          <w:szCs w:val="28"/>
          <w:lang w:val="en-US" w:eastAsia="zh-CN"/>
        </w:rPr>
        <w:t>）</w:t>
      </w:r>
    </w:p>
    <w:p w14:paraId="6BC0F7A1">
      <w:pPr>
        <w:keepNext w:val="0"/>
        <w:keepLines w:val="0"/>
        <w:pageBreakBefore w:val="0"/>
        <w:widowControl/>
        <w:shd w:val="clear" w:color="auto" w:fill="FFFFFF"/>
        <w:kinsoku/>
        <w:wordWrap/>
        <w:overflowPunct/>
        <w:topLinePunct w:val="0"/>
        <w:autoSpaceDE/>
        <w:autoSpaceDN/>
        <w:bidi w:val="0"/>
        <w:adjustRightInd/>
        <w:snapToGrid/>
        <w:spacing w:after="0" w:line="570" w:lineRule="exact"/>
        <w:ind w:firstLine="560" w:firstLineChars="200"/>
        <w:jc w:val="both"/>
        <w:textAlignment w:val="auto"/>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3.破产云申报系统技术人员联系方式</w:t>
      </w:r>
    </w:p>
    <w:p w14:paraId="78B5C342">
      <w:pPr>
        <w:keepNext w:val="0"/>
        <w:keepLines w:val="0"/>
        <w:pageBreakBefore w:val="0"/>
        <w:widowControl/>
        <w:shd w:val="clear" w:color="auto" w:fill="FFFFFF"/>
        <w:kinsoku/>
        <w:wordWrap/>
        <w:overflowPunct/>
        <w:topLinePunct w:val="0"/>
        <w:autoSpaceDE/>
        <w:autoSpaceDN/>
        <w:bidi w:val="0"/>
        <w:adjustRightInd/>
        <w:snapToGrid/>
        <w:spacing w:after="0" w:line="570" w:lineRule="exact"/>
        <w:ind w:firstLine="560" w:firstLineChars="200"/>
        <w:jc w:val="both"/>
        <w:textAlignment w:val="auto"/>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电话：17695937437、17780525073</w:t>
      </w:r>
    </w:p>
    <w:p w14:paraId="705D88EF">
      <w:pPr>
        <w:shd w:val="clear"/>
        <w:spacing w:line="240" w:lineRule="auto"/>
        <w:ind w:firstLine="562" w:firstLineChars="200"/>
        <w:jc w:val="both"/>
        <w:rPr>
          <w:rFonts w:hint="eastAsia" w:ascii="仿宋" w:hAnsi="仿宋" w:eastAsia="仿宋" w:cs="仿宋"/>
          <w:b/>
          <w:snapToGrid w:val="0"/>
          <w:kern w:val="0"/>
          <w:sz w:val="28"/>
          <w:szCs w:val="28"/>
          <w:highlight w:val="none"/>
        </w:rPr>
      </w:pPr>
      <w:r>
        <w:rPr>
          <w:rFonts w:hint="eastAsia" w:ascii="仿宋" w:hAnsi="仿宋" w:eastAsia="仿宋" w:cs="仿宋"/>
          <w:b/>
          <w:snapToGrid w:val="0"/>
          <w:kern w:val="0"/>
          <w:sz w:val="28"/>
          <w:szCs w:val="28"/>
          <w:highlight w:val="none"/>
          <w:lang w:val="en-US" w:eastAsia="zh-CN"/>
        </w:rPr>
        <w:t>四、</w:t>
      </w:r>
      <w:r>
        <w:rPr>
          <w:rFonts w:hint="eastAsia" w:ascii="仿宋" w:hAnsi="仿宋" w:eastAsia="仿宋" w:cs="仿宋"/>
          <w:b/>
          <w:snapToGrid w:val="0"/>
          <w:kern w:val="0"/>
          <w:sz w:val="28"/>
          <w:szCs w:val="28"/>
          <w:highlight w:val="none"/>
        </w:rPr>
        <w:t>债权申报应提交的资料</w:t>
      </w:r>
    </w:p>
    <w:p w14:paraId="48A991B9">
      <w:pPr>
        <w:shd w:val="clear"/>
        <w:spacing w:before="156" w:beforeLines="50" w:after="156" w:afterLines="50" w:line="240" w:lineRule="auto"/>
        <w:ind w:firstLine="560" w:firstLineChars="200"/>
        <w:outlineLvl w:val="0"/>
        <w:rPr>
          <w:rFonts w:hint="eastAsia" w:ascii="仿宋" w:hAnsi="仿宋" w:eastAsia="仿宋" w:cs="仿宋"/>
          <w:snapToGrid w:val="0"/>
          <w:kern w:val="0"/>
          <w:sz w:val="28"/>
          <w:szCs w:val="28"/>
          <w:highlight w:val="none"/>
        </w:rPr>
      </w:pPr>
      <w:r>
        <w:rPr>
          <w:rFonts w:hint="eastAsia" w:ascii="仿宋" w:hAnsi="仿宋" w:eastAsia="仿宋" w:cs="仿宋"/>
          <w:snapToGrid w:val="0"/>
          <w:kern w:val="0"/>
          <w:sz w:val="28"/>
          <w:szCs w:val="28"/>
          <w:highlight w:val="none"/>
        </w:rPr>
        <w:t>债权人申报债权时，应提交如下两类申报材料。各申报材料均需统一为A4纸尺寸，</w:t>
      </w:r>
      <w:r>
        <w:rPr>
          <w:rFonts w:hint="eastAsia" w:ascii="仿宋" w:hAnsi="仿宋" w:eastAsia="仿宋" w:cs="仿宋"/>
          <w:b/>
          <w:snapToGrid w:val="0"/>
          <w:kern w:val="0"/>
          <w:sz w:val="28"/>
          <w:szCs w:val="28"/>
          <w:highlight w:val="none"/>
        </w:rPr>
        <w:t>经扫描为PDF文件后</w:t>
      </w:r>
      <w:r>
        <w:rPr>
          <w:rFonts w:hint="eastAsia" w:ascii="仿宋" w:hAnsi="仿宋" w:eastAsia="仿宋" w:cs="仿宋"/>
          <w:snapToGrid w:val="0"/>
          <w:kern w:val="0"/>
          <w:sz w:val="28"/>
          <w:szCs w:val="28"/>
          <w:highlight w:val="none"/>
        </w:rPr>
        <w:t>，按照《债权申报指引》所示步骤上传至网络申报系统，同时准备原件备查。</w:t>
      </w:r>
    </w:p>
    <w:p w14:paraId="50A09488">
      <w:pPr>
        <w:numPr>
          <w:ilvl w:val="0"/>
          <w:numId w:val="0"/>
        </w:numPr>
        <w:shd w:val="clear"/>
        <w:spacing w:before="156" w:beforeLines="50" w:after="156" w:afterLines="50" w:line="240" w:lineRule="auto"/>
        <w:ind w:firstLine="562" w:firstLineChars="200"/>
        <w:outlineLvl w:val="0"/>
        <w:rPr>
          <w:rFonts w:hint="eastAsia" w:ascii="仿宋" w:hAnsi="仿宋" w:eastAsia="仿宋" w:cs="仿宋"/>
          <w:b/>
          <w:bCs/>
          <w:snapToGrid w:val="0"/>
          <w:kern w:val="0"/>
          <w:sz w:val="28"/>
          <w:szCs w:val="28"/>
          <w:highlight w:val="none"/>
        </w:rPr>
      </w:pPr>
      <w:r>
        <w:rPr>
          <w:rFonts w:hint="eastAsia" w:ascii="仿宋" w:hAnsi="仿宋" w:eastAsia="仿宋" w:cs="仿宋"/>
          <w:b/>
          <w:bCs/>
          <w:snapToGrid w:val="0"/>
          <w:kern w:val="0"/>
          <w:sz w:val="28"/>
          <w:szCs w:val="28"/>
          <w:lang w:val="en-US" w:eastAsia="zh-CN" w:bidi="ar-SA"/>
        </w:rPr>
        <w:t>（一）</w:t>
      </w:r>
      <w:r>
        <w:rPr>
          <w:rFonts w:hint="eastAsia" w:ascii="仿宋" w:hAnsi="仿宋" w:eastAsia="仿宋" w:cs="仿宋"/>
          <w:b/>
          <w:bCs/>
          <w:snapToGrid w:val="0"/>
          <w:kern w:val="0"/>
          <w:sz w:val="28"/>
          <w:szCs w:val="28"/>
          <w:highlight w:val="none"/>
        </w:rPr>
        <w:t>申报人主体资格材料</w:t>
      </w:r>
    </w:p>
    <w:p w14:paraId="6FE2EE8C">
      <w:pPr>
        <w:numPr>
          <w:ilvl w:val="0"/>
          <w:numId w:val="0"/>
        </w:numPr>
        <w:shd w:val="clear"/>
        <w:spacing w:before="156" w:beforeLines="50" w:after="156" w:afterLines="50" w:line="240" w:lineRule="auto"/>
        <w:ind w:firstLine="562" w:firstLineChars="200"/>
        <w:outlineLvl w:val="0"/>
        <w:rPr>
          <w:rFonts w:hint="eastAsia" w:ascii="仿宋" w:hAnsi="仿宋" w:eastAsia="仿宋" w:cs="仿宋"/>
          <w:b/>
          <w:snapToGrid w:val="0"/>
          <w:kern w:val="0"/>
          <w:sz w:val="28"/>
          <w:szCs w:val="28"/>
          <w:highlight w:val="none"/>
        </w:rPr>
      </w:pPr>
      <w:r>
        <w:rPr>
          <w:rFonts w:hint="default" w:ascii="仿宋" w:hAnsi="仿宋" w:eastAsia="仿宋" w:cs="仿宋"/>
          <w:b/>
          <w:snapToGrid w:val="0"/>
          <w:kern w:val="0"/>
          <w:sz w:val="28"/>
          <w:szCs w:val="28"/>
          <w:lang w:val="en-US" w:eastAsia="zh-CN" w:bidi="ar-SA"/>
        </w:rPr>
        <w:t>1.</w:t>
      </w:r>
      <w:r>
        <w:rPr>
          <w:rFonts w:hint="eastAsia" w:ascii="仿宋" w:hAnsi="仿宋" w:eastAsia="仿宋" w:cs="仿宋"/>
          <w:b/>
          <w:snapToGrid w:val="0"/>
          <w:kern w:val="0"/>
          <w:sz w:val="28"/>
          <w:szCs w:val="28"/>
          <w:highlight w:val="none"/>
        </w:rPr>
        <w:t>债权人为机构的，应当提交如下材料：</w:t>
      </w:r>
    </w:p>
    <w:p w14:paraId="6FE66B5D">
      <w:pPr>
        <w:pStyle w:val="8"/>
        <w:numPr>
          <w:ilvl w:val="0"/>
          <w:numId w:val="2"/>
        </w:numPr>
        <w:shd w:val="clear"/>
        <w:spacing w:before="156" w:beforeLines="50" w:after="156" w:afterLines="50" w:line="240" w:lineRule="auto"/>
        <w:ind w:left="987" w:firstLineChars="0"/>
        <w:rPr>
          <w:rFonts w:hint="eastAsia" w:ascii="仿宋" w:hAnsi="仿宋" w:eastAsia="仿宋" w:cs="仿宋"/>
          <w:snapToGrid w:val="0"/>
          <w:kern w:val="0"/>
          <w:sz w:val="28"/>
          <w:szCs w:val="28"/>
          <w:highlight w:val="none"/>
        </w:rPr>
      </w:pPr>
      <w:r>
        <w:rPr>
          <w:rFonts w:hint="eastAsia" w:ascii="仿宋" w:hAnsi="仿宋" w:eastAsia="仿宋" w:cs="仿宋"/>
          <w:snapToGrid w:val="0"/>
          <w:kern w:val="0"/>
          <w:sz w:val="28"/>
          <w:szCs w:val="28"/>
          <w:highlight w:val="none"/>
        </w:rPr>
        <w:t>有效的</w:t>
      </w:r>
      <w:bookmarkStart w:id="0" w:name="OLE_LINK48"/>
      <w:bookmarkStart w:id="1" w:name="OLE_LINK47"/>
      <w:r>
        <w:rPr>
          <w:rFonts w:hint="eastAsia" w:ascii="仿宋" w:hAnsi="仿宋" w:eastAsia="仿宋" w:cs="仿宋"/>
          <w:snapToGrid w:val="0"/>
          <w:kern w:val="0"/>
          <w:sz w:val="28"/>
          <w:szCs w:val="28"/>
          <w:highlight w:val="none"/>
        </w:rPr>
        <w:t>营业执照或事业单位、社会团体等非营利法人或非法人组织的登记证书或类似证明主体资格合法存续的文件的复印件</w:t>
      </w:r>
      <w:bookmarkEnd w:id="0"/>
      <w:bookmarkEnd w:id="1"/>
      <w:r>
        <w:rPr>
          <w:rFonts w:hint="eastAsia" w:ascii="仿宋" w:hAnsi="仿宋" w:eastAsia="仿宋" w:cs="仿宋"/>
          <w:snapToGrid w:val="0"/>
          <w:kern w:val="0"/>
          <w:sz w:val="28"/>
          <w:szCs w:val="28"/>
          <w:highlight w:val="none"/>
        </w:rPr>
        <w:t>。</w:t>
      </w:r>
      <w:r>
        <w:rPr>
          <w:rFonts w:hint="eastAsia" w:ascii="仿宋" w:hAnsi="仿宋" w:eastAsia="仿宋" w:cs="仿宋"/>
          <w:snapToGrid w:val="0"/>
          <w:kern w:val="0"/>
          <w:sz w:val="28"/>
          <w:szCs w:val="28"/>
          <w:highlight w:val="none"/>
          <w:u w:val="single"/>
        </w:rPr>
        <w:t>前述复印件须加盖公章后上传PDF扫描件</w:t>
      </w:r>
      <w:r>
        <w:rPr>
          <w:rFonts w:hint="eastAsia" w:ascii="仿宋" w:hAnsi="仿宋" w:eastAsia="仿宋" w:cs="仿宋"/>
          <w:snapToGrid w:val="0"/>
          <w:kern w:val="0"/>
          <w:sz w:val="28"/>
          <w:szCs w:val="28"/>
          <w:highlight w:val="none"/>
        </w:rPr>
        <w:t>；</w:t>
      </w:r>
    </w:p>
    <w:p w14:paraId="75B1CE63">
      <w:pPr>
        <w:pStyle w:val="8"/>
        <w:numPr>
          <w:ilvl w:val="0"/>
          <w:numId w:val="2"/>
        </w:numPr>
        <w:shd w:val="clear"/>
        <w:spacing w:before="156" w:beforeLines="50" w:after="156" w:afterLines="50" w:line="240" w:lineRule="auto"/>
        <w:ind w:left="987" w:firstLineChars="0"/>
        <w:rPr>
          <w:rFonts w:hint="eastAsia" w:ascii="仿宋" w:hAnsi="仿宋" w:eastAsia="仿宋" w:cs="仿宋"/>
          <w:snapToGrid w:val="0"/>
          <w:kern w:val="0"/>
          <w:sz w:val="28"/>
          <w:szCs w:val="28"/>
          <w:highlight w:val="none"/>
        </w:rPr>
      </w:pPr>
      <w:r>
        <w:rPr>
          <w:rFonts w:hint="eastAsia" w:ascii="仿宋" w:hAnsi="仿宋" w:eastAsia="仿宋" w:cs="仿宋"/>
          <w:snapToGrid w:val="0"/>
          <w:kern w:val="0"/>
          <w:sz w:val="28"/>
          <w:szCs w:val="28"/>
          <w:highlight w:val="none"/>
        </w:rPr>
        <w:t>法定代表人（负责人）身份证明书。</w:t>
      </w:r>
      <w:r>
        <w:rPr>
          <w:rFonts w:hint="eastAsia" w:ascii="仿宋" w:hAnsi="仿宋" w:eastAsia="仿宋" w:cs="仿宋"/>
          <w:snapToGrid w:val="0"/>
          <w:kern w:val="0"/>
          <w:sz w:val="28"/>
          <w:szCs w:val="28"/>
          <w:highlight w:val="none"/>
          <w:u w:val="single"/>
        </w:rPr>
        <w:t>前述文件须为原件加盖公章后上传PDF扫描件</w:t>
      </w:r>
      <w:r>
        <w:rPr>
          <w:rFonts w:hint="eastAsia" w:ascii="仿宋" w:hAnsi="仿宋" w:eastAsia="仿宋" w:cs="仿宋"/>
          <w:snapToGrid w:val="0"/>
          <w:kern w:val="0"/>
          <w:sz w:val="28"/>
          <w:szCs w:val="28"/>
          <w:highlight w:val="none"/>
        </w:rPr>
        <w:t>；</w:t>
      </w:r>
    </w:p>
    <w:p w14:paraId="414792B1">
      <w:pPr>
        <w:pStyle w:val="8"/>
        <w:numPr>
          <w:ilvl w:val="0"/>
          <w:numId w:val="2"/>
        </w:numPr>
        <w:shd w:val="clear"/>
        <w:spacing w:before="156" w:beforeLines="50" w:after="156" w:afterLines="50" w:line="240" w:lineRule="auto"/>
        <w:ind w:left="987" w:firstLineChars="0"/>
        <w:rPr>
          <w:rFonts w:hint="eastAsia" w:ascii="仿宋" w:hAnsi="仿宋" w:eastAsia="仿宋" w:cs="仿宋"/>
          <w:snapToGrid w:val="0"/>
          <w:kern w:val="0"/>
          <w:sz w:val="28"/>
          <w:szCs w:val="28"/>
          <w:highlight w:val="none"/>
        </w:rPr>
      </w:pPr>
      <w:r>
        <w:rPr>
          <w:rFonts w:hint="eastAsia" w:ascii="仿宋" w:hAnsi="仿宋" w:eastAsia="仿宋" w:cs="仿宋"/>
          <w:snapToGrid w:val="0"/>
          <w:kern w:val="0"/>
          <w:sz w:val="28"/>
          <w:szCs w:val="28"/>
          <w:highlight w:val="none"/>
        </w:rPr>
        <w:t>法定代表人（负责人）身份证等个人有效证件的复印件。</w:t>
      </w:r>
      <w:r>
        <w:rPr>
          <w:rFonts w:hint="eastAsia" w:ascii="仿宋" w:hAnsi="仿宋" w:eastAsia="仿宋" w:cs="仿宋"/>
          <w:snapToGrid w:val="0"/>
          <w:kern w:val="0"/>
          <w:sz w:val="28"/>
          <w:szCs w:val="28"/>
          <w:highlight w:val="none"/>
          <w:u w:val="single"/>
        </w:rPr>
        <w:t>前述复印件须加盖公章后上传PDF扫描件</w:t>
      </w:r>
      <w:r>
        <w:rPr>
          <w:rFonts w:hint="eastAsia" w:ascii="仿宋" w:hAnsi="仿宋" w:eastAsia="仿宋" w:cs="仿宋"/>
          <w:snapToGrid w:val="0"/>
          <w:kern w:val="0"/>
          <w:sz w:val="28"/>
          <w:szCs w:val="28"/>
          <w:highlight w:val="none"/>
        </w:rPr>
        <w:t>；</w:t>
      </w:r>
    </w:p>
    <w:p w14:paraId="71D36B56">
      <w:pPr>
        <w:pStyle w:val="8"/>
        <w:numPr>
          <w:ilvl w:val="0"/>
          <w:numId w:val="2"/>
        </w:numPr>
        <w:shd w:val="clear"/>
        <w:spacing w:before="156" w:beforeLines="50" w:after="156" w:afterLines="50" w:line="240" w:lineRule="auto"/>
        <w:ind w:left="987" w:firstLineChars="0"/>
        <w:rPr>
          <w:rFonts w:hint="eastAsia" w:ascii="仿宋" w:hAnsi="仿宋" w:eastAsia="仿宋" w:cs="仿宋"/>
          <w:snapToGrid w:val="0"/>
          <w:kern w:val="0"/>
          <w:sz w:val="28"/>
          <w:szCs w:val="28"/>
          <w:highlight w:val="none"/>
        </w:rPr>
      </w:pPr>
      <w:r>
        <w:rPr>
          <w:rFonts w:hint="eastAsia" w:ascii="仿宋" w:hAnsi="仿宋" w:eastAsia="仿宋" w:cs="仿宋"/>
          <w:snapToGrid w:val="0"/>
          <w:kern w:val="0"/>
          <w:sz w:val="28"/>
          <w:szCs w:val="28"/>
          <w:highlight w:val="none"/>
        </w:rPr>
        <w:t>如机构债权人与债务人发生债权债务后名称发生变更的，还应提交市场监督管理机构出具的名称变更证明文件。</w:t>
      </w:r>
      <w:r>
        <w:rPr>
          <w:rFonts w:hint="eastAsia" w:ascii="仿宋" w:hAnsi="仿宋" w:eastAsia="仿宋" w:cs="仿宋"/>
          <w:snapToGrid w:val="0"/>
          <w:kern w:val="0"/>
          <w:sz w:val="28"/>
          <w:szCs w:val="28"/>
          <w:highlight w:val="none"/>
          <w:u w:val="single"/>
        </w:rPr>
        <w:t>前述文件须为原件上传PDF扫描件</w:t>
      </w:r>
      <w:r>
        <w:rPr>
          <w:rFonts w:hint="eastAsia" w:ascii="仿宋" w:hAnsi="仿宋" w:eastAsia="仿宋" w:cs="仿宋"/>
          <w:snapToGrid w:val="0"/>
          <w:kern w:val="0"/>
          <w:sz w:val="28"/>
          <w:szCs w:val="28"/>
          <w:highlight w:val="none"/>
        </w:rPr>
        <w:t>。需要注意的是，注销/吊销后重新注册的机构债权人不视为名称变更，机构债权人应提交</w:t>
      </w:r>
      <w:r>
        <w:rPr>
          <w:rFonts w:hint="eastAsia" w:ascii="仿宋" w:hAnsi="仿宋" w:eastAsia="仿宋" w:cs="仿宋"/>
          <w:snapToGrid w:val="0"/>
          <w:color w:val="000000" w:themeColor="text1"/>
          <w:kern w:val="0"/>
          <w:sz w:val="28"/>
          <w:szCs w:val="28"/>
          <w:highlight w:val="none"/>
          <w14:textFill>
            <w14:solidFill>
              <w14:schemeClr w14:val="tx1"/>
            </w14:solidFill>
          </w14:textFill>
        </w:rPr>
        <w:t>两家机构之间债权转让的相关证明资料。</w:t>
      </w:r>
      <w:r>
        <w:rPr>
          <w:rFonts w:hint="eastAsia" w:ascii="仿宋" w:hAnsi="仿宋" w:eastAsia="仿宋" w:cs="仿宋"/>
          <w:snapToGrid w:val="0"/>
          <w:color w:val="000000" w:themeColor="text1"/>
          <w:kern w:val="0"/>
          <w:sz w:val="28"/>
          <w:szCs w:val="28"/>
          <w:highlight w:val="none"/>
          <w:u w:val="single"/>
          <w14:textFill>
            <w14:solidFill>
              <w14:schemeClr w14:val="tx1"/>
            </w14:solidFill>
          </w14:textFill>
        </w:rPr>
        <w:t>前述文件上传PDF扫描件，如果是复印件的，还须加盖公章/签字按捺手印后再扫描上传</w:t>
      </w:r>
    </w:p>
    <w:p w14:paraId="56C9B6AE">
      <w:pPr>
        <w:pStyle w:val="8"/>
        <w:keepNext/>
        <w:numPr>
          <w:ilvl w:val="0"/>
          <w:numId w:val="0"/>
        </w:numPr>
        <w:shd w:val="clear"/>
        <w:spacing w:before="156" w:beforeLines="50" w:after="156" w:afterLines="50" w:line="240" w:lineRule="auto"/>
        <w:ind w:left="0" w:leftChars="0" w:firstLine="562" w:firstLineChars="200"/>
        <w:rPr>
          <w:rFonts w:hint="eastAsia" w:ascii="仿宋" w:hAnsi="仿宋" w:eastAsia="仿宋" w:cs="仿宋"/>
          <w:b/>
          <w:snapToGrid w:val="0"/>
          <w:kern w:val="0"/>
          <w:sz w:val="28"/>
          <w:szCs w:val="28"/>
          <w:highlight w:val="none"/>
        </w:rPr>
      </w:pPr>
      <w:r>
        <w:rPr>
          <w:rFonts w:hint="default" w:ascii="仿宋" w:hAnsi="仿宋" w:eastAsia="仿宋" w:cs="仿宋"/>
          <w:b/>
          <w:snapToGrid w:val="0"/>
          <w:kern w:val="0"/>
          <w:sz w:val="28"/>
          <w:szCs w:val="28"/>
          <w:lang w:val="en-US" w:eastAsia="zh-CN" w:bidi="ar-SA"/>
        </w:rPr>
        <w:t>2.</w:t>
      </w:r>
      <w:r>
        <w:rPr>
          <w:rFonts w:hint="eastAsia" w:ascii="仿宋" w:hAnsi="仿宋" w:eastAsia="仿宋" w:cs="仿宋"/>
          <w:b/>
          <w:snapToGrid w:val="0"/>
          <w:kern w:val="0"/>
          <w:sz w:val="28"/>
          <w:szCs w:val="28"/>
          <w:highlight w:val="none"/>
        </w:rPr>
        <w:t>个人债权人须提交的材料：</w:t>
      </w:r>
    </w:p>
    <w:p w14:paraId="1372158B">
      <w:pPr>
        <w:pStyle w:val="8"/>
        <w:numPr>
          <w:ilvl w:val="0"/>
          <w:numId w:val="2"/>
        </w:numPr>
        <w:shd w:val="clear"/>
        <w:spacing w:before="156" w:beforeLines="50" w:after="156" w:afterLines="50" w:line="240" w:lineRule="auto"/>
        <w:ind w:left="987" w:firstLineChars="0"/>
        <w:rPr>
          <w:rFonts w:hint="eastAsia" w:ascii="仿宋" w:hAnsi="仿宋" w:eastAsia="仿宋" w:cs="仿宋"/>
          <w:snapToGrid w:val="0"/>
          <w:kern w:val="0"/>
          <w:sz w:val="28"/>
          <w:szCs w:val="28"/>
          <w:highlight w:val="none"/>
        </w:rPr>
      </w:pPr>
      <w:r>
        <w:rPr>
          <w:rFonts w:hint="eastAsia" w:ascii="仿宋" w:hAnsi="仿宋" w:eastAsia="仿宋" w:cs="仿宋"/>
          <w:snapToGrid w:val="0"/>
          <w:kern w:val="0"/>
          <w:sz w:val="28"/>
          <w:szCs w:val="28"/>
          <w:highlight w:val="none"/>
        </w:rPr>
        <w:t>债权人身份证等个人有效证件复印件。</w:t>
      </w:r>
      <w:r>
        <w:rPr>
          <w:rFonts w:hint="eastAsia" w:ascii="仿宋" w:hAnsi="仿宋" w:eastAsia="仿宋" w:cs="仿宋"/>
          <w:snapToGrid w:val="0"/>
          <w:kern w:val="0"/>
          <w:sz w:val="28"/>
          <w:szCs w:val="28"/>
          <w:highlight w:val="none"/>
          <w:u w:val="single"/>
        </w:rPr>
        <w:t>前述文件须签字并按捺手印后上传PDF扫描件</w:t>
      </w:r>
      <w:r>
        <w:rPr>
          <w:rFonts w:hint="eastAsia" w:ascii="仿宋" w:hAnsi="仿宋" w:eastAsia="仿宋" w:cs="仿宋"/>
          <w:snapToGrid w:val="0"/>
          <w:kern w:val="0"/>
          <w:sz w:val="28"/>
          <w:szCs w:val="28"/>
          <w:highlight w:val="none"/>
        </w:rPr>
        <w:t>；</w:t>
      </w:r>
    </w:p>
    <w:p w14:paraId="1AB1314B">
      <w:pPr>
        <w:pStyle w:val="8"/>
        <w:numPr>
          <w:ilvl w:val="0"/>
          <w:numId w:val="2"/>
        </w:numPr>
        <w:shd w:val="clear"/>
        <w:spacing w:before="156" w:beforeLines="50" w:after="156" w:afterLines="50" w:line="240" w:lineRule="auto"/>
        <w:ind w:left="987" w:firstLineChars="0"/>
        <w:rPr>
          <w:rFonts w:hint="eastAsia" w:ascii="仿宋" w:hAnsi="仿宋" w:eastAsia="仿宋" w:cs="仿宋"/>
          <w:snapToGrid w:val="0"/>
          <w:kern w:val="0"/>
          <w:sz w:val="28"/>
          <w:szCs w:val="28"/>
          <w:highlight w:val="none"/>
        </w:rPr>
      </w:pPr>
      <w:r>
        <w:rPr>
          <w:rFonts w:hint="eastAsia" w:ascii="仿宋" w:hAnsi="仿宋" w:eastAsia="仿宋" w:cs="仿宋"/>
          <w:snapToGrid w:val="0"/>
          <w:kern w:val="0"/>
          <w:sz w:val="28"/>
          <w:szCs w:val="28"/>
          <w:highlight w:val="none"/>
        </w:rPr>
        <w:t>前述所指的个人有效证件，原则上为包括但不限于中华人民共和国居民身份证、临时身份证、军官证、武警警官证、士兵证、军队学员证、军队文职干部证、军队离退休干部证和军队职工证、护照、港澳同胞回乡证、港澳居民来往内地通行证、中华人民共和国来往港澳通行证、台湾居民来往大陆通行证、大陆居民往来台湾通行证、外国人居留证、外国人出入境证、外交官证、领事馆证、海员证等。</w:t>
      </w:r>
    </w:p>
    <w:p w14:paraId="1ABCBBC7">
      <w:pPr>
        <w:pStyle w:val="8"/>
        <w:keepNext/>
        <w:numPr>
          <w:ilvl w:val="0"/>
          <w:numId w:val="0"/>
        </w:numPr>
        <w:shd w:val="clear"/>
        <w:spacing w:before="156" w:beforeLines="50" w:after="156" w:afterLines="50" w:line="240" w:lineRule="auto"/>
        <w:ind w:left="0" w:leftChars="0" w:firstLine="562" w:firstLineChars="200"/>
        <w:rPr>
          <w:rFonts w:hint="eastAsia" w:ascii="仿宋" w:hAnsi="仿宋" w:eastAsia="仿宋" w:cs="仿宋"/>
          <w:b/>
          <w:snapToGrid w:val="0"/>
          <w:kern w:val="0"/>
          <w:sz w:val="28"/>
          <w:szCs w:val="28"/>
          <w:highlight w:val="none"/>
        </w:rPr>
      </w:pPr>
      <w:r>
        <w:rPr>
          <w:rFonts w:hint="default" w:ascii="仿宋" w:hAnsi="仿宋" w:eastAsia="仿宋" w:cs="仿宋"/>
          <w:b/>
          <w:snapToGrid w:val="0"/>
          <w:kern w:val="0"/>
          <w:sz w:val="28"/>
          <w:szCs w:val="28"/>
          <w:lang w:val="en-US" w:eastAsia="zh-CN" w:bidi="ar-SA"/>
        </w:rPr>
        <w:t>3.</w:t>
      </w:r>
      <w:r>
        <w:rPr>
          <w:rFonts w:hint="eastAsia" w:ascii="仿宋" w:hAnsi="仿宋" w:eastAsia="仿宋" w:cs="仿宋"/>
          <w:b/>
          <w:snapToGrid w:val="0"/>
          <w:kern w:val="0"/>
          <w:sz w:val="28"/>
          <w:szCs w:val="28"/>
          <w:highlight w:val="none"/>
        </w:rPr>
        <w:t>非法定代表人/本人申报债权或参与后续</w:t>
      </w:r>
      <w:r>
        <w:rPr>
          <w:rFonts w:hint="eastAsia" w:ascii="仿宋" w:hAnsi="仿宋" w:eastAsia="仿宋" w:cs="仿宋"/>
          <w:b/>
          <w:snapToGrid w:val="0"/>
          <w:kern w:val="0"/>
          <w:sz w:val="28"/>
          <w:szCs w:val="28"/>
          <w:highlight w:val="none"/>
          <w:lang w:val="en-US" w:eastAsia="zh-CN"/>
        </w:rPr>
        <w:t>重整</w:t>
      </w:r>
      <w:r>
        <w:rPr>
          <w:rFonts w:hint="eastAsia" w:ascii="仿宋" w:hAnsi="仿宋" w:eastAsia="仿宋" w:cs="仿宋"/>
          <w:b/>
          <w:snapToGrid w:val="0"/>
          <w:kern w:val="0"/>
          <w:sz w:val="28"/>
          <w:szCs w:val="28"/>
          <w:highlight w:val="none"/>
        </w:rPr>
        <w:t>程序工作的，还需提交如下材料：</w:t>
      </w:r>
    </w:p>
    <w:p w14:paraId="557C773E">
      <w:pPr>
        <w:pStyle w:val="8"/>
        <w:numPr>
          <w:ilvl w:val="0"/>
          <w:numId w:val="2"/>
        </w:numPr>
        <w:shd w:val="clear"/>
        <w:spacing w:before="156" w:beforeLines="50" w:after="156" w:afterLines="50" w:line="240" w:lineRule="auto"/>
        <w:ind w:left="987" w:firstLineChars="0"/>
        <w:rPr>
          <w:rFonts w:hint="eastAsia" w:ascii="仿宋" w:hAnsi="仿宋" w:eastAsia="仿宋" w:cs="仿宋"/>
          <w:snapToGrid w:val="0"/>
          <w:kern w:val="0"/>
          <w:sz w:val="28"/>
          <w:szCs w:val="28"/>
          <w:highlight w:val="none"/>
        </w:rPr>
      </w:pPr>
      <w:r>
        <w:rPr>
          <w:rFonts w:hint="eastAsia" w:ascii="仿宋" w:hAnsi="仿宋" w:eastAsia="仿宋" w:cs="仿宋"/>
          <w:snapToGrid w:val="0"/>
          <w:kern w:val="0"/>
          <w:sz w:val="28"/>
          <w:szCs w:val="28"/>
          <w:highlight w:val="none"/>
        </w:rPr>
        <w:t>授权委托书。如是机构债权人的，前述文件须由机构债权人的法定代表人或负责人签字并加盖公章；如是个人债权人的，前述文件须由个人债权人签字并按捺手印。</w:t>
      </w:r>
      <w:r>
        <w:rPr>
          <w:rFonts w:hint="eastAsia" w:ascii="仿宋" w:hAnsi="仿宋" w:eastAsia="仿宋" w:cs="仿宋"/>
          <w:snapToGrid w:val="0"/>
          <w:kern w:val="0"/>
          <w:sz w:val="28"/>
          <w:szCs w:val="28"/>
          <w:highlight w:val="none"/>
          <w:u w:val="single"/>
        </w:rPr>
        <w:t>前述文件须为原件加盖公章/签字按捺手印后上传PDF扫描件</w:t>
      </w:r>
      <w:r>
        <w:rPr>
          <w:rFonts w:hint="eastAsia" w:ascii="仿宋" w:hAnsi="仿宋" w:eastAsia="仿宋" w:cs="仿宋"/>
          <w:snapToGrid w:val="0"/>
          <w:kern w:val="0"/>
          <w:sz w:val="28"/>
          <w:szCs w:val="28"/>
          <w:highlight w:val="none"/>
        </w:rPr>
        <w:t>；</w:t>
      </w:r>
    </w:p>
    <w:p w14:paraId="22F756F9">
      <w:pPr>
        <w:pStyle w:val="8"/>
        <w:numPr>
          <w:ilvl w:val="0"/>
          <w:numId w:val="2"/>
        </w:numPr>
        <w:shd w:val="clear"/>
        <w:spacing w:before="156" w:beforeLines="50" w:after="156" w:afterLines="50" w:line="240" w:lineRule="auto"/>
        <w:ind w:left="987" w:firstLineChars="0"/>
        <w:rPr>
          <w:rFonts w:hint="eastAsia" w:ascii="仿宋" w:hAnsi="仿宋" w:eastAsia="仿宋" w:cs="仿宋"/>
          <w:snapToGrid w:val="0"/>
          <w:kern w:val="0"/>
          <w:sz w:val="28"/>
          <w:szCs w:val="28"/>
          <w:highlight w:val="none"/>
        </w:rPr>
      </w:pPr>
      <w:r>
        <w:rPr>
          <w:rFonts w:hint="eastAsia" w:ascii="仿宋" w:hAnsi="仿宋" w:eastAsia="仿宋" w:cs="仿宋"/>
          <w:snapToGrid w:val="0"/>
          <w:kern w:val="0"/>
          <w:sz w:val="28"/>
          <w:szCs w:val="28"/>
          <w:highlight w:val="none"/>
        </w:rPr>
        <w:t>代理人的个人有效证件复印件（个人有效证件定义同上）。如是机构代理人的，须由机构代理人的法定代表人或负责人签字并加盖公章；如是个人代理人的，须由个人代理人签字并按捺手印。</w:t>
      </w:r>
      <w:r>
        <w:rPr>
          <w:rFonts w:hint="eastAsia" w:ascii="仿宋" w:hAnsi="仿宋" w:eastAsia="仿宋" w:cs="仿宋"/>
          <w:snapToGrid w:val="0"/>
          <w:kern w:val="0"/>
          <w:sz w:val="28"/>
          <w:szCs w:val="28"/>
          <w:highlight w:val="none"/>
          <w:u w:val="single"/>
        </w:rPr>
        <w:t>前述复印件须加盖公章/签字按捺手印后上传PDF扫描件</w:t>
      </w:r>
      <w:r>
        <w:rPr>
          <w:rFonts w:hint="eastAsia" w:ascii="仿宋" w:hAnsi="仿宋" w:eastAsia="仿宋" w:cs="仿宋"/>
          <w:snapToGrid w:val="0"/>
          <w:kern w:val="0"/>
          <w:sz w:val="28"/>
          <w:szCs w:val="28"/>
          <w:highlight w:val="none"/>
        </w:rPr>
        <w:t>；</w:t>
      </w:r>
    </w:p>
    <w:p w14:paraId="05D052F2">
      <w:pPr>
        <w:pStyle w:val="8"/>
        <w:numPr>
          <w:ilvl w:val="0"/>
          <w:numId w:val="2"/>
        </w:numPr>
        <w:shd w:val="clear"/>
        <w:spacing w:before="156" w:beforeLines="50" w:after="156" w:afterLines="50" w:line="240" w:lineRule="auto"/>
        <w:ind w:left="987" w:firstLineChars="0"/>
        <w:rPr>
          <w:rFonts w:hint="eastAsia" w:ascii="仿宋" w:hAnsi="仿宋" w:eastAsia="仿宋" w:cs="仿宋"/>
          <w:snapToGrid w:val="0"/>
          <w:kern w:val="0"/>
          <w:sz w:val="28"/>
          <w:szCs w:val="28"/>
          <w:highlight w:val="none"/>
        </w:rPr>
      </w:pPr>
      <w:r>
        <w:rPr>
          <w:rFonts w:hint="eastAsia" w:ascii="仿宋" w:hAnsi="仿宋" w:eastAsia="仿宋" w:cs="仿宋"/>
          <w:snapToGrid w:val="0"/>
          <w:kern w:val="0"/>
          <w:sz w:val="28"/>
          <w:szCs w:val="28"/>
          <w:highlight w:val="none"/>
        </w:rPr>
        <w:t>如代理人为律师的，还应提交律师证复印件以及律师事务所指派函/公函。</w:t>
      </w:r>
      <w:r>
        <w:rPr>
          <w:rFonts w:hint="eastAsia" w:ascii="仿宋" w:hAnsi="仿宋" w:eastAsia="仿宋" w:cs="仿宋"/>
          <w:snapToGrid w:val="0"/>
          <w:kern w:val="0"/>
          <w:sz w:val="28"/>
          <w:szCs w:val="28"/>
          <w:highlight w:val="none"/>
          <w:u w:val="single"/>
        </w:rPr>
        <w:t>前述文件须为原件盖章后上传PDF扫描件</w:t>
      </w:r>
      <w:r>
        <w:rPr>
          <w:rFonts w:hint="eastAsia" w:ascii="仿宋" w:hAnsi="仿宋" w:eastAsia="仿宋" w:cs="仿宋"/>
          <w:snapToGrid w:val="0"/>
          <w:kern w:val="0"/>
          <w:sz w:val="28"/>
          <w:szCs w:val="28"/>
          <w:highlight w:val="none"/>
        </w:rPr>
        <w:t>。</w:t>
      </w:r>
    </w:p>
    <w:p w14:paraId="240AC224">
      <w:pPr>
        <w:pStyle w:val="8"/>
        <w:keepNext/>
        <w:numPr>
          <w:ilvl w:val="0"/>
          <w:numId w:val="0"/>
        </w:numPr>
        <w:shd w:val="clear"/>
        <w:spacing w:before="156" w:beforeLines="50" w:after="156" w:afterLines="50" w:line="240" w:lineRule="auto"/>
        <w:ind w:left="0" w:leftChars="0" w:firstLine="562" w:firstLineChars="200"/>
        <w:rPr>
          <w:rFonts w:hint="eastAsia" w:ascii="仿宋" w:hAnsi="仿宋" w:eastAsia="仿宋" w:cs="仿宋"/>
          <w:b/>
          <w:bCs/>
          <w:snapToGrid w:val="0"/>
          <w:kern w:val="0"/>
          <w:sz w:val="28"/>
          <w:szCs w:val="28"/>
          <w:highlight w:val="none"/>
        </w:rPr>
      </w:pPr>
      <w:r>
        <w:rPr>
          <w:rFonts w:hint="eastAsia" w:ascii="仿宋" w:hAnsi="仿宋" w:eastAsia="仿宋" w:cs="仿宋"/>
          <w:b/>
          <w:bCs/>
          <w:snapToGrid w:val="0"/>
          <w:kern w:val="0"/>
          <w:sz w:val="28"/>
          <w:szCs w:val="28"/>
          <w:lang w:val="en-US" w:eastAsia="zh-CN" w:bidi="ar-SA"/>
        </w:rPr>
        <w:t>（二）</w:t>
      </w:r>
      <w:r>
        <w:rPr>
          <w:rFonts w:hint="eastAsia" w:ascii="仿宋" w:hAnsi="仿宋" w:eastAsia="仿宋" w:cs="仿宋"/>
          <w:b/>
          <w:bCs/>
          <w:snapToGrid w:val="0"/>
          <w:kern w:val="0"/>
          <w:sz w:val="28"/>
          <w:szCs w:val="28"/>
          <w:highlight w:val="none"/>
        </w:rPr>
        <w:t>证明债权发生事实及其数额的材料</w:t>
      </w:r>
    </w:p>
    <w:p w14:paraId="4BC6A9B5">
      <w:pPr>
        <w:shd w:val="clear"/>
        <w:spacing w:before="156" w:beforeLines="50" w:after="156" w:afterLines="50" w:line="240" w:lineRule="auto"/>
        <w:ind w:firstLine="560" w:firstLineChars="200"/>
        <w:outlineLvl w:val="0"/>
        <w:rPr>
          <w:rFonts w:hint="eastAsia" w:ascii="仿宋" w:hAnsi="仿宋" w:eastAsia="仿宋" w:cs="仿宋"/>
          <w:snapToGrid w:val="0"/>
          <w:kern w:val="0"/>
          <w:sz w:val="28"/>
          <w:szCs w:val="28"/>
          <w:highlight w:val="none"/>
        </w:rPr>
      </w:pPr>
      <w:r>
        <w:rPr>
          <w:rFonts w:hint="eastAsia" w:ascii="仿宋" w:hAnsi="仿宋" w:eastAsia="仿宋" w:cs="仿宋"/>
          <w:snapToGrid w:val="0"/>
          <w:kern w:val="0"/>
          <w:sz w:val="28"/>
          <w:szCs w:val="28"/>
          <w:highlight w:val="none"/>
        </w:rPr>
        <w:t>债权人申报债权应提交能够证明债权成立的全部书面材料，包括但不限于：</w:t>
      </w: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675"/>
        <w:gridCol w:w="7847"/>
      </w:tblGrid>
      <w:tr w14:paraId="61B3D7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jc w:val="center"/>
        </w:trPr>
        <w:tc>
          <w:tcPr>
            <w:tcW w:w="675" w:type="dxa"/>
            <w:shd w:val="clear" w:color="auto" w:fill="auto"/>
            <w:vAlign w:val="center"/>
          </w:tcPr>
          <w:p w14:paraId="1F695B4C">
            <w:pPr>
              <w:shd w:val="clear"/>
              <w:spacing w:before="156" w:beforeLines="50" w:after="156" w:afterLines="50" w:line="240" w:lineRule="auto"/>
              <w:jc w:val="center"/>
              <w:outlineLvl w:val="0"/>
              <w:rPr>
                <w:rFonts w:hint="eastAsia" w:ascii="仿宋" w:hAnsi="仿宋" w:eastAsia="仿宋" w:cs="仿宋"/>
                <w:b w:val="0"/>
                <w:bCs w:val="0"/>
                <w:i w:val="0"/>
                <w:iCs/>
                <w:snapToGrid w:val="0"/>
                <w:color w:val="auto"/>
                <w:kern w:val="0"/>
                <w:sz w:val="28"/>
                <w:szCs w:val="28"/>
                <w:highlight w:val="none"/>
              </w:rPr>
            </w:pPr>
            <w:r>
              <w:rPr>
                <w:rFonts w:hint="eastAsia" w:ascii="仿宋" w:hAnsi="仿宋" w:eastAsia="仿宋" w:cs="仿宋"/>
                <w:b/>
                <w:bCs/>
                <w:i w:val="0"/>
                <w:iCs/>
                <w:snapToGrid w:val="0"/>
                <w:color w:val="auto"/>
                <w:kern w:val="0"/>
                <w:sz w:val="28"/>
                <w:szCs w:val="28"/>
                <w:highlight w:val="none"/>
              </w:rPr>
              <w:t>1</w:t>
            </w:r>
          </w:p>
        </w:tc>
        <w:tc>
          <w:tcPr>
            <w:tcW w:w="7847" w:type="dxa"/>
            <w:shd w:val="clear" w:color="auto" w:fill="auto"/>
          </w:tcPr>
          <w:p w14:paraId="27E04495">
            <w:pPr>
              <w:shd w:val="clear"/>
              <w:spacing w:before="156" w:beforeLines="50" w:after="156" w:afterLines="50" w:line="240" w:lineRule="auto"/>
              <w:outlineLvl w:val="0"/>
              <w:rPr>
                <w:rFonts w:hint="eastAsia" w:ascii="仿宋" w:hAnsi="仿宋" w:eastAsia="仿宋" w:cs="仿宋"/>
                <w:b/>
                <w:bCs w:val="0"/>
                <w:i w:val="0"/>
                <w:iCs/>
                <w:snapToGrid w:val="0"/>
                <w:color w:val="auto"/>
                <w:kern w:val="0"/>
                <w:sz w:val="28"/>
                <w:szCs w:val="28"/>
                <w:highlight w:val="none"/>
              </w:rPr>
            </w:pPr>
            <w:r>
              <w:rPr>
                <w:rFonts w:hint="eastAsia" w:ascii="仿宋" w:hAnsi="仿宋" w:eastAsia="仿宋" w:cs="仿宋"/>
                <w:b w:val="0"/>
                <w:bCs/>
                <w:i w:val="0"/>
                <w:iCs/>
                <w:snapToGrid w:val="0"/>
                <w:color w:val="auto"/>
                <w:kern w:val="0"/>
                <w:sz w:val="28"/>
                <w:szCs w:val="28"/>
                <w:highlight w:val="none"/>
              </w:rPr>
              <w:t>各类合同书（如借/贷款合同，购/销货合同）等债权形成的基础性材料。</w:t>
            </w:r>
            <w:r>
              <w:rPr>
                <w:rFonts w:hint="eastAsia" w:ascii="仿宋" w:hAnsi="仿宋" w:eastAsia="仿宋" w:cs="仿宋"/>
                <w:b w:val="0"/>
                <w:bCs/>
                <w:i w:val="0"/>
                <w:iCs/>
                <w:snapToGrid w:val="0"/>
                <w:color w:val="auto"/>
                <w:kern w:val="0"/>
                <w:sz w:val="28"/>
                <w:szCs w:val="28"/>
                <w:highlight w:val="none"/>
                <w:u w:val="single"/>
              </w:rPr>
              <w:t>前述材料上传PDF扫描件，如果是复印件的，还须加盖公章/签字按捺手印后再扫描上传</w:t>
            </w:r>
            <w:r>
              <w:rPr>
                <w:rFonts w:hint="eastAsia" w:ascii="仿宋" w:hAnsi="仿宋" w:eastAsia="仿宋" w:cs="仿宋"/>
                <w:b w:val="0"/>
                <w:bCs/>
                <w:i w:val="0"/>
                <w:iCs/>
                <w:snapToGrid w:val="0"/>
                <w:color w:val="auto"/>
                <w:kern w:val="0"/>
                <w:sz w:val="28"/>
                <w:szCs w:val="28"/>
                <w:highlight w:val="none"/>
              </w:rPr>
              <w:t>，页数较多的允许在证据目录上加盖公章/签字按捺手印并加盖骑缝章/按捺骑缝手印。</w:t>
            </w:r>
          </w:p>
        </w:tc>
      </w:tr>
      <w:tr w14:paraId="451CA7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jc w:val="center"/>
        </w:trPr>
        <w:tc>
          <w:tcPr>
            <w:tcW w:w="675" w:type="dxa"/>
            <w:shd w:val="clear" w:color="auto" w:fill="auto"/>
            <w:vAlign w:val="center"/>
          </w:tcPr>
          <w:p w14:paraId="4B4D0BA6">
            <w:pPr>
              <w:shd w:val="clear"/>
              <w:spacing w:before="156" w:beforeLines="50" w:after="156" w:afterLines="50" w:line="240" w:lineRule="auto"/>
              <w:jc w:val="center"/>
              <w:outlineLvl w:val="0"/>
              <w:rPr>
                <w:rFonts w:hint="eastAsia" w:ascii="仿宋" w:hAnsi="仿宋" w:eastAsia="仿宋" w:cs="仿宋"/>
                <w:b w:val="0"/>
                <w:bCs w:val="0"/>
                <w:i w:val="0"/>
                <w:iCs/>
                <w:snapToGrid w:val="0"/>
                <w:color w:val="auto"/>
                <w:kern w:val="0"/>
                <w:sz w:val="28"/>
                <w:szCs w:val="28"/>
                <w:highlight w:val="none"/>
              </w:rPr>
            </w:pPr>
            <w:r>
              <w:rPr>
                <w:rFonts w:hint="eastAsia" w:ascii="仿宋" w:hAnsi="仿宋" w:eastAsia="仿宋" w:cs="仿宋"/>
                <w:b/>
                <w:bCs/>
                <w:i w:val="0"/>
                <w:iCs/>
                <w:snapToGrid w:val="0"/>
                <w:color w:val="auto"/>
                <w:kern w:val="0"/>
                <w:sz w:val="28"/>
                <w:szCs w:val="28"/>
                <w:highlight w:val="none"/>
              </w:rPr>
              <w:t>2</w:t>
            </w:r>
          </w:p>
        </w:tc>
        <w:tc>
          <w:tcPr>
            <w:tcW w:w="7847" w:type="dxa"/>
            <w:shd w:val="clear" w:color="auto" w:fill="auto"/>
          </w:tcPr>
          <w:p w14:paraId="65C4AC8E">
            <w:pPr>
              <w:shd w:val="clear"/>
              <w:spacing w:before="156" w:beforeLines="50" w:after="156" w:afterLines="50" w:line="240" w:lineRule="auto"/>
              <w:outlineLvl w:val="0"/>
              <w:rPr>
                <w:rFonts w:hint="eastAsia" w:ascii="仿宋" w:hAnsi="仿宋" w:eastAsia="仿宋" w:cs="仿宋"/>
                <w:i w:val="0"/>
                <w:iCs/>
                <w:snapToGrid w:val="0"/>
                <w:color w:val="auto"/>
                <w:kern w:val="0"/>
                <w:sz w:val="28"/>
                <w:szCs w:val="28"/>
                <w:highlight w:val="none"/>
              </w:rPr>
            </w:pPr>
            <w:r>
              <w:rPr>
                <w:rFonts w:hint="eastAsia" w:ascii="仿宋" w:hAnsi="仿宋" w:eastAsia="仿宋" w:cs="仿宋"/>
                <w:i w:val="0"/>
                <w:iCs/>
                <w:snapToGrid w:val="0"/>
                <w:color w:val="auto"/>
                <w:kern w:val="0"/>
                <w:sz w:val="28"/>
                <w:szCs w:val="28"/>
                <w:highlight w:val="none"/>
              </w:rPr>
              <w:t>票据、划账单、汇款单、对账单、提货单等合同履行凭证。</w:t>
            </w:r>
            <w:r>
              <w:rPr>
                <w:rFonts w:hint="eastAsia" w:ascii="仿宋" w:hAnsi="仿宋" w:eastAsia="仿宋" w:cs="仿宋"/>
                <w:i w:val="0"/>
                <w:iCs/>
                <w:snapToGrid w:val="0"/>
                <w:color w:val="auto"/>
                <w:kern w:val="0"/>
                <w:sz w:val="28"/>
                <w:szCs w:val="28"/>
                <w:highlight w:val="none"/>
                <w:u w:val="single"/>
              </w:rPr>
              <w:t>前述材料上传PDF扫描件，如果是复印件的，还须加盖公章/签字按捺手印后再扫描上传</w:t>
            </w:r>
            <w:r>
              <w:rPr>
                <w:rFonts w:hint="eastAsia" w:ascii="仿宋" w:hAnsi="仿宋" w:eastAsia="仿宋" w:cs="仿宋"/>
                <w:bCs/>
                <w:i w:val="0"/>
                <w:iCs/>
                <w:snapToGrid w:val="0"/>
                <w:color w:val="auto"/>
                <w:kern w:val="0"/>
                <w:sz w:val="28"/>
                <w:szCs w:val="28"/>
                <w:highlight w:val="none"/>
              </w:rPr>
              <w:t>，页数较多的允许在证据目录上加盖公章/签字按捺手印并加盖骑缝章/按捺骑缝手印。</w:t>
            </w:r>
            <w:r>
              <w:rPr>
                <w:rFonts w:hint="eastAsia" w:ascii="仿宋" w:hAnsi="仿宋" w:eastAsia="仿宋" w:cs="仿宋"/>
                <w:b/>
                <w:i w:val="0"/>
                <w:iCs/>
                <w:snapToGrid w:val="0"/>
                <w:color w:val="auto"/>
                <w:kern w:val="0"/>
                <w:sz w:val="28"/>
                <w:szCs w:val="28"/>
                <w:highlight w:val="none"/>
              </w:rPr>
              <w:t>其中，对于承兑汇票、支票、仓单、提单、栈单等可以流通转让的票据凭证，必须将原件寄送至</w:t>
            </w:r>
            <w:r>
              <w:rPr>
                <w:rFonts w:hint="eastAsia" w:ascii="仿宋" w:hAnsi="仿宋" w:eastAsia="仿宋" w:cs="仿宋"/>
                <w:b/>
                <w:i w:val="0"/>
                <w:iCs/>
                <w:snapToGrid w:val="0"/>
                <w:color w:val="auto"/>
                <w:kern w:val="0"/>
                <w:sz w:val="28"/>
                <w:szCs w:val="28"/>
                <w:highlight w:val="none"/>
                <w:lang w:eastAsia="zh-CN"/>
              </w:rPr>
              <w:t>管理人</w:t>
            </w:r>
            <w:r>
              <w:rPr>
                <w:rFonts w:hint="eastAsia" w:ascii="仿宋" w:hAnsi="仿宋" w:eastAsia="仿宋" w:cs="仿宋"/>
                <w:b/>
                <w:i w:val="0"/>
                <w:iCs/>
                <w:snapToGrid w:val="0"/>
                <w:color w:val="auto"/>
                <w:kern w:val="0"/>
                <w:sz w:val="28"/>
                <w:szCs w:val="28"/>
                <w:highlight w:val="none"/>
              </w:rPr>
              <w:t>处</w:t>
            </w:r>
            <w:r>
              <w:rPr>
                <w:rFonts w:hint="eastAsia" w:ascii="仿宋" w:hAnsi="仿宋" w:eastAsia="仿宋" w:cs="仿宋"/>
                <w:i w:val="0"/>
                <w:iCs/>
                <w:snapToGrid w:val="0"/>
                <w:color w:val="auto"/>
                <w:kern w:val="0"/>
                <w:sz w:val="28"/>
                <w:szCs w:val="28"/>
                <w:highlight w:val="none"/>
              </w:rPr>
              <w:t>。</w:t>
            </w:r>
          </w:p>
        </w:tc>
      </w:tr>
      <w:tr w14:paraId="320002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jc w:val="center"/>
        </w:trPr>
        <w:tc>
          <w:tcPr>
            <w:tcW w:w="675" w:type="dxa"/>
            <w:shd w:val="clear" w:color="auto" w:fill="auto"/>
            <w:vAlign w:val="center"/>
          </w:tcPr>
          <w:p w14:paraId="775FBE4A">
            <w:pPr>
              <w:shd w:val="clear"/>
              <w:spacing w:before="156" w:beforeLines="50" w:after="156" w:afterLines="50" w:line="240" w:lineRule="auto"/>
              <w:jc w:val="center"/>
              <w:outlineLvl w:val="0"/>
              <w:rPr>
                <w:rFonts w:hint="eastAsia" w:ascii="仿宋" w:hAnsi="仿宋" w:eastAsia="仿宋" w:cs="仿宋"/>
                <w:b w:val="0"/>
                <w:bCs w:val="0"/>
                <w:i w:val="0"/>
                <w:iCs/>
                <w:snapToGrid w:val="0"/>
                <w:color w:val="auto"/>
                <w:kern w:val="0"/>
                <w:sz w:val="28"/>
                <w:szCs w:val="28"/>
                <w:highlight w:val="none"/>
              </w:rPr>
            </w:pPr>
            <w:r>
              <w:rPr>
                <w:rFonts w:hint="eastAsia" w:ascii="仿宋" w:hAnsi="仿宋" w:eastAsia="仿宋" w:cs="仿宋"/>
                <w:b/>
                <w:bCs/>
                <w:i w:val="0"/>
                <w:iCs/>
                <w:snapToGrid w:val="0"/>
                <w:color w:val="auto"/>
                <w:kern w:val="0"/>
                <w:sz w:val="28"/>
                <w:szCs w:val="28"/>
                <w:highlight w:val="none"/>
              </w:rPr>
              <w:t>3</w:t>
            </w:r>
          </w:p>
        </w:tc>
        <w:tc>
          <w:tcPr>
            <w:tcW w:w="7847" w:type="dxa"/>
            <w:shd w:val="clear" w:color="auto" w:fill="auto"/>
          </w:tcPr>
          <w:p w14:paraId="2F141F42">
            <w:pPr>
              <w:shd w:val="clear"/>
              <w:spacing w:before="156" w:beforeLines="50" w:after="156" w:afterLines="50" w:line="240" w:lineRule="auto"/>
              <w:outlineLvl w:val="0"/>
              <w:rPr>
                <w:rFonts w:hint="eastAsia" w:ascii="仿宋" w:hAnsi="仿宋" w:eastAsia="仿宋" w:cs="仿宋"/>
                <w:i w:val="0"/>
                <w:iCs/>
                <w:snapToGrid w:val="0"/>
                <w:color w:val="auto"/>
                <w:kern w:val="0"/>
                <w:sz w:val="28"/>
                <w:szCs w:val="28"/>
                <w:highlight w:val="none"/>
              </w:rPr>
            </w:pPr>
            <w:r>
              <w:rPr>
                <w:rFonts w:hint="eastAsia" w:ascii="仿宋" w:hAnsi="仿宋" w:eastAsia="仿宋" w:cs="仿宋"/>
                <w:i w:val="0"/>
                <w:iCs/>
                <w:snapToGrid w:val="0"/>
                <w:color w:val="auto"/>
                <w:kern w:val="0"/>
                <w:sz w:val="28"/>
                <w:szCs w:val="28"/>
                <w:highlight w:val="none"/>
              </w:rPr>
              <w:t>债权如有担保的，还须提交抵押合同、质押合同、保证合同、担保物清单及相关的登记证件等担保材料。</w:t>
            </w:r>
            <w:r>
              <w:rPr>
                <w:rFonts w:hint="eastAsia" w:ascii="仿宋" w:hAnsi="仿宋" w:eastAsia="仿宋" w:cs="仿宋"/>
                <w:i w:val="0"/>
                <w:iCs/>
                <w:snapToGrid w:val="0"/>
                <w:color w:val="auto"/>
                <w:kern w:val="0"/>
                <w:sz w:val="28"/>
                <w:szCs w:val="28"/>
                <w:highlight w:val="none"/>
                <w:u w:val="single"/>
              </w:rPr>
              <w:t>前述材料上传PDF扫描件，如果是复印件的，还须加盖公章/签字按捺手印后再扫描上传</w:t>
            </w:r>
            <w:r>
              <w:rPr>
                <w:rFonts w:hint="eastAsia" w:ascii="仿宋" w:hAnsi="仿宋" w:eastAsia="仿宋" w:cs="仿宋"/>
                <w:bCs/>
                <w:i w:val="0"/>
                <w:iCs/>
                <w:snapToGrid w:val="0"/>
                <w:color w:val="auto"/>
                <w:kern w:val="0"/>
                <w:sz w:val="28"/>
                <w:szCs w:val="28"/>
                <w:highlight w:val="none"/>
              </w:rPr>
              <w:t>，页数较多的允许在证据目录上加盖公章/签字按捺手印并加盖骑缝章/按捺骑缝手印。</w:t>
            </w:r>
            <w:r>
              <w:rPr>
                <w:rFonts w:hint="eastAsia" w:ascii="仿宋" w:hAnsi="仿宋" w:eastAsia="仿宋" w:cs="仿宋"/>
                <w:b/>
                <w:bCs/>
                <w:i w:val="0"/>
                <w:iCs/>
                <w:snapToGrid w:val="0"/>
                <w:color w:val="auto"/>
                <w:kern w:val="0"/>
                <w:sz w:val="28"/>
                <w:szCs w:val="28"/>
                <w:highlight w:val="none"/>
              </w:rPr>
              <w:t>如</w:t>
            </w:r>
            <w:r>
              <w:rPr>
                <w:rFonts w:hint="eastAsia" w:ascii="仿宋" w:hAnsi="仿宋" w:eastAsia="仿宋" w:cs="仿宋"/>
                <w:b/>
                <w:i w:val="0"/>
                <w:iCs/>
                <w:snapToGrid w:val="0"/>
                <w:color w:val="auto"/>
                <w:kern w:val="0"/>
                <w:sz w:val="28"/>
                <w:szCs w:val="28"/>
                <w:highlight w:val="none"/>
              </w:rPr>
              <w:t>担保物的物权凭证（如房产证、土地证、行驶证等）由债权人一并保管的，应在申报债权时将原件单独交还至</w:t>
            </w:r>
            <w:r>
              <w:rPr>
                <w:rFonts w:hint="eastAsia" w:ascii="仿宋" w:hAnsi="仿宋" w:eastAsia="仿宋" w:cs="仿宋"/>
                <w:b/>
                <w:i w:val="0"/>
                <w:iCs/>
                <w:snapToGrid w:val="0"/>
                <w:color w:val="auto"/>
                <w:kern w:val="0"/>
                <w:sz w:val="28"/>
                <w:szCs w:val="28"/>
                <w:highlight w:val="none"/>
                <w:lang w:eastAsia="zh-CN"/>
              </w:rPr>
              <w:t>管理人</w:t>
            </w:r>
            <w:r>
              <w:rPr>
                <w:rFonts w:hint="eastAsia" w:ascii="仿宋" w:hAnsi="仿宋" w:eastAsia="仿宋" w:cs="仿宋"/>
                <w:b/>
                <w:i w:val="0"/>
                <w:iCs/>
                <w:snapToGrid w:val="0"/>
                <w:color w:val="auto"/>
                <w:kern w:val="0"/>
                <w:sz w:val="28"/>
                <w:szCs w:val="28"/>
                <w:highlight w:val="none"/>
              </w:rPr>
              <w:t>处</w:t>
            </w:r>
            <w:r>
              <w:rPr>
                <w:rFonts w:hint="eastAsia" w:ascii="仿宋" w:hAnsi="仿宋" w:eastAsia="仿宋" w:cs="仿宋"/>
                <w:i w:val="0"/>
                <w:iCs/>
                <w:snapToGrid w:val="0"/>
                <w:color w:val="auto"/>
                <w:kern w:val="0"/>
                <w:sz w:val="28"/>
                <w:szCs w:val="28"/>
                <w:highlight w:val="none"/>
              </w:rPr>
              <w:t>。</w:t>
            </w:r>
          </w:p>
        </w:tc>
      </w:tr>
      <w:tr w14:paraId="256C4D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jc w:val="center"/>
        </w:trPr>
        <w:tc>
          <w:tcPr>
            <w:tcW w:w="675" w:type="dxa"/>
            <w:shd w:val="clear" w:color="auto" w:fill="auto"/>
            <w:vAlign w:val="center"/>
          </w:tcPr>
          <w:p w14:paraId="457C9FFA">
            <w:pPr>
              <w:shd w:val="clear"/>
              <w:spacing w:before="156" w:beforeLines="50" w:after="156" w:afterLines="50" w:line="240" w:lineRule="auto"/>
              <w:jc w:val="center"/>
              <w:outlineLvl w:val="0"/>
              <w:rPr>
                <w:rFonts w:hint="eastAsia" w:ascii="仿宋" w:hAnsi="仿宋" w:eastAsia="仿宋" w:cs="仿宋"/>
                <w:b w:val="0"/>
                <w:bCs w:val="0"/>
                <w:i w:val="0"/>
                <w:iCs/>
                <w:snapToGrid w:val="0"/>
                <w:color w:val="auto"/>
                <w:kern w:val="0"/>
                <w:sz w:val="28"/>
                <w:szCs w:val="28"/>
                <w:highlight w:val="none"/>
              </w:rPr>
            </w:pPr>
            <w:r>
              <w:rPr>
                <w:rFonts w:hint="eastAsia" w:ascii="仿宋" w:hAnsi="仿宋" w:eastAsia="仿宋" w:cs="仿宋"/>
                <w:b/>
                <w:bCs/>
                <w:i w:val="0"/>
                <w:iCs/>
                <w:snapToGrid w:val="0"/>
                <w:color w:val="auto"/>
                <w:kern w:val="0"/>
                <w:sz w:val="28"/>
                <w:szCs w:val="28"/>
                <w:highlight w:val="none"/>
              </w:rPr>
              <w:t>4</w:t>
            </w:r>
          </w:p>
        </w:tc>
        <w:tc>
          <w:tcPr>
            <w:tcW w:w="7847" w:type="dxa"/>
            <w:shd w:val="clear" w:color="auto" w:fill="auto"/>
          </w:tcPr>
          <w:p w14:paraId="591212E9">
            <w:pPr>
              <w:shd w:val="clear"/>
              <w:spacing w:before="156" w:beforeLines="50" w:after="156" w:afterLines="50" w:line="240" w:lineRule="auto"/>
              <w:outlineLvl w:val="0"/>
              <w:rPr>
                <w:rFonts w:hint="eastAsia" w:ascii="仿宋" w:hAnsi="仿宋" w:eastAsia="仿宋" w:cs="仿宋"/>
                <w:b/>
                <w:i w:val="0"/>
                <w:iCs/>
                <w:snapToGrid w:val="0"/>
                <w:color w:val="auto"/>
                <w:kern w:val="0"/>
                <w:sz w:val="28"/>
                <w:szCs w:val="28"/>
                <w:highlight w:val="none"/>
              </w:rPr>
            </w:pPr>
            <w:r>
              <w:rPr>
                <w:rFonts w:hint="eastAsia" w:ascii="仿宋" w:hAnsi="仿宋" w:eastAsia="仿宋" w:cs="仿宋"/>
                <w:i w:val="0"/>
                <w:iCs/>
                <w:snapToGrid w:val="0"/>
                <w:color w:val="auto"/>
                <w:kern w:val="0"/>
                <w:sz w:val="28"/>
                <w:szCs w:val="28"/>
                <w:highlight w:val="none"/>
              </w:rPr>
              <w:t>债权如涉及诉讼或仲裁的，须提交诉讼、仲裁有关文件的复印件。人民法院出具的生效法律文书（附送达手续或生效证明），如果经过两级法院审理，一、二审法院的法律文书皆需提供；仲裁机关出具的生效法律文书，应附上仲裁机关关于法律文书已经生效的函件或双方当事人已签收的送达回执；如已申请人民法院强制执行的，还须提交人民法院执行立案通知书、中止执行裁定书等相关文件。</w:t>
            </w:r>
            <w:r>
              <w:rPr>
                <w:rFonts w:hint="eastAsia" w:ascii="仿宋" w:hAnsi="仿宋" w:eastAsia="仿宋" w:cs="仿宋"/>
                <w:i w:val="0"/>
                <w:iCs/>
                <w:snapToGrid w:val="0"/>
                <w:color w:val="auto"/>
                <w:kern w:val="0"/>
                <w:sz w:val="28"/>
                <w:szCs w:val="28"/>
                <w:highlight w:val="none"/>
                <w:u w:val="single"/>
              </w:rPr>
              <w:t>前述复印件须加盖公章/签字按捺手印后再扫描上传</w:t>
            </w:r>
            <w:r>
              <w:rPr>
                <w:rFonts w:hint="eastAsia" w:ascii="仿宋" w:hAnsi="仿宋" w:eastAsia="仿宋" w:cs="仿宋"/>
                <w:bCs/>
                <w:i w:val="0"/>
                <w:iCs/>
                <w:snapToGrid w:val="0"/>
                <w:color w:val="auto"/>
                <w:kern w:val="0"/>
                <w:sz w:val="28"/>
                <w:szCs w:val="28"/>
                <w:highlight w:val="none"/>
              </w:rPr>
              <w:t>，页数较多的允许在证据目录上加盖公章/签字按捺手印并加盖骑缝章/按捺骑缝手印。</w:t>
            </w:r>
          </w:p>
        </w:tc>
      </w:tr>
      <w:tr w14:paraId="7D56F0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jc w:val="center"/>
        </w:trPr>
        <w:tc>
          <w:tcPr>
            <w:tcW w:w="675" w:type="dxa"/>
            <w:shd w:val="clear" w:color="auto" w:fill="auto"/>
            <w:vAlign w:val="center"/>
          </w:tcPr>
          <w:p w14:paraId="46E09EA9">
            <w:pPr>
              <w:shd w:val="clear"/>
              <w:spacing w:before="156" w:beforeLines="50" w:after="156" w:afterLines="50" w:line="240" w:lineRule="auto"/>
              <w:jc w:val="center"/>
              <w:outlineLvl w:val="0"/>
              <w:rPr>
                <w:rFonts w:hint="eastAsia" w:ascii="仿宋" w:hAnsi="仿宋" w:eastAsia="仿宋" w:cs="仿宋"/>
                <w:b w:val="0"/>
                <w:bCs w:val="0"/>
                <w:i w:val="0"/>
                <w:iCs/>
                <w:snapToGrid w:val="0"/>
                <w:color w:val="auto"/>
                <w:kern w:val="0"/>
                <w:sz w:val="28"/>
                <w:szCs w:val="28"/>
                <w:highlight w:val="none"/>
              </w:rPr>
            </w:pPr>
            <w:r>
              <w:rPr>
                <w:rFonts w:hint="eastAsia" w:ascii="仿宋" w:hAnsi="仿宋" w:eastAsia="仿宋" w:cs="仿宋"/>
                <w:b/>
                <w:bCs/>
                <w:i w:val="0"/>
                <w:iCs/>
                <w:snapToGrid w:val="0"/>
                <w:color w:val="auto"/>
                <w:kern w:val="0"/>
                <w:sz w:val="28"/>
                <w:szCs w:val="28"/>
                <w:highlight w:val="none"/>
              </w:rPr>
              <w:t>5</w:t>
            </w:r>
          </w:p>
        </w:tc>
        <w:tc>
          <w:tcPr>
            <w:tcW w:w="7847" w:type="dxa"/>
            <w:shd w:val="clear" w:color="auto" w:fill="auto"/>
          </w:tcPr>
          <w:p w14:paraId="323383E0">
            <w:pPr>
              <w:shd w:val="clear"/>
              <w:spacing w:before="156" w:beforeLines="50" w:after="156" w:afterLines="50" w:line="240" w:lineRule="auto"/>
              <w:outlineLvl w:val="0"/>
              <w:rPr>
                <w:rFonts w:hint="eastAsia" w:ascii="仿宋" w:hAnsi="仿宋" w:eastAsia="仿宋" w:cs="仿宋"/>
                <w:i w:val="0"/>
                <w:iCs/>
                <w:snapToGrid w:val="0"/>
                <w:color w:val="auto"/>
                <w:kern w:val="0"/>
                <w:sz w:val="28"/>
                <w:szCs w:val="28"/>
                <w:highlight w:val="none"/>
              </w:rPr>
            </w:pPr>
            <w:r>
              <w:rPr>
                <w:rFonts w:hint="eastAsia" w:ascii="仿宋" w:hAnsi="仿宋" w:eastAsia="仿宋" w:cs="仿宋"/>
                <w:i w:val="0"/>
                <w:iCs/>
                <w:snapToGrid w:val="0"/>
                <w:color w:val="auto"/>
                <w:kern w:val="0"/>
                <w:sz w:val="28"/>
                <w:szCs w:val="28"/>
                <w:highlight w:val="none"/>
              </w:rPr>
              <w:t>申报人如在诉讼或仲裁程序中申请财产保全的，须提交人民法院作出的保全裁定书等相关文件的复印件。</w:t>
            </w:r>
            <w:r>
              <w:rPr>
                <w:rFonts w:hint="eastAsia" w:ascii="仿宋" w:hAnsi="仿宋" w:eastAsia="仿宋" w:cs="仿宋"/>
                <w:i w:val="0"/>
                <w:iCs/>
                <w:snapToGrid w:val="0"/>
                <w:color w:val="auto"/>
                <w:kern w:val="0"/>
                <w:sz w:val="28"/>
                <w:szCs w:val="28"/>
                <w:highlight w:val="none"/>
                <w:u w:val="single"/>
              </w:rPr>
              <w:t>前述复印件须加盖公章/签字按捺手印后再扫描上传</w:t>
            </w:r>
            <w:r>
              <w:rPr>
                <w:rFonts w:hint="eastAsia" w:ascii="仿宋" w:hAnsi="仿宋" w:eastAsia="仿宋" w:cs="仿宋"/>
                <w:bCs/>
                <w:i w:val="0"/>
                <w:iCs/>
                <w:snapToGrid w:val="0"/>
                <w:color w:val="auto"/>
                <w:kern w:val="0"/>
                <w:sz w:val="28"/>
                <w:szCs w:val="28"/>
                <w:highlight w:val="none"/>
              </w:rPr>
              <w:t>，页数较多的允许在证据目录上加盖公章/签字按捺手印并加盖骑缝章/按捺骑缝手印。</w:t>
            </w:r>
          </w:p>
        </w:tc>
      </w:tr>
      <w:tr w14:paraId="336030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jc w:val="center"/>
        </w:trPr>
        <w:tc>
          <w:tcPr>
            <w:tcW w:w="675" w:type="dxa"/>
            <w:shd w:val="clear" w:color="auto" w:fill="auto"/>
            <w:vAlign w:val="center"/>
          </w:tcPr>
          <w:p w14:paraId="0B67A767">
            <w:pPr>
              <w:shd w:val="clear"/>
              <w:spacing w:before="156" w:beforeLines="50" w:after="156" w:afterLines="50" w:line="240" w:lineRule="auto"/>
              <w:jc w:val="center"/>
              <w:outlineLvl w:val="0"/>
              <w:rPr>
                <w:rFonts w:hint="eastAsia" w:ascii="仿宋" w:hAnsi="仿宋" w:eastAsia="仿宋" w:cs="仿宋"/>
                <w:b w:val="0"/>
                <w:bCs w:val="0"/>
                <w:i w:val="0"/>
                <w:iCs/>
                <w:snapToGrid w:val="0"/>
                <w:color w:val="auto"/>
                <w:kern w:val="0"/>
                <w:sz w:val="28"/>
                <w:szCs w:val="28"/>
                <w:highlight w:val="none"/>
              </w:rPr>
            </w:pPr>
            <w:r>
              <w:rPr>
                <w:rFonts w:hint="eastAsia" w:ascii="仿宋" w:hAnsi="仿宋" w:eastAsia="仿宋" w:cs="仿宋"/>
                <w:b/>
                <w:bCs/>
                <w:i w:val="0"/>
                <w:iCs/>
                <w:snapToGrid w:val="0"/>
                <w:color w:val="auto"/>
                <w:kern w:val="0"/>
                <w:sz w:val="28"/>
                <w:szCs w:val="28"/>
                <w:highlight w:val="none"/>
              </w:rPr>
              <w:t>6</w:t>
            </w:r>
          </w:p>
        </w:tc>
        <w:tc>
          <w:tcPr>
            <w:tcW w:w="7847" w:type="dxa"/>
            <w:shd w:val="clear" w:color="auto" w:fill="auto"/>
          </w:tcPr>
          <w:p w14:paraId="228DC235">
            <w:pPr>
              <w:shd w:val="clear"/>
              <w:spacing w:before="156" w:beforeLines="50" w:after="156" w:afterLines="50" w:line="240" w:lineRule="auto"/>
              <w:outlineLvl w:val="0"/>
              <w:rPr>
                <w:rFonts w:hint="eastAsia" w:ascii="仿宋" w:hAnsi="仿宋" w:eastAsia="仿宋" w:cs="仿宋"/>
                <w:i w:val="0"/>
                <w:iCs/>
                <w:snapToGrid w:val="0"/>
                <w:color w:val="auto"/>
                <w:kern w:val="0"/>
                <w:sz w:val="28"/>
                <w:szCs w:val="28"/>
                <w:highlight w:val="none"/>
              </w:rPr>
            </w:pPr>
            <w:r>
              <w:rPr>
                <w:rFonts w:hint="eastAsia" w:ascii="仿宋" w:hAnsi="仿宋" w:eastAsia="仿宋" w:cs="仿宋"/>
                <w:i w:val="0"/>
                <w:iCs/>
                <w:snapToGrid w:val="0"/>
                <w:color w:val="auto"/>
                <w:kern w:val="0"/>
                <w:sz w:val="28"/>
                <w:szCs w:val="28"/>
                <w:highlight w:val="none"/>
              </w:rPr>
              <w:t>债务如有清偿情形的，须提供清偿凭证、协议等文件。如该等债务清偿系由人民法院判决/裁定确认的，须同时提交相关生效法律文书的复印件。本项义务不随着债权申报工作的结束而终止，如前述情况一经发生，债权人即应及时通知</w:t>
            </w:r>
            <w:r>
              <w:rPr>
                <w:rFonts w:hint="eastAsia" w:ascii="仿宋" w:hAnsi="仿宋" w:eastAsia="仿宋" w:cs="仿宋"/>
                <w:i w:val="0"/>
                <w:iCs/>
                <w:snapToGrid w:val="0"/>
                <w:color w:val="auto"/>
                <w:kern w:val="0"/>
                <w:sz w:val="28"/>
                <w:szCs w:val="28"/>
                <w:highlight w:val="none"/>
                <w:lang w:eastAsia="zh-CN"/>
              </w:rPr>
              <w:t>管理人</w:t>
            </w:r>
            <w:r>
              <w:rPr>
                <w:rFonts w:hint="eastAsia" w:ascii="仿宋" w:hAnsi="仿宋" w:eastAsia="仿宋" w:cs="仿宋"/>
                <w:i w:val="0"/>
                <w:iCs/>
                <w:snapToGrid w:val="0"/>
                <w:color w:val="auto"/>
                <w:kern w:val="0"/>
                <w:sz w:val="28"/>
                <w:szCs w:val="28"/>
                <w:highlight w:val="none"/>
              </w:rPr>
              <w:t>并补充提供前述资料。</w:t>
            </w:r>
            <w:r>
              <w:rPr>
                <w:rFonts w:hint="eastAsia" w:ascii="仿宋" w:hAnsi="仿宋" w:eastAsia="仿宋" w:cs="仿宋"/>
                <w:i w:val="0"/>
                <w:iCs/>
                <w:snapToGrid w:val="0"/>
                <w:color w:val="auto"/>
                <w:kern w:val="0"/>
                <w:sz w:val="28"/>
                <w:szCs w:val="28"/>
                <w:highlight w:val="none"/>
                <w:u w:val="single"/>
              </w:rPr>
              <w:t>前述材料上传PDF扫描件，如果是复印件的，还须加盖公章/签字按捺手印后再扫描上传</w:t>
            </w:r>
            <w:r>
              <w:rPr>
                <w:rFonts w:hint="eastAsia" w:ascii="仿宋" w:hAnsi="仿宋" w:eastAsia="仿宋" w:cs="仿宋"/>
                <w:bCs/>
                <w:i w:val="0"/>
                <w:iCs/>
                <w:snapToGrid w:val="0"/>
                <w:color w:val="auto"/>
                <w:kern w:val="0"/>
                <w:sz w:val="28"/>
                <w:szCs w:val="28"/>
                <w:highlight w:val="none"/>
              </w:rPr>
              <w:t>，页数较多的允许在证据目录上加盖公章/签字按捺手印并加盖骑缝章/按捺骑缝手印。</w:t>
            </w:r>
          </w:p>
        </w:tc>
      </w:tr>
      <w:tr w14:paraId="364A1B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jc w:val="center"/>
        </w:trPr>
        <w:tc>
          <w:tcPr>
            <w:tcW w:w="675" w:type="dxa"/>
            <w:shd w:val="clear" w:color="auto" w:fill="auto"/>
            <w:vAlign w:val="center"/>
          </w:tcPr>
          <w:p w14:paraId="0C1FBFBC">
            <w:pPr>
              <w:shd w:val="clear"/>
              <w:spacing w:before="156" w:beforeLines="50" w:after="156" w:afterLines="50" w:line="240" w:lineRule="auto"/>
              <w:jc w:val="center"/>
              <w:outlineLvl w:val="0"/>
              <w:rPr>
                <w:rFonts w:hint="eastAsia" w:ascii="仿宋" w:hAnsi="仿宋" w:eastAsia="仿宋" w:cs="仿宋"/>
                <w:b w:val="0"/>
                <w:bCs w:val="0"/>
                <w:i w:val="0"/>
                <w:iCs/>
                <w:snapToGrid w:val="0"/>
                <w:color w:val="auto"/>
                <w:kern w:val="0"/>
                <w:sz w:val="28"/>
                <w:szCs w:val="28"/>
                <w:highlight w:val="none"/>
              </w:rPr>
            </w:pPr>
            <w:r>
              <w:rPr>
                <w:rFonts w:hint="eastAsia" w:ascii="仿宋" w:hAnsi="仿宋" w:eastAsia="仿宋" w:cs="仿宋"/>
                <w:b/>
                <w:bCs/>
                <w:i w:val="0"/>
                <w:iCs/>
                <w:snapToGrid w:val="0"/>
                <w:color w:val="auto"/>
                <w:kern w:val="0"/>
                <w:sz w:val="28"/>
                <w:szCs w:val="28"/>
                <w:highlight w:val="none"/>
              </w:rPr>
              <w:t>7</w:t>
            </w:r>
          </w:p>
        </w:tc>
        <w:tc>
          <w:tcPr>
            <w:tcW w:w="7847" w:type="dxa"/>
            <w:shd w:val="clear" w:color="auto" w:fill="auto"/>
          </w:tcPr>
          <w:p w14:paraId="390B4971">
            <w:pPr>
              <w:shd w:val="clear"/>
              <w:spacing w:before="156" w:beforeLines="50" w:after="156" w:afterLines="50" w:line="240" w:lineRule="auto"/>
              <w:outlineLvl w:val="0"/>
              <w:rPr>
                <w:rFonts w:hint="eastAsia" w:ascii="仿宋" w:hAnsi="仿宋" w:eastAsia="仿宋" w:cs="仿宋"/>
                <w:i w:val="0"/>
                <w:iCs/>
                <w:snapToGrid w:val="0"/>
                <w:color w:val="auto"/>
                <w:kern w:val="0"/>
                <w:sz w:val="28"/>
                <w:szCs w:val="28"/>
                <w:highlight w:val="none"/>
              </w:rPr>
            </w:pPr>
            <w:r>
              <w:rPr>
                <w:rFonts w:hint="eastAsia" w:ascii="仿宋" w:hAnsi="仿宋" w:eastAsia="仿宋" w:cs="仿宋"/>
                <w:i w:val="0"/>
                <w:iCs/>
                <w:snapToGrid w:val="0"/>
                <w:color w:val="auto"/>
                <w:kern w:val="0"/>
                <w:sz w:val="28"/>
                <w:szCs w:val="28"/>
                <w:highlight w:val="none"/>
              </w:rPr>
              <w:t>申报人应当在申报利息时，说明计算标准或另行提供利息计算表，说明利息的计算依据（应当明确指出合同约定利息或违约金涉及到的具体条款或生效法律文书涉及到的具体判项）、计算方法和计算结果，同时将正常利息与罚息、迟延履行金、滞纳金等分开计算。</w:t>
            </w:r>
            <w:r>
              <w:rPr>
                <w:rFonts w:hint="eastAsia" w:ascii="仿宋" w:hAnsi="仿宋" w:eastAsia="仿宋" w:cs="仿宋"/>
                <w:i w:val="0"/>
                <w:iCs/>
                <w:snapToGrid w:val="0"/>
                <w:color w:val="auto"/>
                <w:kern w:val="0"/>
                <w:sz w:val="28"/>
                <w:szCs w:val="28"/>
                <w:highlight w:val="none"/>
                <w:u w:val="single"/>
              </w:rPr>
              <w:t>前述计算表须加盖公章/签字按捺手印后上传PDF扫描件，同时上传EXCEL计算表</w:t>
            </w:r>
            <w:r>
              <w:rPr>
                <w:rFonts w:hint="eastAsia" w:ascii="仿宋" w:hAnsi="仿宋" w:eastAsia="仿宋" w:cs="仿宋"/>
                <w:i w:val="0"/>
                <w:iCs/>
                <w:snapToGrid w:val="0"/>
                <w:color w:val="auto"/>
                <w:kern w:val="0"/>
                <w:sz w:val="28"/>
                <w:szCs w:val="28"/>
                <w:highlight w:val="none"/>
              </w:rPr>
              <w:t>。</w:t>
            </w:r>
          </w:p>
          <w:p w14:paraId="010D4C18">
            <w:pPr>
              <w:shd w:val="clear"/>
              <w:spacing w:before="156" w:beforeLines="50" w:after="156" w:afterLines="50" w:line="240" w:lineRule="auto"/>
              <w:outlineLvl w:val="0"/>
              <w:rPr>
                <w:rFonts w:hint="eastAsia" w:ascii="仿宋" w:hAnsi="仿宋" w:eastAsia="仿宋" w:cs="仿宋"/>
                <w:i w:val="0"/>
                <w:iCs/>
                <w:snapToGrid w:val="0"/>
                <w:color w:val="auto"/>
                <w:kern w:val="0"/>
                <w:sz w:val="28"/>
                <w:szCs w:val="28"/>
                <w:highlight w:val="none"/>
              </w:rPr>
            </w:pPr>
            <w:r>
              <w:rPr>
                <w:rFonts w:hint="eastAsia" w:ascii="仿宋" w:hAnsi="仿宋" w:eastAsia="仿宋" w:cs="仿宋"/>
                <w:i w:val="0"/>
                <w:iCs/>
                <w:snapToGrid w:val="0"/>
                <w:color w:val="auto"/>
                <w:kern w:val="0"/>
                <w:sz w:val="28"/>
                <w:szCs w:val="28"/>
                <w:highlight w:val="none"/>
              </w:rPr>
              <w:t>如涉及因未履行生效法律文书判决义务所产生的迟延履行期间的债务利息计算，应根据《最高人民法院关于执行程序中计算迟延履行期间的债务利息适用法律若干问题的解释》进行计算。</w:t>
            </w:r>
          </w:p>
          <w:p w14:paraId="762CF89A">
            <w:pPr>
              <w:shd w:val="clear"/>
              <w:spacing w:before="156" w:beforeLines="50" w:after="156" w:afterLines="50" w:line="240" w:lineRule="auto"/>
              <w:outlineLvl w:val="0"/>
              <w:rPr>
                <w:rFonts w:hint="eastAsia" w:ascii="仿宋" w:hAnsi="仿宋" w:eastAsia="仿宋" w:cs="仿宋"/>
                <w:i w:val="0"/>
                <w:iCs/>
                <w:snapToGrid w:val="0"/>
                <w:color w:val="auto"/>
                <w:kern w:val="0"/>
                <w:sz w:val="28"/>
                <w:szCs w:val="28"/>
                <w:highlight w:val="none"/>
              </w:rPr>
            </w:pPr>
            <w:r>
              <w:rPr>
                <w:rFonts w:hint="eastAsia" w:ascii="仿宋" w:hAnsi="仿宋" w:eastAsia="仿宋" w:cs="仿宋"/>
                <w:i w:val="0"/>
                <w:iCs/>
                <w:snapToGrid w:val="0"/>
                <w:color w:val="auto"/>
                <w:kern w:val="0"/>
                <w:sz w:val="28"/>
                <w:szCs w:val="28"/>
                <w:highlight w:val="none"/>
              </w:rPr>
              <w:t>如债权本币以外币进行结算/交易的，应以破产受理日中国人民银行公布的市场交易中间价换算成人民币后进行申报/计算。</w:t>
            </w:r>
          </w:p>
        </w:tc>
      </w:tr>
      <w:tr w14:paraId="6BE458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jc w:val="center"/>
        </w:trPr>
        <w:tc>
          <w:tcPr>
            <w:tcW w:w="675" w:type="dxa"/>
            <w:shd w:val="clear" w:color="auto" w:fill="auto"/>
            <w:vAlign w:val="center"/>
          </w:tcPr>
          <w:p w14:paraId="540E67CD">
            <w:pPr>
              <w:shd w:val="clear"/>
              <w:spacing w:before="156" w:beforeLines="50" w:after="156" w:afterLines="50" w:line="240" w:lineRule="auto"/>
              <w:jc w:val="center"/>
              <w:outlineLvl w:val="0"/>
              <w:rPr>
                <w:rFonts w:hint="eastAsia" w:ascii="仿宋" w:hAnsi="仿宋" w:eastAsia="仿宋" w:cs="仿宋"/>
                <w:b w:val="0"/>
                <w:bCs w:val="0"/>
                <w:i w:val="0"/>
                <w:iCs/>
                <w:snapToGrid w:val="0"/>
                <w:color w:val="auto"/>
                <w:kern w:val="0"/>
                <w:sz w:val="28"/>
                <w:szCs w:val="28"/>
                <w:highlight w:val="none"/>
              </w:rPr>
            </w:pPr>
            <w:r>
              <w:rPr>
                <w:rFonts w:hint="eastAsia" w:ascii="仿宋" w:hAnsi="仿宋" w:eastAsia="仿宋" w:cs="仿宋"/>
                <w:b/>
                <w:bCs/>
                <w:i w:val="0"/>
                <w:iCs/>
                <w:snapToGrid w:val="0"/>
                <w:color w:val="auto"/>
                <w:kern w:val="0"/>
                <w:sz w:val="28"/>
                <w:szCs w:val="28"/>
                <w:highlight w:val="none"/>
              </w:rPr>
              <w:t>8</w:t>
            </w:r>
          </w:p>
        </w:tc>
        <w:tc>
          <w:tcPr>
            <w:tcW w:w="7847" w:type="dxa"/>
            <w:shd w:val="clear" w:color="auto" w:fill="auto"/>
          </w:tcPr>
          <w:p w14:paraId="47B0FCF0">
            <w:pPr>
              <w:shd w:val="clear"/>
              <w:spacing w:before="156" w:beforeLines="50" w:after="156" w:afterLines="50" w:line="240" w:lineRule="auto"/>
              <w:outlineLvl w:val="0"/>
              <w:rPr>
                <w:rFonts w:hint="eastAsia" w:ascii="仿宋" w:hAnsi="仿宋" w:eastAsia="仿宋" w:cs="仿宋"/>
                <w:i w:val="0"/>
                <w:iCs/>
                <w:snapToGrid w:val="0"/>
                <w:color w:val="auto"/>
                <w:kern w:val="0"/>
                <w:sz w:val="28"/>
                <w:szCs w:val="28"/>
                <w:highlight w:val="none"/>
              </w:rPr>
            </w:pPr>
            <w:r>
              <w:rPr>
                <w:rFonts w:hint="eastAsia" w:ascii="仿宋" w:hAnsi="仿宋" w:eastAsia="仿宋" w:cs="仿宋"/>
                <w:i w:val="0"/>
                <w:iCs/>
                <w:snapToGrid w:val="0"/>
                <w:color w:val="auto"/>
                <w:kern w:val="0"/>
                <w:sz w:val="28"/>
                <w:szCs w:val="28"/>
                <w:highlight w:val="none"/>
              </w:rPr>
              <w:t>能够证明债权发生、变更、存续，诉讼时效中止、中断、延长的其他材料。</w:t>
            </w:r>
            <w:r>
              <w:rPr>
                <w:rFonts w:hint="eastAsia" w:ascii="仿宋" w:hAnsi="仿宋" w:eastAsia="仿宋" w:cs="仿宋"/>
                <w:i w:val="0"/>
                <w:iCs/>
                <w:snapToGrid w:val="0"/>
                <w:color w:val="auto"/>
                <w:kern w:val="0"/>
                <w:sz w:val="28"/>
                <w:szCs w:val="28"/>
                <w:highlight w:val="none"/>
                <w:u w:val="single"/>
              </w:rPr>
              <w:t>前述材料上传PDF扫描件，如果是复印件的，还须加盖公章/签字按捺手印后再扫描上传</w:t>
            </w:r>
            <w:r>
              <w:rPr>
                <w:rFonts w:hint="eastAsia" w:ascii="仿宋" w:hAnsi="仿宋" w:eastAsia="仿宋" w:cs="仿宋"/>
                <w:bCs/>
                <w:i w:val="0"/>
                <w:iCs/>
                <w:snapToGrid w:val="0"/>
                <w:color w:val="auto"/>
                <w:kern w:val="0"/>
                <w:sz w:val="28"/>
                <w:szCs w:val="28"/>
                <w:highlight w:val="none"/>
              </w:rPr>
              <w:t>，页数较多的允许在证据目录上加盖公章/签字按捺手印并加盖骑缝章/按捺骑缝手印。</w:t>
            </w:r>
          </w:p>
        </w:tc>
      </w:tr>
    </w:tbl>
    <w:p w14:paraId="321F6F3C">
      <w:pPr>
        <w:shd w:val="clear"/>
        <w:spacing w:before="156" w:beforeLines="50" w:after="156" w:afterLines="50" w:line="240" w:lineRule="auto"/>
        <w:ind w:left="482"/>
        <w:rPr>
          <w:rFonts w:hint="eastAsia" w:ascii="仿宋" w:hAnsi="仿宋" w:eastAsia="仿宋" w:cs="仿宋"/>
          <w:b/>
          <w:bCs/>
          <w:snapToGrid w:val="0"/>
          <w:kern w:val="0"/>
          <w:sz w:val="28"/>
          <w:szCs w:val="28"/>
          <w:highlight w:val="none"/>
        </w:rPr>
      </w:pPr>
    </w:p>
    <w:p w14:paraId="7AFB1D25">
      <w:pPr>
        <w:pStyle w:val="7"/>
        <w:keepNext/>
        <w:numPr>
          <w:ilvl w:val="0"/>
          <w:numId w:val="0"/>
        </w:numPr>
        <w:shd w:val="clear"/>
        <w:spacing w:before="156" w:beforeLines="50" w:after="156" w:afterLines="50" w:line="240" w:lineRule="auto"/>
        <w:ind w:leftChars="200"/>
        <w:outlineLvl w:val="0"/>
        <w:rPr>
          <w:rFonts w:hint="eastAsia" w:ascii="仿宋" w:hAnsi="仿宋" w:eastAsia="仿宋" w:cs="仿宋"/>
          <w:b/>
          <w:snapToGrid w:val="0"/>
          <w:kern w:val="0"/>
          <w:sz w:val="28"/>
          <w:szCs w:val="28"/>
          <w:highlight w:val="none"/>
        </w:rPr>
      </w:pPr>
      <w:r>
        <w:rPr>
          <w:rFonts w:hint="eastAsia" w:ascii="仿宋" w:hAnsi="仿宋" w:eastAsia="仿宋" w:cs="仿宋"/>
          <w:b/>
          <w:snapToGrid w:val="0"/>
          <w:kern w:val="0"/>
          <w:sz w:val="28"/>
          <w:szCs w:val="28"/>
          <w:highlight w:val="none"/>
          <w:lang w:val="en-US" w:eastAsia="zh-CN"/>
        </w:rPr>
        <w:t>五、</w:t>
      </w:r>
      <w:r>
        <w:rPr>
          <w:rFonts w:hint="eastAsia" w:ascii="仿宋" w:hAnsi="仿宋" w:eastAsia="仿宋" w:cs="仿宋"/>
          <w:b/>
          <w:snapToGrid w:val="0"/>
          <w:kern w:val="0"/>
          <w:sz w:val="28"/>
          <w:szCs w:val="28"/>
          <w:highlight w:val="none"/>
        </w:rPr>
        <w:t>债权人提交资料的要求</w:t>
      </w:r>
    </w:p>
    <w:p w14:paraId="0E9A182B">
      <w:pPr>
        <w:pStyle w:val="8"/>
        <w:keepNext/>
        <w:numPr>
          <w:ilvl w:val="0"/>
          <w:numId w:val="3"/>
        </w:numPr>
        <w:shd w:val="clear"/>
        <w:spacing w:before="156" w:beforeLines="50" w:after="156" w:afterLines="50" w:line="240" w:lineRule="auto"/>
        <w:ind w:left="0" w:firstLine="562"/>
        <w:rPr>
          <w:rFonts w:hint="eastAsia" w:ascii="仿宋" w:hAnsi="仿宋" w:eastAsia="仿宋" w:cs="仿宋"/>
          <w:b/>
          <w:bCs/>
          <w:snapToGrid w:val="0"/>
          <w:kern w:val="0"/>
          <w:sz w:val="28"/>
          <w:szCs w:val="28"/>
          <w:highlight w:val="none"/>
        </w:rPr>
      </w:pPr>
      <w:r>
        <w:rPr>
          <w:rFonts w:hint="eastAsia" w:ascii="仿宋" w:hAnsi="仿宋" w:eastAsia="仿宋" w:cs="仿宋"/>
          <w:b/>
          <w:bCs/>
          <w:snapToGrid w:val="0"/>
          <w:kern w:val="0"/>
          <w:sz w:val="28"/>
          <w:szCs w:val="28"/>
          <w:highlight w:val="none"/>
        </w:rPr>
        <w:t>应在确定的期限内申报债权</w:t>
      </w: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673"/>
        <w:gridCol w:w="7826"/>
      </w:tblGrid>
      <w:tr w14:paraId="27ADB7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01" w:hRule="atLeast"/>
          <w:jc w:val="center"/>
        </w:trPr>
        <w:tc>
          <w:tcPr>
            <w:tcW w:w="673" w:type="dxa"/>
            <w:shd w:val="clear" w:color="auto" w:fill="auto"/>
            <w:vAlign w:val="center"/>
          </w:tcPr>
          <w:p w14:paraId="489DE9AF">
            <w:pPr>
              <w:shd w:val="clear"/>
              <w:spacing w:before="156" w:beforeLines="50" w:after="156" w:afterLines="50" w:line="240" w:lineRule="auto"/>
              <w:jc w:val="center"/>
              <w:outlineLvl w:val="0"/>
              <w:rPr>
                <w:rFonts w:hint="eastAsia" w:ascii="仿宋" w:hAnsi="仿宋" w:eastAsia="仿宋" w:cs="仿宋"/>
                <w:b w:val="0"/>
                <w:bCs w:val="0"/>
                <w:i w:val="0"/>
                <w:iCs/>
                <w:snapToGrid w:val="0"/>
                <w:color w:val="auto"/>
                <w:kern w:val="0"/>
                <w:sz w:val="28"/>
                <w:szCs w:val="28"/>
                <w:highlight w:val="none"/>
              </w:rPr>
            </w:pPr>
            <w:r>
              <w:rPr>
                <w:rFonts w:hint="eastAsia" w:ascii="仿宋" w:hAnsi="仿宋" w:eastAsia="仿宋" w:cs="仿宋"/>
                <w:b/>
                <w:bCs/>
                <w:i w:val="0"/>
                <w:iCs/>
                <w:snapToGrid w:val="0"/>
                <w:color w:val="auto"/>
                <w:kern w:val="0"/>
                <w:sz w:val="28"/>
                <w:szCs w:val="28"/>
                <w:highlight w:val="none"/>
              </w:rPr>
              <w:t>1</w:t>
            </w:r>
          </w:p>
        </w:tc>
        <w:tc>
          <w:tcPr>
            <w:tcW w:w="7826" w:type="dxa"/>
            <w:shd w:val="clear" w:color="auto" w:fill="auto"/>
          </w:tcPr>
          <w:p w14:paraId="6D1AC406">
            <w:pPr>
              <w:shd w:val="clear"/>
              <w:spacing w:before="156" w:beforeLines="50" w:after="156" w:afterLines="50" w:line="240" w:lineRule="auto"/>
              <w:outlineLvl w:val="0"/>
              <w:rPr>
                <w:rFonts w:hint="eastAsia" w:ascii="仿宋" w:hAnsi="仿宋" w:eastAsia="仿宋" w:cs="仿宋"/>
                <w:b/>
                <w:bCs w:val="0"/>
                <w:i w:val="0"/>
                <w:iCs/>
                <w:snapToGrid w:val="0"/>
                <w:color w:val="auto"/>
                <w:kern w:val="0"/>
                <w:sz w:val="28"/>
                <w:szCs w:val="28"/>
                <w:highlight w:val="none"/>
              </w:rPr>
            </w:pPr>
            <w:r>
              <w:rPr>
                <w:rFonts w:hint="eastAsia" w:ascii="仿宋" w:hAnsi="仿宋" w:eastAsia="仿宋" w:cs="仿宋"/>
                <w:b w:val="0"/>
                <w:bCs/>
                <w:i w:val="0"/>
                <w:iCs/>
                <w:snapToGrid w:val="0"/>
                <w:color w:val="auto"/>
                <w:kern w:val="0"/>
                <w:sz w:val="28"/>
                <w:szCs w:val="28"/>
                <w:highlight w:val="none"/>
              </w:rPr>
              <w:t>债权人应当在人民法院确定的债权申报期限内向</w:t>
            </w:r>
            <w:r>
              <w:rPr>
                <w:rFonts w:hint="eastAsia" w:ascii="仿宋" w:hAnsi="仿宋" w:eastAsia="仿宋" w:cs="仿宋"/>
                <w:b w:val="0"/>
                <w:bCs/>
                <w:i w:val="0"/>
                <w:iCs/>
                <w:snapToGrid w:val="0"/>
                <w:color w:val="auto"/>
                <w:kern w:val="0"/>
                <w:sz w:val="28"/>
                <w:szCs w:val="28"/>
                <w:highlight w:val="none"/>
                <w:lang w:val="en-US" w:eastAsia="zh-CN"/>
              </w:rPr>
              <w:t>管理人</w:t>
            </w:r>
            <w:r>
              <w:rPr>
                <w:rFonts w:hint="eastAsia" w:ascii="仿宋" w:hAnsi="仿宋" w:eastAsia="仿宋" w:cs="仿宋"/>
                <w:b w:val="0"/>
                <w:bCs/>
                <w:i w:val="0"/>
                <w:iCs/>
                <w:snapToGrid w:val="0"/>
                <w:color w:val="auto"/>
                <w:kern w:val="0"/>
                <w:sz w:val="28"/>
                <w:szCs w:val="28"/>
                <w:highlight w:val="none"/>
              </w:rPr>
              <w:t>申报债权。未在上述期限内申报债权的，可以在</w:t>
            </w:r>
            <w:r>
              <w:rPr>
                <w:rFonts w:hint="eastAsia" w:ascii="仿宋" w:hAnsi="仿宋" w:eastAsia="仿宋" w:cs="仿宋"/>
                <w:b w:val="0"/>
                <w:bCs/>
                <w:i w:val="0"/>
                <w:iCs/>
                <w:snapToGrid w:val="0"/>
                <w:color w:val="auto"/>
                <w:kern w:val="0"/>
                <w:sz w:val="28"/>
                <w:szCs w:val="28"/>
                <w:highlight w:val="none"/>
                <w:lang w:val="en-US" w:eastAsia="zh-CN"/>
              </w:rPr>
              <w:t>破产</w:t>
            </w:r>
            <w:r>
              <w:rPr>
                <w:rFonts w:hint="eastAsia" w:ascii="仿宋" w:hAnsi="仿宋" w:eastAsia="仿宋" w:cs="仿宋"/>
                <w:b w:val="0"/>
                <w:bCs/>
                <w:i w:val="0"/>
                <w:iCs/>
                <w:snapToGrid w:val="0"/>
                <w:color w:val="auto"/>
                <w:kern w:val="0"/>
                <w:sz w:val="28"/>
                <w:szCs w:val="28"/>
                <w:highlight w:val="none"/>
              </w:rPr>
              <w:t>财产最后分配前补充申报，但对此前已进行的分配无权要求补充分配，同时要承担为审查和确认补充申报债权所产生的费用。</w:t>
            </w:r>
          </w:p>
          <w:p w14:paraId="36DF1823">
            <w:pPr>
              <w:shd w:val="clear"/>
              <w:spacing w:before="156" w:beforeLines="50" w:after="156" w:afterLines="50" w:line="240" w:lineRule="auto"/>
              <w:outlineLvl w:val="0"/>
              <w:rPr>
                <w:rFonts w:hint="eastAsia" w:ascii="仿宋" w:hAnsi="仿宋" w:eastAsia="仿宋" w:cs="仿宋"/>
                <w:b/>
                <w:bCs w:val="0"/>
                <w:i w:val="0"/>
                <w:iCs/>
                <w:snapToGrid w:val="0"/>
                <w:color w:val="auto"/>
                <w:kern w:val="0"/>
                <w:sz w:val="28"/>
                <w:szCs w:val="28"/>
                <w:highlight w:val="none"/>
                <w:u w:val="single"/>
              </w:rPr>
            </w:pPr>
            <w:r>
              <w:rPr>
                <w:rFonts w:hint="eastAsia" w:ascii="仿宋" w:hAnsi="仿宋" w:eastAsia="仿宋" w:cs="仿宋"/>
                <w:b w:val="0"/>
                <w:bCs/>
                <w:i w:val="0"/>
                <w:iCs/>
                <w:snapToGrid w:val="0"/>
                <w:color w:val="auto"/>
                <w:kern w:val="0"/>
                <w:sz w:val="28"/>
                <w:szCs w:val="28"/>
                <w:highlight w:val="none"/>
                <w:u w:val="single"/>
              </w:rPr>
              <w:t>为审查和确认补充申报债权的费用，由补充申报人承担。具体补充申报债权所产生的费用收取方式参照《诉讼费用交纳办法》第十三条关于财产案件受理费交纳标准，根据债权申报总金额按比例分段累计收取；补充申报的债权经法院裁定确认后，</w:t>
            </w:r>
            <w:r>
              <w:rPr>
                <w:rFonts w:hint="eastAsia" w:ascii="仿宋" w:hAnsi="仿宋" w:eastAsia="仿宋" w:cs="仿宋"/>
                <w:b w:val="0"/>
                <w:bCs/>
                <w:i w:val="0"/>
                <w:iCs/>
                <w:snapToGrid w:val="0"/>
                <w:color w:val="auto"/>
                <w:kern w:val="0"/>
                <w:sz w:val="28"/>
                <w:szCs w:val="28"/>
                <w:highlight w:val="none"/>
                <w:u w:val="single"/>
                <w:lang w:eastAsia="zh-CN"/>
              </w:rPr>
              <w:t>管理人</w:t>
            </w:r>
            <w:r>
              <w:rPr>
                <w:rFonts w:hint="eastAsia" w:ascii="仿宋" w:hAnsi="仿宋" w:eastAsia="仿宋" w:cs="仿宋"/>
                <w:b w:val="0"/>
                <w:bCs/>
                <w:i w:val="0"/>
                <w:iCs/>
                <w:snapToGrid w:val="0"/>
                <w:color w:val="auto"/>
                <w:kern w:val="0"/>
                <w:sz w:val="28"/>
                <w:szCs w:val="28"/>
                <w:highlight w:val="none"/>
                <w:u w:val="single"/>
              </w:rPr>
              <w:t>将在分配时直接对补充申报债权所产生的费用予以扣除。</w:t>
            </w:r>
          </w:p>
        </w:tc>
      </w:tr>
      <w:tr w14:paraId="19C959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 w:hRule="atLeast"/>
          <w:jc w:val="center"/>
        </w:trPr>
        <w:tc>
          <w:tcPr>
            <w:tcW w:w="673" w:type="dxa"/>
            <w:shd w:val="clear" w:color="auto" w:fill="auto"/>
            <w:vAlign w:val="center"/>
          </w:tcPr>
          <w:p w14:paraId="4E5B14F8">
            <w:pPr>
              <w:shd w:val="clear"/>
              <w:spacing w:before="156" w:beforeLines="50" w:after="156" w:afterLines="50" w:line="240" w:lineRule="auto"/>
              <w:jc w:val="center"/>
              <w:outlineLvl w:val="0"/>
              <w:rPr>
                <w:rFonts w:hint="eastAsia" w:ascii="仿宋" w:hAnsi="仿宋" w:eastAsia="仿宋" w:cs="仿宋"/>
                <w:b w:val="0"/>
                <w:bCs w:val="0"/>
                <w:i w:val="0"/>
                <w:iCs/>
                <w:snapToGrid w:val="0"/>
                <w:color w:val="auto"/>
                <w:kern w:val="0"/>
                <w:sz w:val="28"/>
                <w:szCs w:val="28"/>
                <w:highlight w:val="none"/>
              </w:rPr>
            </w:pPr>
            <w:r>
              <w:rPr>
                <w:rFonts w:hint="eastAsia" w:ascii="仿宋" w:hAnsi="仿宋" w:eastAsia="仿宋" w:cs="仿宋"/>
                <w:b/>
                <w:bCs/>
                <w:i w:val="0"/>
                <w:iCs/>
                <w:snapToGrid w:val="0"/>
                <w:color w:val="auto"/>
                <w:kern w:val="0"/>
                <w:sz w:val="28"/>
                <w:szCs w:val="28"/>
                <w:highlight w:val="none"/>
              </w:rPr>
              <w:t>2</w:t>
            </w:r>
          </w:p>
        </w:tc>
        <w:tc>
          <w:tcPr>
            <w:tcW w:w="7826" w:type="dxa"/>
            <w:shd w:val="clear" w:color="auto" w:fill="auto"/>
          </w:tcPr>
          <w:p w14:paraId="17405353">
            <w:pPr>
              <w:shd w:val="clear"/>
              <w:spacing w:before="156" w:beforeLines="50" w:after="156" w:afterLines="50" w:line="240" w:lineRule="auto"/>
              <w:outlineLvl w:val="0"/>
              <w:rPr>
                <w:rFonts w:hint="eastAsia" w:ascii="仿宋" w:hAnsi="仿宋" w:eastAsia="仿宋" w:cs="仿宋"/>
                <w:i w:val="0"/>
                <w:iCs/>
                <w:snapToGrid w:val="0"/>
                <w:color w:val="auto"/>
                <w:kern w:val="0"/>
                <w:sz w:val="28"/>
                <w:szCs w:val="28"/>
                <w:highlight w:val="none"/>
              </w:rPr>
            </w:pPr>
            <w:r>
              <w:rPr>
                <w:rFonts w:hint="eastAsia" w:ascii="仿宋" w:hAnsi="仿宋" w:eastAsia="仿宋" w:cs="仿宋"/>
                <w:i w:val="0"/>
                <w:iCs/>
                <w:snapToGrid w:val="0"/>
                <w:color w:val="auto"/>
                <w:kern w:val="0"/>
                <w:sz w:val="28"/>
                <w:szCs w:val="28"/>
                <w:highlight w:val="none"/>
              </w:rPr>
              <w:t>债权人未依法申报债权的，不得依照《企业破产法》及相关司法解释规定的程序行使权利。</w:t>
            </w:r>
          </w:p>
        </w:tc>
      </w:tr>
      <w:tr w14:paraId="45A011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618" w:hRule="atLeast"/>
          <w:jc w:val="center"/>
        </w:trPr>
        <w:tc>
          <w:tcPr>
            <w:tcW w:w="673" w:type="dxa"/>
            <w:shd w:val="clear" w:color="auto" w:fill="auto"/>
            <w:vAlign w:val="center"/>
          </w:tcPr>
          <w:p w14:paraId="5C8859E8">
            <w:pPr>
              <w:shd w:val="clear"/>
              <w:spacing w:before="156" w:beforeLines="50" w:after="156" w:afterLines="50" w:line="240" w:lineRule="auto"/>
              <w:jc w:val="center"/>
              <w:outlineLvl w:val="0"/>
              <w:rPr>
                <w:rFonts w:hint="eastAsia" w:ascii="仿宋" w:hAnsi="仿宋" w:eastAsia="仿宋" w:cs="仿宋"/>
                <w:b w:val="0"/>
                <w:bCs w:val="0"/>
                <w:i w:val="0"/>
                <w:iCs/>
                <w:snapToGrid w:val="0"/>
                <w:color w:val="auto"/>
                <w:kern w:val="0"/>
                <w:sz w:val="28"/>
                <w:szCs w:val="28"/>
                <w:highlight w:val="none"/>
              </w:rPr>
            </w:pPr>
            <w:r>
              <w:rPr>
                <w:rFonts w:hint="eastAsia" w:ascii="仿宋" w:hAnsi="仿宋" w:eastAsia="仿宋" w:cs="仿宋"/>
                <w:b/>
                <w:bCs/>
                <w:i w:val="0"/>
                <w:iCs/>
                <w:snapToGrid w:val="0"/>
                <w:color w:val="auto"/>
                <w:kern w:val="0"/>
                <w:sz w:val="28"/>
                <w:szCs w:val="28"/>
                <w:highlight w:val="none"/>
              </w:rPr>
              <w:t>3</w:t>
            </w:r>
          </w:p>
        </w:tc>
        <w:tc>
          <w:tcPr>
            <w:tcW w:w="7826" w:type="dxa"/>
            <w:shd w:val="clear" w:color="auto" w:fill="auto"/>
          </w:tcPr>
          <w:p w14:paraId="75EDFA16">
            <w:pPr>
              <w:shd w:val="clear"/>
              <w:spacing w:before="156" w:beforeLines="50" w:after="156" w:afterLines="50" w:line="240" w:lineRule="auto"/>
              <w:outlineLvl w:val="0"/>
              <w:rPr>
                <w:rFonts w:hint="eastAsia" w:ascii="仿宋" w:hAnsi="仿宋" w:eastAsia="仿宋" w:cs="仿宋"/>
                <w:i w:val="0"/>
                <w:iCs/>
                <w:snapToGrid w:val="0"/>
                <w:color w:val="auto"/>
                <w:kern w:val="0"/>
                <w:sz w:val="28"/>
                <w:szCs w:val="28"/>
                <w:highlight w:val="none"/>
              </w:rPr>
            </w:pPr>
            <w:r>
              <w:rPr>
                <w:rFonts w:hint="eastAsia" w:ascii="仿宋" w:hAnsi="仿宋" w:eastAsia="仿宋" w:cs="仿宋"/>
                <w:i w:val="0"/>
                <w:iCs/>
                <w:snapToGrid w:val="0"/>
                <w:color w:val="auto"/>
                <w:kern w:val="0"/>
                <w:sz w:val="28"/>
                <w:szCs w:val="28"/>
                <w:highlight w:val="none"/>
              </w:rPr>
              <w:t>债权人申报债权时应提交相关文件材料以证明债权存在以及金额，</w:t>
            </w:r>
            <w:r>
              <w:rPr>
                <w:rFonts w:hint="eastAsia" w:ascii="仿宋" w:hAnsi="仿宋" w:eastAsia="仿宋" w:cs="仿宋"/>
                <w:i w:val="0"/>
                <w:iCs/>
                <w:snapToGrid w:val="0"/>
                <w:color w:val="auto"/>
                <w:kern w:val="0"/>
                <w:sz w:val="28"/>
                <w:szCs w:val="28"/>
                <w:highlight w:val="none"/>
                <w:lang w:eastAsia="zh-CN"/>
              </w:rPr>
              <w:t>管理人</w:t>
            </w:r>
            <w:r>
              <w:rPr>
                <w:rFonts w:hint="eastAsia" w:ascii="仿宋" w:hAnsi="仿宋" w:eastAsia="仿宋" w:cs="仿宋"/>
                <w:i w:val="0"/>
                <w:iCs/>
                <w:snapToGrid w:val="0"/>
                <w:color w:val="auto"/>
                <w:kern w:val="0"/>
                <w:sz w:val="28"/>
                <w:szCs w:val="28"/>
                <w:highlight w:val="none"/>
              </w:rPr>
              <w:t>如认为其提交文件材料不完整，可要求债权人补充提交文件材料。如债权人未按照要求补充资料，或未补充资料的，视为撤回债权申报处理。</w:t>
            </w:r>
          </w:p>
        </w:tc>
      </w:tr>
      <w:tr w14:paraId="45DE9C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 w:hRule="atLeast"/>
          <w:jc w:val="center"/>
        </w:trPr>
        <w:tc>
          <w:tcPr>
            <w:tcW w:w="673" w:type="dxa"/>
            <w:shd w:val="clear" w:color="auto" w:fill="auto"/>
            <w:vAlign w:val="center"/>
          </w:tcPr>
          <w:p w14:paraId="28DBCB1F">
            <w:pPr>
              <w:shd w:val="clear"/>
              <w:spacing w:before="156" w:beforeLines="50" w:after="156" w:afterLines="50" w:line="240" w:lineRule="auto"/>
              <w:jc w:val="center"/>
              <w:outlineLvl w:val="0"/>
              <w:rPr>
                <w:rFonts w:hint="eastAsia" w:ascii="仿宋" w:hAnsi="仿宋" w:eastAsia="仿宋" w:cs="仿宋"/>
                <w:b w:val="0"/>
                <w:bCs w:val="0"/>
                <w:i w:val="0"/>
                <w:iCs/>
                <w:snapToGrid w:val="0"/>
                <w:color w:val="auto"/>
                <w:kern w:val="0"/>
                <w:sz w:val="28"/>
                <w:szCs w:val="28"/>
                <w:highlight w:val="none"/>
              </w:rPr>
            </w:pPr>
            <w:r>
              <w:rPr>
                <w:rFonts w:hint="eastAsia" w:ascii="仿宋" w:hAnsi="仿宋" w:eastAsia="仿宋" w:cs="仿宋"/>
                <w:b/>
                <w:bCs/>
                <w:i w:val="0"/>
                <w:iCs/>
                <w:snapToGrid w:val="0"/>
                <w:color w:val="auto"/>
                <w:kern w:val="0"/>
                <w:sz w:val="28"/>
                <w:szCs w:val="28"/>
                <w:highlight w:val="none"/>
              </w:rPr>
              <w:t>4</w:t>
            </w:r>
          </w:p>
        </w:tc>
        <w:tc>
          <w:tcPr>
            <w:tcW w:w="7826" w:type="dxa"/>
            <w:shd w:val="clear" w:color="auto" w:fill="auto"/>
          </w:tcPr>
          <w:p w14:paraId="130C35F0">
            <w:pPr>
              <w:shd w:val="clear"/>
              <w:spacing w:before="156" w:beforeLines="50" w:after="156" w:afterLines="50" w:line="240" w:lineRule="auto"/>
              <w:outlineLvl w:val="0"/>
              <w:rPr>
                <w:rFonts w:hint="eastAsia" w:ascii="仿宋" w:hAnsi="仿宋" w:eastAsia="仿宋" w:cs="仿宋"/>
                <w:i w:val="0"/>
                <w:iCs/>
                <w:snapToGrid w:val="0"/>
                <w:color w:val="auto"/>
                <w:kern w:val="0"/>
                <w:sz w:val="28"/>
                <w:szCs w:val="28"/>
                <w:highlight w:val="none"/>
              </w:rPr>
            </w:pPr>
            <w:r>
              <w:rPr>
                <w:rFonts w:hint="eastAsia" w:ascii="仿宋" w:hAnsi="仿宋" w:eastAsia="仿宋" w:cs="仿宋"/>
                <w:i w:val="0"/>
                <w:iCs/>
                <w:snapToGrid w:val="0"/>
                <w:color w:val="auto"/>
                <w:kern w:val="0"/>
                <w:sz w:val="28"/>
                <w:szCs w:val="28"/>
                <w:highlight w:val="none"/>
              </w:rPr>
              <w:t>债权人有义务保证其提交的文件资料与原件相一致，并长期、持续保管相关债权申报资料中复印件所对应的原件，本项承诺在债权人提交复印件资料的同时生效。</w:t>
            </w:r>
          </w:p>
          <w:p w14:paraId="567DEB36">
            <w:pPr>
              <w:shd w:val="clear"/>
              <w:spacing w:before="156" w:beforeLines="50" w:after="156" w:afterLines="50" w:line="240" w:lineRule="auto"/>
              <w:outlineLvl w:val="0"/>
              <w:rPr>
                <w:rFonts w:hint="eastAsia" w:ascii="仿宋" w:hAnsi="仿宋" w:eastAsia="仿宋" w:cs="仿宋"/>
                <w:i w:val="0"/>
                <w:iCs/>
                <w:snapToGrid w:val="0"/>
                <w:color w:val="auto"/>
                <w:kern w:val="0"/>
                <w:sz w:val="28"/>
                <w:szCs w:val="28"/>
                <w:highlight w:val="none"/>
              </w:rPr>
            </w:pPr>
            <w:r>
              <w:rPr>
                <w:rFonts w:hint="eastAsia" w:ascii="仿宋" w:hAnsi="仿宋" w:eastAsia="仿宋" w:cs="仿宋"/>
                <w:i w:val="0"/>
                <w:iCs/>
                <w:snapToGrid w:val="0"/>
                <w:color w:val="auto"/>
                <w:kern w:val="0"/>
                <w:sz w:val="28"/>
                <w:szCs w:val="28"/>
                <w:highlight w:val="none"/>
              </w:rPr>
              <w:t>在</w:t>
            </w:r>
            <w:r>
              <w:rPr>
                <w:rFonts w:hint="eastAsia" w:ascii="仿宋" w:hAnsi="仿宋" w:eastAsia="仿宋" w:cs="仿宋"/>
                <w:i w:val="0"/>
                <w:iCs/>
                <w:snapToGrid w:val="0"/>
                <w:color w:val="auto"/>
                <w:kern w:val="0"/>
                <w:sz w:val="28"/>
                <w:szCs w:val="28"/>
                <w:highlight w:val="none"/>
                <w:lang w:val="en-US" w:eastAsia="zh-CN"/>
              </w:rPr>
              <w:t>破产管理人</w:t>
            </w:r>
            <w:r>
              <w:rPr>
                <w:rFonts w:hint="eastAsia" w:ascii="仿宋" w:hAnsi="仿宋" w:eastAsia="仿宋" w:cs="仿宋"/>
                <w:i w:val="0"/>
                <w:iCs/>
                <w:snapToGrid w:val="0"/>
                <w:color w:val="auto"/>
                <w:kern w:val="0"/>
                <w:sz w:val="28"/>
                <w:szCs w:val="28"/>
                <w:highlight w:val="none"/>
              </w:rPr>
              <w:t>、其他债权人、债务人、债务人职工或其他利害关系人依据《企业破产法》及相关司法解释之规定要求核对债权人的债权申报资料时，债权人有义务予以配合。</w:t>
            </w:r>
          </w:p>
          <w:p w14:paraId="37B56B35">
            <w:pPr>
              <w:shd w:val="clear"/>
              <w:spacing w:before="156" w:beforeLines="50" w:after="156" w:afterLines="50" w:line="240" w:lineRule="auto"/>
              <w:outlineLvl w:val="0"/>
              <w:rPr>
                <w:rFonts w:hint="eastAsia" w:ascii="仿宋" w:hAnsi="仿宋" w:eastAsia="仿宋" w:cs="仿宋"/>
                <w:i w:val="0"/>
                <w:iCs/>
                <w:snapToGrid w:val="0"/>
                <w:color w:val="auto"/>
                <w:kern w:val="0"/>
                <w:sz w:val="28"/>
                <w:szCs w:val="28"/>
                <w:highlight w:val="none"/>
              </w:rPr>
            </w:pPr>
            <w:r>
              <w:rPr>
                <w:rFonts w:hint="eastAsia" w:ascii="仿宋" w:hAnsi="仿宋" w:eastAsia="仿宋" w:cs="仿宋"/>
                <w:i w:val="0"/>
                <w:iCs/>
                <w:snapToGrid w:val="0"/>
                <w:color w:val="auto"/>
                <w:kern w:val="0"/>
                <w:sz w:val="28"/>
                <w:szCs w:val="28"/>
                <w:highlight w:val="none"/>
              </w:rPr>
              <w:t>如债权人无法提供原件或提供的原件与复印件不一致的，所产生的不利法律后果（如债权无法确认等）由债权人自行承担。</w:t>
            </w:r>
          </w:p>
        </w:tc>
      </w:tr>
    </w:tbl>
    <w:p w14:paraId="0813C4B5">
      <w:pPr>
        <w:pStyle w:val="8"/>
        <w:keepNext/>
        <w:numPr>
          <w:ilvl w:val="0"/>
          <w:numId w:val="3"/>
        </w:numPr>
        <w:shd w:val="clear"/>
        <w:spacing w:before="156" w:beforeLines="50" w:after="156" w:afterLines="50" w:line="240" w:lineRule="auto"/>
        <w:ind w:left="0" w:firstLine="562"/>
        <w:rPr>
          <w:rFonts w:hint="eastAsia" w:ascii="仿宋" w:hAnsi="仿宋" w:eastAsia="仿宋" w:cs="仿宋"/>
          <w:b/>
          <w:bCs/>
          <w:snapToGrid w:val="0"/>
          <w:kern w:val="0"/>
          <w:sz w:val="28"/>
          <w:szCs w:val="28"/>
          <w:highlight w:val="none"/>
        </w:rPr>
      </w:pPr>
      <w:r>
        <w:rPr>
          <w:rFonts w:hint="eastAsia" w:ascii="仿宋" w:hAnsi="仿宋" w:eastAsia="仿宋" w:cs="仿宋"/>
          <w:b/>
          <w:bCs/>
          <w:snapToGrid w:val="0"/>
          <w:kern w:val="0"/>
          <w:sz w:val="28"/>
          <w:szCs w:val="28"/>
          <w:highlight w:val="none"/>
        </w:rPr>
        <w:t>提交资料的公证与认证</w:t>
      </w:r>
    </w:p>
    <w:p w14:paraId="796E0E45">
      <w:pPr>
        <w:shd w:val="clear"/>
        <w:spacing w:before="156" w:beforeLines="50" w:after="156" w:afterLines="50" w:line="240" w:lineRule="auto"/>
        <w:ind w:firstLine="560" w:firstLineChars="200"/>
        <w:outlineLvl w:val="0"/>
        <w:rPr>
          <w:rFonts w:hint="eastAsia" w:ascii="仿宋" w:hAnsi="仿宋" w:eastAsia="仿宋" w:cs="仿宋"/>
          <w:snapToGrid w:val="0"/>
          <w:kern w:val="0"/>
          <w:sz w:val="28"/>
          <w:szCs w:val="28"/>
          <w:highlight w:val="none"/>
        </w:rPr>
      </w:pPr>
      <w:r>
        <w:rPr>
          <w:rFonts w:hint="eastAsia" w:ascii="仿宋" w:hAnsi="仿宋" w:eastAsia="仿宋" w:cs="仿宋"/>
          <w:snapToGrid w:val="0"/>
          <w:kern w:val="0"/>
          <w:sz w:val="28"/>
          <w:szCs w:val="28"/>
          <w:highlight w:val="none"/>
        </w:rPr>
        <w:t>如债权人为境外或属境外企业，债权人提交的所有材料均需经过有公证资质的公证机构公证和领事机构或其他指定机构认证。以下各地区、国家公证认证程序</w:t>
      </w:r>
      <w:r>
        <w:rPr>
          <w:rFonts w:hint="eastAsia" w:ascii="仿宋" w:hAnsi="仿宋" w:eastAsia="仿宋" w:cs="仿宋"/>
          <w:b/>
          <w:snapToGrid w:val="0"/>
          <w:kern w:val="0"/>
          <w:sz w:val="28"/>
          <w:szCs w:val="28"/>
          <w:highlight w:val="none"/>
          <w:u w:val="single"/>
        </w:rPr>
        <w:t>仅供参考，实际程序需咨询所在地公证认证机构</w:t>
      </w:r>
      <w:r>
        <w:rPr>
          <w:rFonts w:hint="eastAsia" w:ascii="仿宋" w:hAnsi="仿宋" w:eastAsia="仿宋" w:cs="仿宋"/>
          <w:snapToGrid w:val="0"/>
          <w:kern w:val="0"/>
          <w:sz w:val="28"/>
          <w:szCs w:val="28"/>
          <w:highlight w:val="none"/>
        </w:rPr>
        <w:t>：</w:t>
      </w:r>
    </w:p>
    <w:p w14:paraId="0E2667F4">
      <w:pPr>
        <w:pStyle w:val="8"/>
        <w:keepNext/>
        <w:numPr>
          <w:ilvl w:val="0"/>
          <w:numId w:val="4"/>
        </w:numPr>
        <w:shd w:val="clear"/>
        <w:spacing w:before="156" w:beforeLines="50" w:after="156" w:afterLines="50" w:line="240" w:lineRule="auto"/>
        <w:ind w:left="0" w:firstLine="562"/>
        <w:rPr>
          <w:rFonts w:hint="eastAsia" w:ascii="仿宋" w:hAnsi="仿宋" w:eastAsia="仿宋" w:cs="仿宋"/>
          <w:b/>
          <w:snapToGrid w:val="0"/>
          <w:kern w:val="0"/>
          <w:sz w:val="28"/>
          <w:szCs w:val="28"/>
          <w:highlight w:val="none"/>
        </w:rPr>
      </w:pPr>
      <w:r>
        <w:rPr>
          <w:rFonts w:hint="eastAsia" w:ascii="仿宋" w:hAnsi="仿宋" w:eastAsia="仿宋" w:cs="仿宋"/>
          <w:b/>
          <w:snapToGrid w:val="0"/>
          <w:kern w:val="0"/>
          <w:sz w:val="28"/>
          <w:szCs w:val="28"/>
          <w:highlight w:val="none"/>
        </w:rPr>
        <w:t>香港特别行政区的公证认证程序</w:t>
      </w:r>
    </w:p>
    <w:p w14:paraId="726EAAEB">
      <w:pPr>
        <w:pStyle w:val="8"/>
        <w:numPr>
          <w:ilvl w:val="0"/>
          <w:numId w:val="2"/>
        </w:numPr>
        <w:shd w:val="clear"/>
        <w:spacing w:before="156" w:beforeLines="50" w:after="156" w:afterLines="50" w:line="240" w:lineRule="auto"/>
        <w:ind w:left="987" w:firstLineChars="0"/>
        <w:rPr>
          <w:rFonts w:hint="eastAsia" w:ascii="仿宋" w:hAnsi="仿宋" w:eastAsia="仿宋" w:cs="仿宋"/>
          <w:snapToGrid w:val="0"/>
          <w:kern w:val="0"/>
          <w:sz w:val="28"/>
          <w:szCs w:val="28"/>
          <w:highlight w:val="none"/>
        </w:rPr>
      </w:pPr>
      <w:r>
        <w:rPr>
          <w:rFonts w:hint="eastAsia" w:ascii="仿宋" w:hAnsi="仿宋" w:eastAsia="仿宋" w:cs="仿宋"/>
          <w:snapToGrid w:val="0"/>
          <w:kern w:val="0"/>
          <w:sz w:val="28"/>
          <w:szCs w:val="28"/>
          <w:highlight w:val="none"/>
        </w:rPr>
        <w:t>委托中国司法部指定的香港公证机构做公证（包括查核和公证）；</w:t>
      </w:r>
    </w:p>
    <w:p w14:paraId="1A9FEAD1">
      <w:pPr>
        <w:pStyle w:val="8"/>
        <w:numPr>
          <w:ilvl w:val="0"/>
          <w:numId w:val="2"/>
        </w:numPr>
        <w:shd w:val="clear"/>
        <w:spacing w:before="156" w:beforeLines="50" w:after="156" w:afterLines="50" w:line="240" w:lineRule="auto"/>
        <w:ind w:left="987" w:firstLineChars="0"/>
        <w:rPr>
          <w:rFonts w:hint="eastAsia" w:ascii="仿宋" w:hAnsi="仿宋" w:eastAsia="仿宋" w:cs="仿宋"/>
          <w:snapToGrid w:val="0"/>
          <w:kern w:val="0"/>
          <w:sz w:val="28"/>
          <w:szCs w:val="28"/>
          <w:highlight w:val="none"/>
        </w:rPr>
      </w:pPr>
      <w:r>
        <w:rPr>
          <w:rFonts w:hint="eastAsia" w:ascii="仿宋" w:hAnsi="仿宋" w:eastAsia="仿宋" w:cs="仿宋"/>
          <w:snapToGrid w:val="0"/>
          <w:kern w:val="0"/>
          <w:sz w:val="28"/>
          <w:szCs w:val="28"/>
          <w:highlight w:val="none"/>
        </w:rPr>
        <w:t>委托香港律师到中国法律服务（香港）有限公司加盖转递章即可。</w:t>
      </w:r>
    </w:p>
    <w:p w14:paraId="040007B5">
      <w:pPr>
        <w:pStyle w:val="8"/>
        <w:keepNext/>
        <w:numPr>
          <w:ilvl w:val="0"/>
          <w:numId w:val="4"/>
        </w:numPr>
        <w:shd w:val="clear"/>
        <w:spacing w:before="156" w:beforeLines="50" w:after="156" w:afterLines="50" w:line="240" w:lineRule="auto"/>
        <w:ind w:left="0" w:firstLine="562"/>
        <w:rPr>
          <w:rFonts w:hint="eastAsia" w:ascii="仿宋" w:hAnsi="仿宋" w:eastAsia="仿宋" w:cs="仿宋"/>
          <w:b/>
          <w:snapToGrid w:val="0"/>
          <w:kern w:val="0"/>
          <w:sz w:val="28"/>
          <w:szCs w:val="28"/>
          <w:highlight w:val="none"/>
        </w:rPr>
      </w:pPr>
      <w:r>
        <w:rPr>
          <w:rFonts w:hint="eastAsia" w:ascii="仿宋" w:hAnsi="仿宋" w:eastAsia="仿宋" w:cs="仿宋"/>
          <w:b/>
          <w:snapToGrid w:val="0"/>
          <w:kern w:val="0"/>
          <w:sz w:val="28"/>
          <w:szCs w:val="28"/>
          <w:highlight w:val="none"/>
        </w:rPr>
        <w:t>台湾地区的公证认证程序</w:t>
      </w:r>
    </w:p>
    <w:p w14:paraId="10344B93">
      <w:pPr>
        <w:pStyle w:val="8"/>
        <w:numPr>
          <w:ilvl w:val="0"/>
          <w:numId w:val="2"/>
        </w:numPr>
        <w:shd w:val="clear"/>
        <w:spacing w:before="156" w:beforeLines="50" w:after="156" w:afterLines="50" w:line="240" w:lineRule="auto"/>
        <w:ind w:left="987" w:firstLineChars="0"/>
        <w:rPr>
          <w:rFonts w:hint="eastAsia" w:ascii="仿宋" w:hAnsi="仿宋" w:eastAsia="仿宋" w:cs="仿宋"/>
          <w:snapToGrid w:val="0"/>
          <w:kern w:val="0"/>
          <w:sz w:val="28"/>
          <w:szCs w:val="28"/>
          <w:highlight w:val="none"/>
        </w:rPr>
      </w:pPr>
      <w:r>
        <w:rPr>
          <w:rFonts w:hint="eastAsia" w:ascii="仿宋" w:hAnsi="仿宋" w:eastAsia="仿宋" w:cs="仿宋"/>
          <w:snapToGrid w:val="0"/>
          <w:kern w:val="0"/>
          <w:sz w:val="28"/>
          <w:szCs w:val="28"/>
          <w:highlight w:val="none"/>
        </w:rPr>
        <w:t>到台湾公证机关公证；</w:t>
      </w:r>
    </w:p>
    <w:p w14:paraId="41440F4F">
      <w:pPr>
        <w:pStyle w:val="8"/>
        <w:numPr>
          <w:ilvl w:val="0"/>
          <w:numId w:val="2"/>
        </w:numPr>
        <w:shd w:val="clear"/>
        <w:spacing w:before="156" w:beforeLines="50" w:after="156" w:afterLines="50" w:line="240" w:lineRule="auto"/>
        <w:ind w:left="987" w:firstLineChars="0"/>
        <w:rPr>
          <w:rFonts w:hint="eastAsia" w:ascii="仿宋" w:hAnsi="仿宋" w:eastAsia="仿宋" w:cs="仿宋"/>
          <w:snapToGrid w:val="0"/>
          <w:kern w:val="0"/>
          <w:sz w:val="28"/>
          <w:szCs w:val="28"/>
          <w:highlight w:val="none"/>
        </w:rPr>
      </w:pPr>
      <w:r>
        <w:rPr>
          <w:rFonts w:hint="eastAsia" w:ascii="仿宋" w:hAnsi="仿宋" w:eastAsia="仿宋" w:cs="仿宋"/>
          <w:snapToGrid w:val="0"/>
          <w:kern w:val="0"/>
          <w:sz w:val="28"/>
          <w:szCs w:val="28"/>
          <w:highlight w:val="none"/>
        </w:rPr>
        <w:t>台湾公证机关将公证文书副本寄交大陆公证员协会；</w:t>
      </w:r>
    </w:p>
    <w:p w14:paraId="6B0C196C">
      <w:pPr>
        <w:pStyle w:val="8"/>
        <w:numPr>
          <w:ilvl w:val="0"/>
          <w:numId w:val="2"/>
        </w:numPr>
        <w:shd w:val="clear"/>
        <w:spacing w:before="156" w:beforeLines="50" w:after="156" w:afterLines="50" w:line="240" w:lineRule="auto"/>
        <w:ind w:left="987" w:firstLineChars="0"/>
        <w:rPr>
          <w:rFonts w:hint="eastAsia" w:ascii="仿宋" w:hAnsi="仿宋" w:eastAsia="仿宋" w:cs="仿宋"/>
          <w:snapToGrid w:val="0"/>
          <w:kern w:val="0"/>
          <w:sz w:val="28"/>
          <w:szCs w:val="28"/>
          <w:highlight w:val="none"/>
        </w:rPr>
      </w:pPr>
      <w:r>
        <w:rPr>
          <w:rFonts w:hint="eastAsia" w:ascii="仿宋" w:hAnsi="仿宋" w:eastAsia="仿宋" w:cs="仿宋"/>
          <w:snapToGrid w:val="0"/>
          <w:kern w:val="0"/>
          <w:sz w:val="28"/>
          <w:szCs w:val="28"/>
          <w:highlight w:val="none"/>
        </w:rPr>
        <w:t>大陆一方将公证文书拿到公证员协会做核证，核证后即可使用。</w:t>
      </w:r>
    </w:p>
    <w:p w14:paraId="4A382843">
      <w:pPr>
        <w:pStyle w:val="8"/>
        <w:keepNext/>
        <w:numPr>
          <w:ilvl w:val="0"/>
          <w:numId w:val="4"/>
        </w:numPr>
        <w:shd w:val="clear"/>
        <w:spacing w:before="156" w:beforeLines="50" w:after="156" w:afterLines="50" w:line="240" w:lineRule="auto"/>
        <w:ind w:left="0" w:firstLine="562"/>
        <w:rPr>
          <w:rFonts w:hint="eastAsia" w:ascii="仿宋" w:hAnsi="仿宋" w:eastAsia="仿宋" w:cs="仿宋"/>
          <w:b/>
          <w:snapToGrid w:val="0"/>
          <w:kern w:val="0"/>
          <w:sz w:val="28"/>
          <w:szCs w:val="28"/>
          <w:highlight w:val="none"/>
        </w:rPr>
      </w:pPr>
      <w:r>
        <w:rPr>
          <w:rFonts w:hint="eastAsia" w:ascii="仿宋" w:hAnsi="仿宋" w:eastAsia="仿宋" w:cs="仿宋"/>
          <w:b/>
          <w:snapToGrid w:val="0"/>
          <w:kern w:val="0"/>
          <w:sz w:val="28"/>
          <w:szCs w:val="28"/>
          <w:highlight w:val="none"/>
        </w:rPr>
        <w:t>国外的公证认证程序</w:t>
      </w:r>
    </w:p>
    <w:p w14:paraId="676D7F0F">
      <w:pPr>
        <w:pStyle w:val="8"/>
        <w:numPr>
          <w:ilvl w:val="0"/>
          <w:numId w:val="2"/>
        </w:numPr>
        <w:shd w:val="clear"/>
        <w:spacing w:before="156" w:beforeLines="50" w:after="156" w:afterLines="50" w:line="240" w:lineRule="auto"/>
        <w:ind w:left="987" w:firstLineChars="0"/>
        <w:rPr>
          <w:rFonts w:hint="eastAsia" w:ascii="仿宋" w:hAnsi="仿宋" w:eastAsia="仿宋" w:cs="仿宋"/>
          <w:snapToGrid w:val="0"/>
          <w:kern w:val="0"/>
          <w:sz w:val="28"/>
          <w:szCs w:val="28"/>
          <w:highlight w:val="none"/>
        </w:rPr>
      </w:pPr>
      <w:r>
        <w:rPr>
          <w:rFonts w:hint="eastAsia" w:ascii="仿宋" w:hAnsi="仿宋" w:eastAsia="仿宋" w:cs="仿宋"/>
          <w:snapToGrid w:val="0"/>
          <w:kern w:val="0"/>
          <w:sz w:val="28"/>
          <w:szCs w:val="28"/>
          <w:highlight w:val="none"/>
        </w:rPr>
        <w:t>将进行公证的材料送公证机构/人员公证；</w:t>
      </w:r>
    </w:p>
    <w:p w14:paraId="6EB051CA">
      <w:pPr>
        <w:pStyle w:val="8"/>
        <w:numPr>
          <w:ilvl w:val="0"/>
          <w:numId w:val="2"/>
        </w:numPr>
        <w:shd w:val="clear"/>
        <w:spacing w:before="156" w:beforeLines="50" w:after="156" w:afterLines="50" w:line="240" w:lineRule="auto"/>
        <w:ind w:left="987" w:firstLineChars="0"/>
        <w:rPr>
          <w:rFonts w:hint="eastAsia" w:ascii="仿宋" w:hAnsi="仿宋" w:eastAsia="仿宋" w:cs="仿宋"/>
          <w:snapToGrid w:val="0"/>
          <w:kern w:val="0"/>
          <w:sz w:val="28"/>
          <w:szCs w:val="28"/>
          <w:highlight w:val="none"/>
        </w:rPr>
      </w:pPr>
      <w:r>
        <w:rPr>
          <w:rFonts w:hint="eastAsia" w:ascii="仿宋" w:hAnsi="仿宋" w:eastAsia="仿宋" w:cs="仿宋"/>
          <w:snapToGrid w:val="0"/>
          <w:kern w:val="0"/>
          <w:sz w:val="28"/>
          <w:szCs w:val="28"/>
          <w:highlight w:val="none"/>
        </w:rPr>
        <w:t>将经过该国外交部门认证的材料送中国驻该国使领馆进行认证即可。</w:t>
      </w:r>
    </w:p>
    <w:p w14:paraId="7D3EAF6F">
      <w:pPr>
        <w:shd w:val="clear"/>
        <w:spacing w:before="156" w:beforeLines="50" w:after="156" w:afterLines="50" w:line="240" w:lineRule="auto"/>
        <w:ind w:firstLine="560" w:firstLineChars="200"/>
        <w:outlineLvl w:val="0"/>
        <w:rPr>
          <w:rFonts w:hint="eastAsia" w:ascii="仿宋" w:hAnsi="仿宋" w:eastAsia="仿宋" w:cs="仿宋"/>
          <w:snapToGrid w:val="0"/>
          <w:kern w:val="0"/>
          <w:sz w:val="28"/>
          <w:szCs w:val="28"/>
          <w:highlight w:val="none"/>
        </w:rPr>
      </w:pPr>
    </w:p>
    <w:p w14:paraId="68DD3BAB">
      <w:pPr>
        <w:pStyle w:val="7"/>
        <w:keepNext/>
        <w:numPr>
          <w:ilvl w:val="0"/>
          <w:numId w:val="0"/>
        </w:numPr>
        <w:shd w:val="clear"/>
        <w:spacing w:before="156" w:beforeLines="50" w:after="156" w:afterLines="50" w:line="240" w:lineRule="auto"/>
        <w:ind w:leftChars="200"/>
        <w:outlineLvl w:val="0"/>
        <w:rPr>
          <w:rFonts w:hint="eastAsia" w:ascii="仿宋" w:hAnsi="仿宋" w:eastAsia="仿宋" w:cs="仿宋"/>
          <w:b/>
          <w:snapToGrid w:val="0"/>
          <w:kern w:val="0"/>
          <w:sz w:val="28"/>
          <w:szCs w:val="28"/>
          <w:highlight w:val="none"/>
        </w:rPr>
      </w:pPr>
      <w:r>
        <w:rPr>
          <w:rFonts w:hint="eastAsia" w:ascii="仿宋" w:hAnsi="仿宋" w:eastAsia="仿宋" w:cs="仿宋"/>
          <w:b/>
          <w:snapToGrid w:val="0"/>
          <w:kern w:val="0"/>
          <w:sz w:val="28"/>
          <w:szCs w:val="28"/>
          <w:highlight w:val="none"/>
          <w:lang w:val="en-US" w:eastAsia="zh-CN"/>
        </w:rPr>
        <w:t>六、</w:t>
      </w:r>
      <w:r>
        <w:rPr>
          <w:rFonts w:hint="eastAsia" w:ascii="仿宋" w:hAnsi="仿宋" w:eastAsia="仿宋" w:cs="仿宋"/>
          <w:b/>
          <w:snapToGrid w:val="0"/>
          <w:kern w:val="0"/>
          <w:sz w:val="28"/>
          <w:szCs w:val="28"/>
          <w:highlight w:val="none"/>
        </w:rPr>
        <w:t>特别提示</w:t>
      </w:r>
    </w:p>
    <w:tbl>
      <w:tblPr>
        <w:tblStyle w:val="9"/>
        <w:tblW w:w="92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739"/>
        <w:gridCol w:w="8500"/>
      </w:tblGrid>
      <w:tr w14:paraId="234DD9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78" w:hRule="atLeast"/>
          <w:jc w:val="center"/>
        </w:trPr>
        <w:tc>
          <w:tcPr>
            <w:tcW w:w="739" w:type="dxa"/>
            <w:shd w:val="clear" w:color="auto" w:fill="auto"/>
            <w:vAlign w:val="center"/>
          </w:tcPr>
          <w:p w14:paraId="0A470330">
            <w:pPr>
              <w:shd w:val="clear"/>
              <w:spacing w:before="156" w:beforeLines="50" w:after="156" w:afterLines="50" w:line="240" w:lineRule="auto"/>
              <w:jc w:val="center"/>
              <w:outlineLvl w:val="0"/>
              <w:rPr>
                <w:rFonts w:hint="eastAsia" w:ascii="仿宋" w:hAnsi="仿宋" w:eastAsia="仿宋" w:cs="仿宋"/>
                <w:b w:val="0"/>
                <w:bCs w:val="0"/>
                <w:i w:val="0"/>
                <w:iCs/>
                <w:snapToGrid w:val="0"/>
                <w:color w:val="auto"/>
                <w:kern w:val="0"/>
                <w:sz w:val="28"/>
                <w:szCs w:val="28"/>
                <w:highlight w:val="none"/>
              </w:rPr>
            </w:pPr>
            <w:r>
              <w:rPr>
                <w:rFonts w:hint="eastAsia" w:ascii="仿宋" w:hAnsi="仿宋" w:eastAsia="仿宋" w:cs="仿宋"/>
                <w:b/>
                <w:bCs/>
                <w:i w:val="0"/>
                <w:iCs/>
                <w:snapToGrid w:val="0"/>
                <w:color w:val="auto"/>
                <w:kern w:val="0"/>
                <w:sz w:val="28"/>
                <w:szCs w:val="28"/>
                <w:highlight w:val="none"/>
              </w:rPr>
              <w:t>1</w:t>
            </w:r>
          </w:p>
        </w:tc>
        <w:tc>
          <w:tcPr>
            <w:tcW w:w="8500" w:type="dxa"/>
            <w:shd w:val="clear" w:color="auto" w:fill="auto"/>
          </w:tcPr>
          <w:p w14:paraId="615209C6">
            <w:pPr>
              <w:shd w:val="clear"/>
              <w:spacing w:before="156" w:beforeLines="50" w:after="156" w:afterLines="50" w:line="240" w:lineRule="auto"/>
              <w:outlineLvl w:val="0"/>
              <w:rPr>
                <w:rFonts w:hint="eastAsia" w:ascii="仿宋" w:hAnsi="仿宋" w:eastAsia="仿宋" w:cs="仿宋"/>
                <w:b/>
                <w:bCs w:val="0"/>
                <w:i w:val="0"/>
                <w:iCs/>
                <w:snapToGrid w:val="0"/>
                <w:color w:val="auto"/>
                <w:kern w:val="0"/>
                <w:sz w:val="28"/>
                <w:szCs w:val="28"/>
                <w:highlight w:val="none"/>
              </w:rPr>
            </w:pPr>
            <w:r>
              <w:rPr>
                <w:rFonts w:hint="eastAsia" w:ascii="仿宋" w:hAnsi="仿宋" w:eastAsia="仿宋" w:cs="仿宋"/>
                <w:b w:val="0"/>
                <w:bCs/>
                <w:i w:val="0"/>
                <w:iCs/>
                <w:snapToGrid w:val="0"/>
                <w:color w:val="auto"/>
                <w:kern w:val="0"/>
                <w:sz w:val="28"/>
                <w:szCs w:val="28"/>
                <w:highlight w:val="none"/>
              </w:rPr>
              <w:t>本《债权申报指引》只是针对债权人申报债权时注意事项及风险告知的特别提示，文本中加粗字体及下划线部分请债权人予以合理关注。本指引不视为</w:t>
            </w:r>
            <w:r>
              <w:rPr>
                <w:rFonts w:hint="eastAsia" w:ascii="仿宋" w:hAnsi="仿宋" w:eastAsia="仿宋" w:cs="仿宋"/>
                <w:b w:val="0"/>
                <w:bCs/>
                <w:i w:val="0"/>
                <w:iCs/>
                <w:snapToGrid w:val="0"/>
                <w:color w:val="auto"/>
                <w:kern w:val="0"/>
                <w:sz w:val="28"/>
                <w:szCs w:val="28"/>
                <w:highlight w:val="none"/>
                <w:lang w:eastAsia="zh-CN"/>
              </w:rPr>
              <w:t>管理人</w:t>
            </w:r>
            <w:r>
              <w:rPr>
                <w:rFonts w:hint="eastAsia" w:ascii="仿宋" w:hAnsi="仿宋" w:eastAsia="仿宋" w:cs="仿宋"/>
                <w:b w:val="0"/>
                <w:bCs/>
                <w:i w:val="0"/>
                <w:iCs/>
                <w:snapToGrid w:val="0"/>
                <w:color w:val="auto"/>
                <w:kern w:val="0"/>
                <w:sz w:val="28"/>
                <w:szCs w:val="28"/>
                <w:highlight w:val="none"/>
              </w:rPr>
              <w:t>出具给债权人的法律意见，亦不视为</w:t>
            </w:r>
            <w:r>
              <w:rPr>
                <w:rFonts w:hint="eastAsia" w:ascii="仿宋" w:hAnsi="仿宋" w:eastAsia="仿宋" w:cs="仿宋"/>
                <w:b w:val="0"/>
                <w:bCs/>
                <w:i w:val="0"/>
                <w:iCs/>
                <w:snapToGrid w:val="0"/>
                <w:color w:val="auto"/>
                <w:kern w:val="0"/>
                <w:sz w:val="28"/>
                <w:szCs w:val="28"/>
                <w:highlight w:val="none"/>
                <w:lang w:eastAsia="zh-CN"/>
              </w:rPr>
              <w:t>管理人</w:t>
            </w:r>
            <w:r>
              <w:rPr>
                <w:rFonts w:hint="eastAsia" w:ascii="仿宋" w:hAnsi="仿宋" w:eastAsia="仿宋" w:cs="仿宋"/>
                <w:b w:val="0"/>
                <w:bCs/>
                <w:i w:val="0"/>
                <w:iCs/>
                <w:snapToGrid w:val="0"/>
                <w:color w:val="auto"/>
                <w:kern w:val="0"/>
                <w:sz w:val="28"/>
                <w:szCs w:val="28"/>
                <w:highlight w:val="none"/>
              </w:rPr>
              <w:t>或债务人向债权人作出任何形式的承诺和/或确认。</w:t>
            </w:r>
          </w:p>
        </w:tc>
      </w:tr>
      <w:tr w14:paraId="3D19C2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66" w:hRule="atLeast"/>
          <w:jc w:val="center"/>
        </w:trPr>
        <w:tc>
          <w:tcPr>
            <w:tcW w:w="739" w:type="dxa"/>
            <w:shd w:val="clear" w:color="auto" w:fill="auto"/>
            <w:vAlign w:val="center"/>
          </w:tcPr>
          <w:p w14:paraId="7CA79F5F">
            <w:pPr>
              <w:shd w:val="clear"/>
              <w:spacing w:before="156" w:beforeLines="50" w:after="156" w:afterLines="50" w:line="240" w:lineRule="auto"/>
              <w:jc w:val="center"/>
              <w:outlineLvl w:val="0"/>
              <w:rPr>
                <w:rFonts w:hint="eastAsia" w:ascii="仿宋" w:hAnsi="仿宋" w:eastAsia="仿宋" w:cs="仿宋"/>
                <w:b w:val="0"/>
                <w:bCs w:val="0"/>
                <w:i w:val="0"/>
                <w:iCs/>
                <w:snapToGrid w:val="0"/>
                <w:color w:val="auto"/>
                <w:kern w:val="0"/>
                <w:sz w:val="28"/>
                <w:szCs w:val="28"/>
                <w:highlight w:val="none"/>
              </w:rPr>
            </w:pPr>
            <w:r>
              <w:rPr>
                <w:rFonts w:hint="eastAsia" w:ascii="仿宋" w:hAnsi="仿宋" w:eastAsia="仿宋" w:cs="仿宋"/>
                <w:b/>
                <w:bCs/>
                <w:i w:val="0"/>
                <w:iCs/>
                <w:snapToGrid w:val="0"/>
                <w:color w:val="auto"/>
                <w:kern w:val="0"/>
                <w:sz w:val="28"/>
                <w:szCs w:val="28"/>
                <w:highlight w:val="none"/>
              </w:rPr>
              <w:t>2</w:t>
            </w:r>
          </w:p>
        </w:tc>
        <w:tc>
          <w:tcPr>
            <w:tcW w:w="8500" w:type="dxa"/>
            <w:shd w:val="clear" w:color="auto" w:fill="auto"/>
          </w:tcPr>
          <w:p w14:paraId="4599ECAF">
            <w:pPr>
              <w:shd w:val="clear"/>
              <w:spacing w:before="156" w:beforeLines="50" w:after="156" w:afterLines="50" w:line="240" w:lineRule="auto"/>
              <w:outlineLvl w:val="0"/>
              <w:rPr>
                <w:rFonts w:hint="eastAsia" w:ascii="仿宋" w:hAnsi="仿宋" w:eastAsia="仿宋" w:cs="仿宋"/>
                <w:i w:val="0"/>
                <w:iCs/>
                <w:snapToGrid w:val="0"/>
                <w:color w:val="auto"/>
                <w:kern w:val="0"/>
                <w:sz w:val="28"/>
                <w:szCs w:val="28"/>
                <w:highlight w:val="none"/>
              </w:rPr>
            </w:pPr>
            <w:r>
              <w:rPr>
                <w:rFonts w:hint="eastAsia" w:ascii="仿宋" w:hAnsi="仿宋" w:eastAsia="仿宋" w:cs="仿宋"/>
                <w:i w:val="0"/>
                <w:iCs/>
                <w:snapToGrid w:val="0"/>
                <w:color w:val="auto"/>
                <w:kern w:val="0"/>
                <w:sz w:val="28"/>
                <w:szCs w:val="28"/>
                <w:highlight w:val="none"/>
              </w:rPr>
              <w:t>债权人及其委托代理人务必在债权申报材料中注明有效的联系方式，包括但不限于固定电话、移动电话、邮寄地址及电子邮件等。</w:t>
            </w:r>
            <w:r>
              <w:rPr>
                <w:rFonts w:hint="eastAsia" w:ascii="仿宋" w:hAnsi="仿宋" w:eastAsia="仿宋" w:cs="仿宋"/>
                <w:i w:val="0"/>
                <w:iCs/>
                <w:snapToGrid w:val="0"/>
                <w:color w:val="auto"/>
                <w:kern w:val="0"/>
                <w:sz w:val="28"/>
                <w:szCs w:val="28"/>
                <w:highlight w:val="none"/>
                <w:lang w:eastAsia="zh-CN"/>
              </w:rPr>
              <w:t>管理人</w:t>
            </w:r>
            <w:r>
              <w:rPr>
                <w:rFonts w:hint="eastAsia" w:ascii="仿宋" w:hAnsi="仿宋" w:eastAsia="仿宋" w:cs="仿宋"/>
                <w:i w:val="0"/>
                <w:iCs/>
                <w:snapToGrid w:val="0"/>
                <w:color w:val="auto"/>
                <w:kern w:val="0"/>
                <w:sz w:val="28"/>
                <w:szCs w:val="28"/>
                <w:highlight w:val="none"/>
              </w:rPr>
              <w:t>将相关文件或信息邮寄到指定地址、通过短信或电子邮件方式发送至指定手机或邮箱均视为有效送达。如前述联系方式发生变化，债权人或其委托代理人请及时向</w:t>
            </w:r>
            <w:r>
              <w:rPr>
                <w:rFonts w:hint="eastAsia" w:ascii="仿宋" w:hAnsi="仿宋" w:eastAsia="仿宋" w:cs="仿宋"/>
                <w:i w:val="0"/>
                <w:iCs/>
                <w:snapToGrid w:val="0"/>
                <w:color w:val="auto"/>
                <w:kern w:val="0"/>
                <w:sz w:val="28"/>
                <w:szCs w:val="28"/>
                <w:highlight w:val="none"/>
                <w:lang w:val="en-US" w:eastAsia="zh-CN"/>
              </w:rPr>
              <w:t>管理人</w:t>
            </w:r>
            <w:r>
              <w:rPr>
                <w:rFonts w:hint="eastAsia" w:ascii="仿宋" w:hAnsi="仿宋" w:eastAsia="仿宋" w:cs="仿宋"/>
                <w:i w:val="0"/>
                <w:iCs/>
                <w:snapToGrid w:val="0"/>
                <w:color w:val="auto"/>
                <w:kern w:val="0"/>
                <w:sz w:val="28"/>
                <w:szCs w:val="28"/>
                <w:highlight w:val="none"/>
              </w:rPr>
              <w:t>提交书面变更申请。</w:t>
            </w:r>
          </w:p>
        </w:tc>
      </w:tr>
      <w:tr w14:paraId="530754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78" w:hRule="atLeast"/>
          <w:jc w:val="center"/>
        </w:trPr>
        <w:tc>
          <w:tcPr>
            <w:tcW w:w="739" w:type="dxa"/>
            <w:shd w:val="clear" w:color="auto" w:fill="auto"/>
            <w:vAlign w:val="center"/>
          </w:tcPr>
          <w:p w14:paraId="20373E34">
            <w:pPr>
              <w:shd w:val="clear"/>
              <w:spacing w:before="156" w:beforeLines="50" w:after="156" w:afterLines="50" w:line="240" w:lineRule="auto"/>
              <w:jc w:val="center"/>
              <w:outlineLvl w:val="0"/>
              <w:rPr>
                <w:rFonts w:hint="eastAsia" w:ascii="仿宋" w:hAnsi="仿宋" w:eastAsia="仿宋" w:cs="仿宋"/>
                <w:b w:val="0"/>
                <w:bCs w:val="0"/>
                <w:i w:val="0"/>
                <w:iCs/>
                <w:snapToGrid w:val="0"/>
                <w:color w:val="auto"/>
                <w:kern w:val="0"/>
                <w:sz w:val="28"/>
                <w:szCs w:val="28"/>
                <w:highlight w:val="none"/>
              </w:rPr>
            </w:pPr>
            <w:r>
              <w:rPr>
                <w:rFonts w:hint="eastAsia" w:ascii="仿宋" w:hAnsi="仿宋" w:eastAsia="仿宋" w:cs="仿宋"/>
                <w:b/>
                <w:bCs/>
                <w:i w:val="0"/>
                <w:iCs/>
                <w:snapToGrid w:val="0"/>
                <w:color w:val="auto"/>
                <w:kern w:val="0"/>
                <w:sz w:val="28"/>
                <w:szCs w:val="28"/>
                <w:highlight w:val="none"/>
              </w:rPr>
              <w:t>3</w:t>
            </w:r>
          </w:p>
        </w:tc>
        <w:tc>
          <w:tcPr>
            <w:tcW w:w="8500" w:type="dxa"/>
            <w:shd w:val="clear" w:color="auto" w:fill="auto"/>
          </w:tcPr>
          <w:p w14:paraId="025A0891">
            <w:pPr>
              <w:shd w:val="clear"/>
              <w:spacing w:before="156" w:beforeLines="50" w:after="156" w:afterLines="50" w:line="240" w:lineRule="auto"/>
              <w:outlineLvl w:val="0"/>
              <w:rPr>
                <w:rFonts w:hint="eastAsia" w:ascii="仿宋" w:hAnsi="仿宋" w:eastAsia="仿宋" w:cs="仿宋"/>
                <w:i w:val="0"/>
                <w:iCs/>
                <w:snapToGrid w:val="0"/>
                <w:color w:val="auto"/>
                <w:kern w:val="0"/>
                <w:sz w:val="28"/>
                <w:szCs w:val="28"/>
                <w:highlight w:val="none"/>
              </w:rPr>
            </w:pPr>
            <w:r>
              <w:rPr>
                <w:rFonts w:hint="eastAsia" w:ascii="仿宋" w:hAnsi="仿宋" w:eastAsia="仿宋" w:cs="仿宋"/>
                <w:i w:val="0"/>
                <w:iCs/>
                <w:snapToGrid w:val="0"/>
                <w:color w:val="auto"/>
                <w:kern w:val="0"/>
                <w:sz w:val="28"/>
                <w:szCs w:val="28"/>
                <w:highlight w:val="none"/>
              </w:rPr>
              <w:t>本《债权申报指引》以及债权人申报债权资料中须由申报人或代理人签字盖章/签字按捺手印之处，公章应以申报人在公安机关备案登记且现行有效的机构公章为准，其他任何印鉴章均不视为有效申报；签字和手印应为本人签字或按捺，他人代签或代按无效。</w:t>
            </w:r>
          </w:p>
        </w:tc>
      </w:tr>
      <w:tr w14:paraId="44F546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03" w:hRule="atLeast"/>
          <w:jc w:val="center"/>
        </w:trPr>
        <w:tc>
          <w:tcPr>
            <w:tcW w:w="739" w:type="dxa"/>
            <w:shd w:val="clear" w:color="auto" w:fill="auto"/>
            <w:vAlign w:val="center"/>
          </w:tcPr>
          <w:p w14:paraId="5B448A8F">
            <w:pPr>
              <w:shd w:val="clear"/>
              <w:spacing w:before="156" w:beforeLines="50" w:after="156" w:afterLines="50" w:line="240" w:lineRule="auto"/>
              <w:jc w:val="center"/>
              <w:outlineLvl w:val="0"/>
              <w:rPr>
                <w:rFonts w:hint="eastAsia" w:ascii="仿宋" w:hAnsi="仿宋" w:eastAsia="仿宋" w:cs="仿宋"/>
                <w:b w:val="0"/>
                <w:bCs w:val="0"/>
                <w:i w:val="0"/>
                <w:iCs/>
                <w:snapToGrid w:val="0"/>
                <w:color w:val="auto"/>
                <w:kern w:val="0"/>
                <w:sz w:val="28"/>
                <w:szCs w:val="28"/>
                <w:highlight w:val="none"/>
              </w:rPr>
            </w:pPr>
            <w:r>
              <w:rPr>
                <w:rFonts w:hint="eastAsia" w:ascii="仿宋" w:hAnsi="仿宋" w:eastAsia="仿宋" w:cs="仿宋"/>
                <w:b/>
                <w:bCs/>
                <w:i w:val="0"/>
                <w:iCs/>
                <w:snapToGrid w:val="0"/>
                <w:color w:val="auto"/>
                <w:kern w:val="0"/>
                <w:sz w:val="28"/>
                <w:szCs w:val="28"/>
                <w:highlight w:val="none"/>
              </w:rPr>
              <w:t>4</w:t>
            </w:r>
          </w:p>
        </w:tc>
        <w:tc>
          <w:tcPr>
            <w:tcW w:w="8500" w:type="dxa"/>
            <w:shd w:val="clear" w:color="auto" w:fill="auto"/>
          </w:tcPr>
          <w:p w14:paraId="6F8463CB">
            <w:pPr>
              <w:shd w:val="clear"/>
              <w:spacing w:before="156" w:beforeLines="50" w:after="156" w:afterLines="50" w:line="240" w:lineRule="auto"/>
              <w:outlineLvl w:val="0"/>
              <w:rPr>
                <w:rFonts w:hint="eastAsia" w:ascii="仿宋" w:hAnsi="仿宋" w:eastAsia="仿宋" w:cs="仿宋"/>
                <w:i w:val="0"/>
                <w:iCs/>
                <w:snapToGrid w:val="0"/>
                <w:color w:val="auto"/>
                <w:kern w:val="0"/>
                <w:sz w:val="28"/>
                <w:szCs w:val="28"/>
                <w:highlight w:val="none"/>
              </w:rPr>
            </w:pPr>
            <w:r>
              <w:rPr>
                <w:rFonts w:hint="eastAsia" w:ascii="仿宋" w:hAnsi="仿宋" w:eastAsia="仿宋" w:cs="仿宋"/>
                <w:i w:val="0"/>
                <w:iCs/>
                <w:snapToGrid w:val="0"/>
                <w:color w:val="auto"/>
                <w:kern w:val="0"/>
                <w:sz w:val="28"/>
                <w:szCs w:val="28"/>
                <w:highlight w:val="none"/>
              </w:rPr>
              <w:t>鉴于</w:t>
            </w:r>
            <w:r>
              <w:rPr>
                <w:rFonts w:hint="eastAsia" w:ascii="仿宋" w:hAnsi="仿宋" w:eastAsia="仿宋" w:cs="仿宋"/>
                <w:i w:val="0"/>
                <w:iCs/>
                <w:snapToGrid w:val="0"/>
                <w:color w:val="auto"/>
                <w:kern w:val="0"/>
                <w:sz w:val="28"/>
                <w:szCs w:val="28"/>
                <w:highlight w:val="none"/>
                <w:lang w:val="en-US" w:eastAsia="zh-CN"/>
              </w:rPr>
              <w:t>破产重整</w:t>
            </w:r>
            <w:r>
              <w:rPr>
                <w:rFonts w:hint="eastAsia" w:ascii="仿宋" w:hAnsi="仿宋" w:eastAsia="仿宋" w:cs="仿宋"/>
                <w:i w:val="0"/>
                <w:iCs/>
                <w:snapToGrid w:val="0"/>
                <w:color w:val="auto"/>
                <w:kern w:val="0"/>
                <w:sz w:val="28"/>
                <w:szCs w:val="28"/>
                <w:highlight w:val="none"/>
              </w:rPr>
              <w:t>程序较为复杂，故债权人可考虑必要时在法律专业人士的协助下申报债权、参与程序和/或寻求法律帮助。</w:t>
            </w:r>
          </w:p>
        </w:tc>
      </w:tr>
      <w:tr w14:paraId="4A8878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78" w:hRule="atLeast"/>
          <w:jc w:val="center"/>
        </w:trPr>
        <w:tc>
          <w:tcPr>
            <w:tcW w:w="739" w:type="dxa"/>
            <w:shd w:val="clear" w:color="auto" w:fill="auto"/>
            <w:vAlign w:val="center"/>
          </w:tcPr>
          <w:p w14:paraId="109AA760">
            <w:pPr>
              <w:shd w:val="clear"/>
              <w:spacing w:before="156" w:beforeLines="50" w:after="156" w:afterLines="50" w:line="240" w:lineRule="auto"/>
              <w:jc w:val="center"/>
              <w:outlineLvl w:val="0"/>
              <w:rPr>
                <w:rFonts w:hint="eastAsia" w:ascii="仿宋" w:hAnsi="仿宋" w:eastAsia="仿宋" w:cs="仿宋"/>
                <w:b w:val="0"/>
                <w:bCs w:val="0"/>
                <w:i w:val="0"/>
                <w:iCs/>
                <w:snapToGrid w:val="0"/>
                <w:color w:val="auto"/>
                <w:kern w:val="0"/>
                <w:sz w:val="28"/>
                <w:szCs w:val="28"/>
                <w:highlight w:val="none"/>
              </w:rPr>
            </w:pPr>
            <w:r>
              <w:rPr>
                <w:rFonts w:hint="eastAsia" w:ascii="仿宋" w:hAnsi="仿宋" w:eastAsia="仿宋" w:cs="仿宋"/>
                <w:b/>
                <w:bCs/>
                <w:i w:val="0"/>
                <w:iCs/>
                <w:snapToGrid w:val="0"/>
                <w:color w:val="auto"/>
                <w:kern w:val="0"/>
                <w:sz w:val="28"/>
                <w:szCs w:val="28"/>
                <w:highlight w:val="none"/>
              </w:rPr>
              <w:t>5</w:t>
            </w:r>
          </w:p>
        </w:tc>
        <w:tc>
          <w:tcPr>
            <w:tcW w:w="8500" w:type="dxa"/>
            <w:shd w:val="clear" w:color="auto" w:fill="auto"/>
          </w:tcPr>
          <w:p w14:paraId="1813CC11">
            <w:pPr>
              <w:shd w:val="clear"/>
              <w:spacing w:before="156" w:beforeLines="50" w:after="156" w:afterLines="50" w:line="240" w:lineRule="auto"/>
              <w:outlineLvl w:val="0"/>
              <w:rPr>
                <w:rFonts w:hint="eastAsia" w:ascii="仿宋" w:hAnsi="仿宋" w:eastAsia="仿宋" w:cs="仿宋"/>
                <w:i w:val="0"/>
                <w:iCs/>
                <w:snapToGrid w:val="0"/>
                <w:color w:val="auto"/>
                <w:kern w:val="0"/>
                <w:sz w:val="28"/>
                <w:szCs w:val="28"/>
                <w:highlight w:val="none"/>
              </w:rPr>
            </w:pPr>
            <w:r>
              <w:rPr>
                <w:rFonts w:hint="eastAsia" w:ascii="仿宋" w:hAnsi="仿宋" w:eastAsia="仿宋" w:cs="仿宋"/>
                <w:i w:val="0"/>
                <w:iCs/>
                <w:snapToGrid w:val="0"/>
                <w:color w:val="auto"/>
                <w:kern w:val="0"/>
                <w:sz w:val="28"/>
                <w:szCs w:val="28"/>
                <w:highlight w:val="none"/>
                <w:u w:val="single"/>
              </w:rPr>
              <w:t>如债权本币以外币进行结算/交易的，或债权人以外币申报债权的，应以破产受理日中国人民银行公布的市场交易中间价换算成人民币后进行申报/计算。</w:t>
            </w:r>
            <w:r>
              <w:rPr>
                <w:rFonts w:hint="eastAsia" w:ascii="仿宋" w:hAnsi="仿宋" w:eastAsia="仿宋" w:cs="仿宋"/>
                <w:i w:val="0"/>
                <w:iCs/>
                <w:snapToGrid w:val="0"/>
                <w:color w:val="auto"/>
                <w:kern w:val="0"/>
                <w:sz w:val="28"/>
                <w:szCs w:val="28"/>
                <w:highlight w:val="none"/>
              </w:rPr>
              <w:t>债权人未折算为人民币的，</w:t>
            </w:r>
            <w:r>
              <w:rPr>
                <w:rFonts w:hint="eastAsia" w:ascii="仿宋" w:hAnsi="仿宋" w:eastAsia="仿宋" w:cs="仿宋"/>
                <w:i w:val="0"/>
                <w:iCs/>
                <w:snapToGrid w:val="0"/>
                <w:color w:val="auto"/>
                <w:kern w:val="0"/>
                <w:sz w:val="28"/>
                <w:szCs w:val="28"/>
                <w:highlight w:val="none"/>
                <w:lang w:eastAsia="zh-CN"/>
              </w:rPr>
              <w:t>管理人</w:t>
            </w:r>
            <w:r>
              <w:rPr>
                <w:rFonts w:hint="eastAsia" w:ascii="仿宋" w:hAnsi="仿宋" w:eastAsia="仿宋" w:cs="仿宋"/>
                <w:i w:val="0"/>
                <w:iCs/>
                <w:snapToGrid w:val="0"/>
                <w:color w:val="auto"/>
                <w:kern w:val="0"/>
                <w:sz w:val="28"/>
                <w:szCs w:val="28"/>
                <w:highlight w:val="none"/>
              </w:rPr>
              <w:t>有权不接受其申报。债权人申报利息的，应以折算为人民币后的本金数额作为计息基数。</w:t>
            </w:r>
          </w:p>
        </w:tc>
      </w:tr>
      <w:tr w14:paraId="5FF24C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13" w:hRule="atLeast"/>
          <w:jc w:val="center"/>
        </w:trPr>
        <w:tc>
          <w:tcPr>
            <w:tcW w:w="739" w:type="dxa"/>
            <w:shd w:val="clear" w:color="auto" w:fill="auto"/>
            <w:vAlign w:val="center"/>
          </w:tcPr>
          <w:p w14:paraId="7091F4E6">
            <w:pPr>
              <w:shd w:val="clear"/>
              <w:spacing w:before="156" w:beforeLines="50" w:after="156" w:afterLines="50" w:line="240" w:lineRule="auto"/>
              <w:jc w:val="center"/>
              <w:outlineLvl w:val="0"/>
              <w:rPr>
                <w:rFonts w:hint="eastAsia" w:ascii="仿宋" w:hAnsi="仿宋" w:eastAsia="仿宋" w:cs="仿宋"/>
                <w:b w:val="0"/>
                <w:bCs w:val="0"/>
                <w:i w:val="0"/>
                <w:iCs/>
                <w:snapToGrid w:val="0"/>
                <w:color w:val="auto"/>
                <w:kern w:val="0"/>
                <w:sz w:val="28"/>
                <w:szCs w:val="28"/>
                <w:highlight w:val="none"/>
              </w:rPr>
            </w:pPr>
            <w:r>
              <w:rPr>
                <w:rFonts w:hint="eastAsia" w:ascii="仿宋" w:hAnsi="仿宋" w:eastAsia="仿宋" w:cs="仿宋"/>
                <w:b/>
                <w:bCs/>
                <w:i w:val="0"/>
                <w:iCs/>
                <w:snapToGrid w:val="0"/>
                <w:color w:val="auto"/>
                <w:kern w:val="0"/>
                <w:sz w:val="28"/>
                <w:szCs w:val="28"/>
                <w:highlight w:val="none"/>
              </w:rPr>
              <w:t>6</w:t>
            </w:r>
          </w:p>
        </w:tc>
        <w:tc>
          <w:tcPr>
            <w:tcW w:w="8500" w:type="dxa"/>
            <w:shd w:val="clear" w:color="auto" w:fill="auto"/>
          </w:tcPr>
          <w:p w14:paraId="2A6D1F5B">
            <w:pPr>
              <w:shd w:val="clear"/>
              <w:spacing w:before="156" w:beforeLines="50" w:after="156" w:afterLines="50" w:line="240" w:lineRule="auto"/>
              <w:outlineLvl w:val="0"/>
              <w:rPr>
                <w:rFonts w:hint="eastAsia" w:ascii="仿宋" w:hAnsi="仿宋" w:eastAsia="仿宋" w:cs="仿宋"/>
                <w:i w:val="0"/>
                <w:iCs/>
                <w:snapToGrid w:val="0"/>
                <w:color w:val="auto"/>
                <w:kern w:val="0"/>
                <w:sz w:val="28"/>
                <w:szCs w:val="28"/>
                <w:highlight w:val="none"/>
              </w:rPr>
            </w:pPr>
            <w:r>
              <w:rPr>
                <w:rFonts w:hint="eastAsia" w:ascii="仿宋" w:hAnsi="仿宋" w:eastAsia="仿宋" w:cs="仿宋"/>
                <w:i w:val="0"/>
                <w:iCs/>
                <w:snapToGrid w:val="0"/>
                <w:color w:val="auto"/>
                <w:kern w:val="0"/>
                <w:sz w:val="28"/>
                <w:szCs w:val="28"/>
                <w:highlight w:val="none"/>
              </w:rPr>
              <w:t>如存在分公司或其他不具有法定独立地位的分支机构，应当以总公司名义合并申报债权，不得分开单独申报，否则</w:t>
            </w:r>
            <w:r>
              <w:rPr>
                <w:rFonts w:hint="eastAsia" w:ascii="仿宋" w:hAnsi="仿宋" w:eastAsia="仿宋" w:cs="仿宋"/>
                <w:i w:val="0"/>
                <w:iCs/>
                <w:snapToGrid w:val="0"/>
                <w:color w:val="auto"/>
                <w:kern w:val="0"/>
                <w:sz w:val="28"/>
                <w:szCs w:val="28"/>
                <w:highlight w:val="none"/>
                <w:lang w:eastAsia="zh-CN"/>
              </w:rPr>
              <w:t>管理人</w:t>
            </w:r>
            <w:r>
              <w:rPr>
                <w:rFonts w:hint="eastAsia" w:ascii="仿宋" w:hAnsi="仿宋" w:eastAsia="仿宋" w:cs="仿宋"/>
                <w:i w:val="0"/>
                <w:iCs/>
                <w:snapToGrid w:val="0"/>
                <w:color w:val="auto"/>
                <w:kern w:val="0"/>
                <w:sz w:val="28"/>
                <w:szCs w:val="28"/>
                <w:highlight w:val="none"/>
              </w:rPr>
              <w:t>将视除总公司之外的分公司或其他不具有法定独立地位的其他分支机构没有申报。</w:t>
            </w:r>
          </w:p>
          <w:p w14:paraId="3758AD04">
            <w:pPr>
              <w:shd w:val="clear"/>
              <w:spacing w:before="156" w:beforeLines="50" w:after="156" w:afterLines="50" w:line="240" w:lineRule="auto"/>
              <w:outlineLvl w:val="0"/>
              <w:rPr>
                <w:rFonts w:hint="eastAsia" w:ascii="仿宋" w:hAnsi="仿宋" w:eastAsia="仿宋" w:cs="仿宋"/>
                <w:i w:val="0"/>
                <w:iCs/>
                <w:snapToGrid w:val="0"/>
                <w:color w:val="auto"/>
                <w:kern w:val="0"/>
                <w:sz w:val="28"/>
                <w:szCs w:val="28"/>
                <w:highlight w:val="none"/>
              </w:rPr>
            </w:pPr>
            <w:r>
              <w:rPr>
                <w:rFonts w:hint="eastAsia" w:ascii="仿宋" w:hAnsi="仿宋" w:eastAsia="仿宋" w:cs="仿宋"/>
                <w:i w:val="0"/>
                <w:iCs/>
                <w:snapToGrid w:val="0"/>
                <w:color w:val="auto"/>
                <w:kern w:val="0"/>
                <w:sz w:val="28"/>
                <w:szCs w:val="28"/>
                <w:highlight w:val="none"/>
              </w:rPr>
              <w:t>如存在关联企业、子公司或其他具有法定独立地位分支机构，且前述机构未纳入本次破产程序的，债权人向</w:t>
            </w:r>
            <w:r>
              <w:rPr>
                <w:rFonts w:hint="eastAsia" w:ascii="仿宋" w:hAnsi="仿宋" w:eastAsia="仿宋" w:cs="仿宋"/>
                <w:i w:val="0"/>
                <w:iCs/>
                <w:snapToGrid w:val="0"/>
                <w:color w:val="auto"/>
                <w:kern w:val="0"/>
                <w:sz w:val="28"/>
                <w:szCs w:val="28"/>
                <w:highlight w:val="none"/>
                <w:lang w:eastAsia="zh-CN"/>
              </w:rPr>
              <w:t>管理人</w:t>
            </w:r>
            <w:r>
              <w:rPr>
                <w:rFonts w:hint="eastAsia" w:ascii="仿宋" w:hAnsi="仿宋" w:eastAsia="仿宋" w:cs="仿宋"/>
                <w:i w:val="0"/>
                <w:iCs/>
                <w:snapToGrid w:val="0"/>
                <w:color w:val="auto"/>
                <w:kern w:val="0"/>
                <w:sz w:val="28"/>
                <w:szCs w:val="28"/>
                <w:highlight w:val="none"/>
              </w:rPr>
              <w:t>申报对前述机构的债权，因主体错误，</w:t>
            </w:r>
            <w:r>
              <w:rPr>
                <w:rFonts w:hint="eastAsia" w:ascii="仿宋" w:hAnsi="仿宋" w:eastAsia="仿宋" w:cs="仿宋"/>
                <w:i w:val="0"/>
                <w:iCs/>
                <w:snapToGrid w:val="0"/>
                <w:color w:val="auto"/>
                <w:kern w:val="0"/>
                <w:sz w:val="28"/>
                <w:szCs w:val="28"/>
                <w:highlight w:val="none"/>
                <w:lang w:eastAsia="zh-CN"/>
              </w:rPr>
              <w:t>管理人</w:t>
            </w:r>
            <w:r>
              <w:rPr>
                <w:rFonts w:hint="eastAsia" w:ascii="仿宋" w:hAnsi="仿宋" w:eastAsia="仿宋" w:cs="仿宋"/>
                <w:i w:val="0"/>
                <w:iCs/>
                <w:snapToGrid w:val="0"/>
                <w:color w:val="auto"/>
                <w:kern w:val="0"/>
                <w:sz w:val="28"/>
                <w:szCs w:val="28"/>
                <w:highlight w:val="none"/>
              </w:rPr>
              <w:t>将不予受理。</w:t>
            </w:r>
          </w:p>
        </w:tc>
      </w:tr>
      <w:tr w14:paraId="7E6A82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03" w:hRule="atLeast"/>
          <w:jc w:val="center"/>
        </w:trPr>
        <w:tc>
          <w:tcPr>
            <w:tcW w:w="739" w:type="dxa"/>
            <w:shd w:val="clear" w:color="auto" w:fill="auto"/>
            <w:vAlign w:val="center"/>
          </w:tcPr>
          <w:p w14:paraId="6D79CA03">
            <w:pPr>
              <w:shd w:val="clear"/>
              <w:spacing w:before="156" w:beforeLines="50" w:after="156" w:afterLines="50" w:line="240" w:lineRule="auto"/>
              <w:jc w:val="center"/>
              <w:outlineLvl w:val="0"/>
              <w:rPr>
                <w:rFonts w:hint="eastAsia" w:ascii="仿宋" w:hAnsi="仿宋" w:eastAsia="仿宋" w:cs="仿宋"/>
                <w:b w:val="0"/>
                <w:bCs w:val="0"/>
                <w:i w:val="0"/>
                <w:iCs/>
                <w:snapToGrid w:val="0"/>
                <w:color w:val="auto"/>
                <w:kern w:val="0"/>
                <w:sz w:val="28"/>
                <w:szCs w:val="28"/>
                <w:highlight w:val="none"/>
              </w:rPr>
            </w:pPr>
            <w:r>
              <w:rPr>
                <w:rFonts w:hint="eastAsia" w:ascii="仿宋" w:hAnsi="仿宋" w:eastAsia="仿宋" w:cs="仿宋"/>
                <w:b/>
                <w:bCs/>
                <w:i w:val="0"/>
                <w:iCs/>
                <w:snapToGrid w:val="0"/>
                <w:color w:val="auto"/>
                <w:kern w:val="0"/>
                <w:sz w:val="28"/>
                <w:szCs w:val="28"/>
                <w:highlight w:val="none"/>
              </w:rPr>
              <w:t>7</w:t>
            </w:r>
          </w:p>
        </w:tc>
        <w:tc>
          <w:tcPr>
            <w:tcW w:w="8500" w:type="dxa"/>
            <w:shd w:val="clear" w:color="auto" w:fill="auto"/>
          </w:tcPr>
          <w:p w14:paraId="7447B7FE">
            <w:pPr>
              <w:shd w:val="clear"/>
              <w:spacing w:before="156" w:beforeLines="50" w:after="156" w:afterLines="50" w:line="240" w:lineRule="auto"/>
              <w:outlineLvl w:val="0"/>
              <w:rPr>
                <w:rFonts w:hint="eastAsia" w:ascii="仿宋" w:hAnsi="仿宋" w:eastAsia="仿宋" w:cs="仿宋"/>
                <w:i w:val="0"/>
                <w:iCs/>
                <w:snapToGrid w:val="0"/>
                <w:color w:val="auto"/>
                <w:kern w:val="0"/>
                <w:sz w:val="28"/>
                <w:szCs w:val="28"/>
                <w:highlight w:val="none"/>
              </w:rPr>
            </w:pPr>
            <w:r>
              <w:rPr>
                <w:rFonts w:hint="eastAsia" w:ascii="仿宋" w:hAnsi="仿宋" w:eastAsia="仿宋" w:cs="仿宋"/>
                <w:i w:val="0"/>
                <w:iCs/>
                <w:snapToGrid w:val="0"/>
                <w:color w:val="auto"/>
                <w:kern w:val="0"/>
                <w:sz w:val="28"/>
                <w:szCs w:val="28"/>
                <w:highlight w:val="none"/>
              </w:rPr>
              <w:t>债权人虚假申报债权或提供虚假申报材料，损害其他债权人利益的，</w:t>
            </w:r>
            <w:r>
              <w:rPr>
                <w:rFonts w:hint="eastAsia" w:ascii="仿宋" w:hAnsi="仿宋" w:eastAsia="仿宋" w:cs="仿宋"/>
                <w:i w:val="0"/>
                <w:iCs/>
                <w:snapToGrid w:val="0"/>
                <w:color w:val="auto"/>
                <w:kern w:val="0"/>
                <w:sz w:val="28"/>
                <w:szCs w:val="28"/>
                <w:highlight w:val="none"/>
                <w:lang w:eastAsia="zh-CN"/>
              </w:rPr>
              <w:t>管理人</w:t>
            </w:r>
            <w:r>
              <w:rPr>
                <w:rFonts w:hint="eastAsia" w:ascii="仿宋" w:hAnsi="仿宋" w:eastAsia="仿宋" w:cs="仿宋"/>
                <w:i w:val="0"/>
                <w:iCs/>
                <w:snapToGrid w:val="0"/>
                <w:color w:val="auto"/>
                <w:kern w:val="0"/>
                <w:sz w:val="28"/>
                <w:szCs w:val="28"/>
                <w:highlight w:val="none"/>
              </w:rPr>
              <w:t>将依法追究其法律责任。</w:t>
            </w:r>
          </w:p>
        </w:tc>
      </w:tr>
      <w:tr w14:paraId="1B4AF6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14" w:hRule="atLeast"/>
          <w:jc w:val="center"/>
        </w:trPr>
        <w:tc>
          <w:tcPr>
            <w:tcW w:w="739" w:type="dxa"/>
            <w:shd w:val="clear" w:color="auto" w:fill="auto"/>
            <w:vAlign w:val="center"/>
          </w:tcPr>
          <w:p w14:paraId="571CA896">
            <w:pPr>
              <w:shd w:val="clear"/>
              <w:spacing w:before="156" w:beforeLines="50" w:after="156" w:afterLines="50" w:line="240" w:lineRule="auto"/>
              <w:jc w:val="center"/>
              <w:outlineLvl w:val="0"/>
              <w:rPr>
                <w:rFonts w:hint="eastAsia" w:ascii="仿宋" w:hAnsi="仿宋" w:eastAsia="仿宋" w:cs="仿宋"/>
                <w:b w:val="0"/>
                <w:bCs w:val="0"/>
                <w:i w:val="0"/>
                <w:iCs/>
                <w:snapToGrid w:val="0"/>
                <w:color w:val="auto"/>
                <w:kern w:val="0"/>
                <w:sz w:val="28"/>
                <w:szCs w:val="28"/>
                <w:highlight w:val="none"/>
              </w:rPr>
            </w:pPr>
            <w:r>
              <w:rPr>
                <w:rFonts w:hint="eastAsia" w:ascii="仿宋" w:hAnsi="仿宋" w:eastAsia="仿宋" w:cs="仿宋"/>
                <w:b/>
                <w:bCs/>
                <w:i w:val="0"/>
                <w:iCs/>
                <w:snapToGrid w:val="0"/>
                <w:color w:val="auto"/>
                <w:kern w:val="0"/>
                <w:sz w:val="28"/>
                <w:szCs w:val="28"/>
                <w:highlight w:val="none"/>
              </w:rPr>
              <w:t>8</w:t>
            </w:r>
          </w:p>
        </w:tc>
        <w:tc>
          <w:tcPr>
            <w:tcW w:w="8500" w:type="dxa"/>
            <w:shd w:val="clear" w:color="auto" w:fill="auto"/>
          </w:tcPr>
          <w:p w14:paraId="017C5EBC">
            <w:pPr>
              <w:shd w:val="clear"/>
              <w:spacing w:before="156" w:beforeLines="50" w:after="156" w:afterLines="50" w:line="240" w:lineRule="auto"/>
              <w:outlineLvl w:val="0"/>
              <w:rPr>
                <w:rFonts w:hint="eastAsia" w:ascii="仿宋" w:hAnsi="仿宋" w:eastAsia="仿宋" w:cs="仿宋"/>
                <w:i w:val="0"/>
                <w:iCs/>
                <w:snapToGrid w:val="0"/>
                <w:color w:val="auto"/>
                <w:kern w:val="0"/>
                <w:sz w:val="28"/>
                <w:szCs w:val="28"/>
                <w:highlight w:val="none"/>
              </w:rPr>
            </w:pPr>
            <w:r>
              <w:rPr>
                <w:rFonts w:hint="eastAsia" w:ascii="仿宋" w:hAnsi="仿宋" w:eastAsia="仿宋" w:cs="仿宋"/>
                <w:i w:val="0"/>
                <w:iCs/>
                <w:snapToGrid w:val="0"/>
                <w:color w:val="auto"/>
                <w:kern w:val="0"/>
                <w:sz w:val="28"/>
                <w:szCs w:val="28"/>
                <w:highlight w:val="none"/>
              </w:rPr>
              <w:t>本指引及风险告知书内容与现行法律、法规、司法解释及人民法院司法文件不一致的，以后者为准。</w:t>
            </w:r>
          </w:p>
        </w:tc>
      </w:tr>
    </w:tbl>
    <w:p w14:paraId="588C5526">
      <w:pPr>
        <w:shd w:val="clear"/>
        <w:spacing w:before="156" w:beforeLines="50" w:after="156" w:afterLines="50" w:line="240" w:lineRule="auto"/>
        <w:ind w:firstLine="562" w:firstLineChars="200"/>
        <w:outlineLvl w:val="0"/>
        <w:rPr>
          <w:rFonts w:hint="eastAsia" w:ascii="仿宋" w:hAnsi="仿宋" w:eastAsia="仿宋" w:cs="仿宋"/>
          <w:b/>
          <w:snapToGrid w:val="0"/>
          <w:kern w:val="0"/>
          <w:sz w:val="28"/>
          <w:szCs w:val="28"/>
          <w:highlight w:val="none"/>
        </w:rPr>
      </w:pPr>
      <w:r>
        <w:rPr>
          <w:rFonts w:hint="eastAsia" w:ascii="仿宋" w:hAnsi="仿宋" w:eastAsia="仿宋" w:cs="仿宋"/>
          <w:b/>
          <w:snapToGrid w:val="0"/>
          <w:kern w:val="0"/>
          <w:sz w:val="28"/>
          <w:szCs w:val="28"/>
          <w:highlight w:val="none"/>
        </w:rPr>
        <w:t>申报债权是各位债权人得以行使《企业破产法》规定各项权利的前提及基础，请仔细阅读本指引并严格按照要求进行债权申报工作。</w:t>
      </w:r>
    </w:p>
    <w:p w14:paraId="17F9769C">
      <w:pPr>
        <w:shd w:val="clear"/>
        <w:spacing w:line="240" w:lineRule="auto"/>
        <w:ind w:firstLine="560" w:firstLineChars="200"/>
        <w:jc w:val="right"/>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长沙江城农产品股份有限公司</w:t>
      </w:r>
      <w:r>
        <w:rPr>
          <w:rFonts w:hint="eastAsia" w:ascii="仿宋" w:hAnsi="仿宋" w:eastAsia="仿宋" w:cs="仿宋"/>
          <w:sz w:val="28"/>
          <w:szCs w:val="28"/>
          <w:highlight w:val="none"/>
        </w:rPr>
        <w:t>管理人</w:t>
      </w:r>
    </w:p>
    <w:p w14:paraId="0E3D916A">
      <w:pPr>
        <w:shd w:val="clear"/>
        <w:wordWrap w:val="0"/>
        <w:spacing w:before="156" w:beforeLines="50" w:after="156" w:afterLines="50" w:line="240" w:lineRule="auto"/>
        <w:jc w:val="right"/>
        <w:outlineLvl w:val="0"/>
        <w:rPr>
          <w:rFonts w:hint="default" w:ascii="仿宋" w:hAnsi="仿宋" w:eastAsia="仿宋" w:cs="仿宋"/>
          <w:b/>
          <w:snapToGrid w:val="0"/>
          <w:kern w:val="0"/>
          <w:sz w:val="28"/>
          <w:szCs w:val="28"/>
          <w:highlight w:val="none"/>
          <w:lang w:val="en-US" w:eastAsia="zh-CN"/>
        </w:rPr>
        <w:sectPr>
          <w:pgSz w:w="11906" w:h="16838"/>
          <w:pgMar w:top="1440" w:right="1531" w:bottom="1440" w:left="1531" w:header="851" w:footer="992" w:gutter="0"/>
          <w:pgNumType w:start="1"/>
          <w:cols w:space="720" w:num="1"/>
          <w:titlePg/>
          <w:docGrid w:type="lines" w:linePitch="312" w:charSpace="0"/>
        </w:sectPr>
      </w:pPr>
      <w:r>
        <w:rPr>
          <w:rFonts w:hint="eastAsia" w:ascii="仿宋" w:hAnsi="仿宋" w:eastAsia="仿宋" w:cs="仿宋"/>
          <w:sz w:val="28"/>
          <w:szCs w:val="28"/>
          <w:highlight w:val="none"/>
          <w:lang w:eastAsia="zh-CN"/>
        </w:rPr>
        <w:t>二○二五年六月</w:t>
      </w:r>
      <w:r>
        <w:rPr>
          <w:rFonts w:hint="eastAsia" w:ascii="仿宋" w:hAnsi="仿宋" w:eastAsia="仿宋" w:cs="仿宋"/>
          <w:sz w:val="28"/>
          <w:szCs w:val="28"/>
          <w:highlight w:val="none"/>
          <w:lang w:val="en-US" w:eastAsia="zh-CN"/>
        </w:rPr>
        <w:t>六日</w:t>
      </w:r>
    </w:p>
    <w:p w14:paraId="15DC6271"/>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EF8FCA">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32E9C8"/>
    <w:multiLevelType w:val="singleLevel"/>
    <w:tmpl w:val="F432E9C8"/>
    <w:lvl w:ilvl="0" w:tentative="0">
      <w:start w:val="1"/>
      <w:numFmt w:val="decimal"/>
      <w:lvlText w:val="%1."/>
      <w:lvlJc w:val="left"/>
      <w:pPr>
        <w:tabs>
          <w:tab w:val="left" w:pos="312"/>
        </w:tabs>
      </w:pPr>
    </w:lvl>
  </w:abstractNum>
  <w:abstractNum w:abstractNumId="1">
    <w:nsid w:val="07C66D1F"/>
    <w:multiLevelType w:val="multilevel"/>
    <w:tmpl w:val="07C66D1F"/>
    <w:lvl w:ilvl="0" w:tentative="0">
      <w:start w:val="1"/>
      <w:numFmt w:val="chineseCountingThousand"/>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0BB3063F"/>
    <w:multiLevelType w:val="multilevel"/>
    <w:tmpl w:val="0BB3063F"/>
    <w:lvl w:ilvl="0" w:tentative="0">
      <w:start w:val="1"/>
      <w:numFmt w:val="bullet"/>
      <w:lvlText w:val=""/>
      <w:lvlJc w:val="left"/>
      <w:pPr>
        <w:ind w:left="154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2722155"/>
    <w:multiLevelType w:val="multilevel"/>
    <w:tmpl w:val="52722155"/>
    <w:lvl w:ilvl="0" w:tentative="0">
      <w:start w:val="1"/>
      <w:numFmt w:val="decimal"/>
      <w:lvlText w:val="%1."/>
      <w:lvlJc w:val="left"/>
      <w:pPr>
        <w:ind w:left="920" w:hanging="36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1MDNmYWFiZmNjYjI0YzU1Y2YxYWQ2N2QwOWYzNWQifQ=="/>
  </w:docVars>
  <w:rsids>
    <w:rsidRoot w:val="25F85429"/>
    <w:rsid w:val="0CD647BF"/>
    <w:rsid w:val="10B71B0D"/>
    <w:rsid w:val="1125524D"/>
    <w:rsid w:val="16F9351D"/>
    <w:rsid w:val="193B3686"/>
    <w:rsid w:val="1ADA29C1"/>
    <w:rsid w:val="25F85429"/>
    <w:rsid w:val="26D74229"/>
    <w:rsid w:val="29491391"/>
    <w:rsid w:val="2AAB4039"/>
    <w:rsid w:val="352C3FC8"/>
    <w:rsid w:val="367523A3"/>
    <w:rsid w:val="40C50581"/>
    <w:rsid w:val="40CF0E41"/>
    <w:rsid w:val="4AEA3C7C"/>
    <w:rsid w:val="55067F3A"/>
    <w:rsid w:val="5BAF4251"/>
    <w:rsid w:val="624520A2"/>
    <w:rsid w:val="76DE4B6E"/>
    <w:rsid w:val="7EE93C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ind w:left="100"/>
      <w:jc w:val="left"/>
    </w:pPr>
    <w:rPr>
      <w:rFonts w:ascii="宋体" w:hAnsi="宋体" w:eastAsia="宋体"/>
      <w:kern w:val="0"/>
      <w:sz w:val="24"/>
      <w:szCs w:val="24"/>
      <w:lang w:eastAsia="en-US"/>
    </w:rPr>
  </w:style>
  <w:style w:type="paragraph" w:styleId="3">
    <w:name w:val="footer"/>
    <w:basedOn w:val="1"/>
    <w:qFormat/>
    <w:uiPriority w:val="0"/>
    <w:pPr>
      <w:tabs>
        <w:tab w:val="center" w:pos="4153"/>
        <w:tab w:val="right" w:pos="8306"/>
      </w:tabs>
      <w:snapToGrid w:val="0"/>
      <w:jc w:val="left"/>
    </w:pPr>
    <w:rPr>
      <w:sz w:val="18"/>
      <w:szCs w:val="18"/>
    </w:rPr>
  </w:style>
  <w:style w:type="character" w:styleId="6">
    <w:name w:val="Hyperlink"/>
    <w:basedOn w:val="5"/>
    <w:qFormat/>
    <w:uiPriority w:val="0"/>
    <w:rPr>
      <w:color w:val="0000FF"/>
      <w:u w:val="single"/>
    </w:rPr>
  </w:style>
  <w:style w:type="paragraph" w:styleId="7">
    <w:name w:val="List Paragraph"/>
    <w:basedOn w:val="1"/>
    <w:qFormat/>
    <w:uiPriority w:val="34"/>
    <w:pPr>
      <w:ind w:firstLine="420" w:firstLineChars="200"/>
    </w:pPr>
  </w:style>
  <w:style w:type="paragraph" w:customStyle="1" w:styleId="8">
    <w:name w:val="列出段落1"/>
    <w:basedOn w:val="1"/>
    <w:qFormat/>
    <w:uiPriority w:val="0"/>
    <w:pPr>
      <w:ind w:firstLine="420" w:firstLineChars="200"/>
    </w:pPr>
    <w:rPr>
      <w:rFonts w:ascii="Calibri" w:hAnsi="Calibri" w:eastAsia="宋体" w:cs="黑体"/>
    </w:rPr>
  </w:style>
  <w:style w:type="table" w:customStyle="1" w:styleId="9">
    <w:name w:val="网格表 6 彩色 - 着色 11"/>
    <w:basedOn w:val="4"/>
    <w:qFormat/>
    <w:uiPriority w:val="51"/>
    <w:rPr>
      <w:color w:val="2E54A1" w:themeColor="accent1" w:themeShade="BF"/>
      <w:szCs w:val="22"/>
    </w:rPr>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rPr>
      <w:tcPr>
        <w:tcBorders>
          <w:bottom w:val="single" w:color="91ABDF" w:themeColor="accent1" w:themeTint="99" w:sz="12" w:space="0"/>
        </w:tcBorders>
      </w:tcPr>
    </w:tblStylePr>
    <w:tblStylePr w:type="lastRow">
      <w:rPr>
        <w:b/>
        <w:bCs/>
      </w:rPr>
      <w:tcPr>
        <w:tcBorders>
          <w:top w:val="double" w:color="91ABDF" w:themeColor="accent1" w:themeTint="99"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paragraph" w:customStyle="1" w:styleId="10">
    <w:name w:val="正常"/>
    <w:qFormat/>
    <w:uiPriority w:val="99"/>
    <w:pPr>
      <w:widowControl w:val="0"/>
      <w:jc w:val="both"/>
    </w:pPr>
    <w:rPr>
      <w:rFonts w:ascii="宋体" w:hAnsi="宋体" w:eastAsia="宋体" w:cs="Times New Roman"/>
      <w:sz w:val="24"/>
      <w:lang w:val="en-US" w:eastAsia="zh-CN" w:bidi="ar-SA"/>
    </w:rPr>
  </w:style>
  <w:style w:type="paragraph" w:customStyle="1" w:styleId="11">
    <w:name w:val="K&amp;W Body text"/>
    <w:basedOn w:val="1"/>
    <w:qFormat/>
    <w:uiPriority w:val="0"/>
    <w:pPr>
      <w:widowControl/>
      <w:spacing w:after="280" w:line="240" w:lineRule="atLeast"/>
    </w:pPr>
    <w:rPr>
      <w:rFonts w:ascii="Arial" w:hAnsi="Arial" w:eastAsia="楷体_GB2312" w:cs="Times New Roman"/>
      <w:kern w:val="0"/>
      <w:sz w:val="20"/>
      <w:szCs w:val="20"/>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2496</Words>
  <Characters>2784</Characters>
  <Lines>0</Lines>
  <Paragraphs>0</Paragraphs>
  <TotalTime>15</TotalTime>
  <ScaleCrop>false</ScaleCrop>
  <LinksUpToDate>false</LinksUpToDate>
  <CharactersWithSpaces>2784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2024-11-13T07:45:00Z</dcterms:created>
  <dc:creator>人和人·（长沙）郭亚丹律师</dc:creator>
  <cp:lastModifiedBy>lawyerX</cp:lastModifiedBy>
  <cp:lastPrinted>2024-11-14T03:51:00Z</cp:lastPrinted>
  <dcterms:modified xsi:type="dcterms:W3CDTF">2025-06-06T15:14:02Z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2C689BC82E554CF68AF632388D37F88D_11</vt:lpwstr>
  </property>
  <property fmtid="{D5CDD505-2E9C-101B-9397-08002B2CF9AE}" pid="4" name="KSOTemplateDocerSaveRecord">
    <vt:lpwstr>eyJoZGlkIjoiZGQwYzFkMGVjZmIxNDYxZTczN2Y2ZTQxZjdlNzZiMTIiLCJ1c2VySWQiOiI0NTczOTk0NjAifQ==</vt:lpwstr>
  </property>
</Properties>
</file>