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C4563">
      <w:pPr>
        <w:spacing w:line="360" w:lineRule="auto"/>
        <w:jc w:val="center"/>
        <w:rPr>
          <w:rFonts w:hint="default" w:ascii="仿宋" w:hAnsi="仿宋" w:eastAsia="仿宋" w:cs="仿宋"/>
          <w:b/>
          <w:bCs/>
          <w:sz w:val="32"/>
          <w:szCs w:val="28"/>
          <w:lang w:val="en-US" w:eastAsia="zh-CN"/>
        </w:rPr>
      </w:pPr>
      <w:r>
        <w:rPr>
          <w:rFonts w:hint="eastAsia" w:ascii="仿宋" w:hAnsi="仿宋" w:eastAsia="仿宋" w:cs="仿宋"/>
          <w:b/>
          <w:bCs/>
          <w:sz w:val="32"/>
          <w:szCs w:val="28"/>
          <w:lang w:eastAsia="zh-CN"/>
        </w:rPr>
        <w:t>江苏铭纪实业发展有限公司</w:t>
      </w:r>
      <w:r>
        <w:rPr>
          <w:rFonts w:hint="eastAsia" w:ascii="仿宋" w:hAnsi="仿宋" w:eastAsia="仿宋" w:cs="仿宋"/>
          <w:b/>
          <w:bCs/>
          <w:sz w:val="32"/>
          <w:szCs w:val="28"/>
          <w:lang w:val="en-US" w:eastAsia="zh-CN"/>
        </w:rPr>
        <w:t>破产清算一案</w:t>
      </w:r>
    </w:p>
    <w:p w14:paraId="7E2F4DFF">
      <w:pPr>
        <w:spacing w:line="360" w:lineRule="auto"/>
        <w:jc w:val="center"/>
        <w:rPr>
          <w:rFonts w:hint="eastAsia" w:ascii="仿宋" w:hAnsi="仿宋" w:eastAsia="仿宋" w:cs="仿宋"/>
          <w:szCs w:val="21"/>
        </w:rPr>
      </w:pPr>
      <w:r>
        <w:rPr>
          <w:rFonts w:hint="eastAsia" w:ascii="仿宋" w:hAnsi="仿宋" w:eastAsia="仿宋" w:cs="仿宋"/>
          <w:b/>
          <w:bCs/>
          <w:sz w:val="32"/>
          <w:szCs w:val="28"/>
        </w:rPr>
        <w:t>诚信申报告知书</w:t>
      </w:r>
    </w:p>
    <w:p w14:paraId="6908E6A6">
      <w:pPr>
        <w:spacing w:line="360" w:lineRule="auto"/>
        <w:rPr>
          <w:rFonts w:hint="eastAsia" w:ascii="仿宋" w:hAnsi="仿宋" w:eastAsia="仿宋" w:cs="仿宋"/>
          <w:b/>
          <w:bCs/>
          <w:sz w:val="24"/>
        </w:rPr>
      </w:pPr>
      <w:r>
        <w:rPr>
          <w:rFonts w:hint="eastAsia" w:ascii="仿宋" w:hAnsi="仿宋" w:eastAsia="仿宋" w:cs="仿宋"/>
          <w:b/>
          <w:bCs/>
          <w:sz w:val="24"/>
        </w:rPr>
        <w:t>债权申报人：</w:t>
      </w:r>
    </w:p>
    <w:p w14:paraId="5D8E7BDA">
      <w:pPr>
        <w:spacing w:line="360" w:lineRule="auto"/>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江苏铭纪实业发展有限公司（以下简称“债务人”）因不能清偿到期债务，根据李素英、刘民锋向苏州市吴江区人民法院提出的对江苏铭纪实业发展有限公司的破产清算申请，苏州市吴江区人民法院于2025年7月16日作出（2025）苏0509破申175号，裁定受理江苏铭纪实业发展有限公司破产清算一案，并于同日作出（2025）苏0509破142号决定书，指定北京市盈科（苏州）律师事务所担任管理人。</w:t>
      </w:r>
    </w:p>
    <w:p w14:paraId="6B0D54CB">
      <w:pPr>
        <w:spacing w:line="360" w:lineRule="auto"/>
        <w:ind w:firstLine="480" w:firstLineChars="200"/>
        <w:rPr>
          <w:rFonts w:hint="eastAsia" w:ascii="仿宋" w:hAnsi="仿宋" w:eastAsia="仿宋" w:cs="仿宋"/>
          <w:sz w:val="24"/>
        </w:rPr>
      </w:pPr>
      <w:r>
        <w:rPr>
          <w:rFonts w:hint="eastAsia" w:ascii="仿宋" w:hAnsi="仿宋" w:eastAsia="仿宋" w:cs="仿宋"/>
          <w:sz w:val="24"/>
        </w:rPr>
        <w:t>如贵司（或个人）与</w:t>
      </w:r>
      <w:r>
        <w:rPr>
          <w:rFonts w:hint="eastAsia" w:ascii="仿宋" w:hAnsi="仿宋" w:eastAsia="仿宋" w:cs="仿宋"/>
          <w:sz w:val="24"/>
          <w:lang w:val="en-US" w:eastAsia="zh-CN"/>
        </w:rPr>
        <w:t>江苏铭纪实业发展有限公司</w:t>
      </w:r>
      <w:r>
        <w:rPr>
          <w:rFonts w:hint="eastAsia" w:ascii="仿宋" w:hAnsi="仿宋" w:eastAsia="仿宋" w:cs="仿宋"/>
          <w:sz w:val="24"/>
        </w:rPr>
        <w:t>存在债权债务关系，则需在2025年</w:t>
      </w:r>
      <w:r>
        <w:rPr>
          <w:rFonts w:hint="eastAsia" w:ascii="仿宋" w:hAnsi="仿宋" w:eastAsia="仿宋" w:cs="仿宋"/>
          <w:sz w:val="24"/>
          <w:lang w:val="en-US" w:eastAsia="zh-CN"/>
        </w:rPr>
        <w:t>9</w:t>
      </w:r>
      <w:r>
        <w:rPr>
          <w:rFonts w:hint="eastAsia" w:ascii="仿宋" w:hAnsi="仿宋" w:eastAsia="仿宋" w:cs="仿宋"/>
          <w:sz w:val="24"/>
        </w:rPr>
        <w:t>月</w:t>
      </w:r>
      <w:r>
        <w:rPr>
          <w:rFonts w:hint="eastAsia" w:ascii="仿宋" w:hAnsi="仿宋" w:eastAsia="仿宋" w:cs="仿宋"/>
          <w:sz w:val="24"/>
          <w:lang w:val="en-US" w:eastAsia="zh-CN"/>
        </w:rPr>
        <w:t>14</w:t>
      </w:r>
      <w:r>
        <w:rPr>
          <w:rFonts w:hint="eastAsia" w:ascii="仿宋" w:hAnsi="仿宋" w:eastAsia="仿宋" w:cs="仿宋"/>
          <w:sz w:val="24"/>
        </w:rPr>
        <w:t>日前向管理人提交相关债权申报材料；如贵司（或个人）与</w:t>
      </w:r>
      <w:r>
        <w:rPr>
          <w:rFonts w:hint="eastAsia" w:ascii="仿宋" w:hAnsi="仿宋" w:eastAsia="仿宋" w:cs="仿宋"/>
          <w:sz w:val="24"/>
          <w:lang w:val="en-US" w:eastAsia="zh-CN"/>
        </w:rPr>
        <w:t>江苏铭纪实业发展有限公司</w:t>
      </w:r>
      <w:r>
        <w:rPr>
          <w:rFonts w:hint="eastAsia" w:ascii="仿宋" w:hAnsi="仿宋" w:eastAsia="仿宋" w:cs="仿宋"/>
          <w:sz w:val="24"/>
        </w:rPr>
        <w:t>不存在债权债务关系，无须理会本告知书，不要虚假申报债权。</w:t>
      </w:r>
    </w:p>
    <w:p w14:paraId="11F32212">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2015年10月30日，《中华人民共和国刑法》补充了第三百零七条之一的规定，虚假诉讼罪是指以捏造的事实提起民事诉讼，妨害司法秩序或者严重侵害他人合法权益的行为。</w:t>
      </w:r>
    </w:p>
    <w:p w14:paraId="15A015DB">
      <w:pPr>
        <w:spacing w:line="360" w:lineRule="auto"/>
        <w:ind w:firstLine="482" w:firstLineChars="200"/>
        <w:rPr>
          <w:rFonts w:hint="eastAsia" w:ascii="仿宋" w:hAnsi="仿宋" w:eastAsia="仿宋" w:cs="仿宋"/>
          <w:sz w:val="24"/>
        </w:rPr>
      </w:pPr>
      <w:r>
        <w:rPr>
          <w:rFonts w:hint="eastAsia" w:ascii="仿宋" w:hAnsi="仿宋" w:eastAsia="仿宋" w:cs="仿宋"/>
          <w:b/>
          <w:bCs/>
          <w:sz w:val="24"/>
        </w:rPr>
        <w:t>2018年9月26日， 最高人民法院、最高人民检察院又针对依法惩治虚假诉讼犯罪活动，维护司法秩序，保护公民、法人和其他组织合法权益出台《最高人民法院、最高人民检察院关于办理虚假诉讼刑事案件适用法律若干问题的解释》</w:t>
      </w:r>
      <w:r>
        <w:rPr>
          <w:rFonts w:hint="eastAsia" w:ascii="仿宋" w:hAnsi="仿宋" w:eastAsia="仿宋" w:cs="仿宋"/>
          <w:sz w:val="24"/>
        </w:rPr>
        <w:t>，第一条 采取伪造证据、虚假陈述等手段，</w:t>
      </w:r>
      <w:r>
        <w:rPr>
          <w:rFonts w:hint="eastAsia" w:ascii="仿宋" w:hAnsi="仿宋" w:eastAsia="仿宋" w:cs="仿宋"/>
          <w:b/>
          <w:bCs/>
          <w:sz w:val="24"/>
        </w:rPr>
        <w:t>实施下列行为之一，捏造民事法律关系，虚构民事纠纷，向人民法院提起民事诉讼的，应当认定为刑法第三百零七条之一第一款规定的“以捏造的事实提起民事诉讼”：</w:t>
      </w:r>
    </w:p>
    <w:p w14:paraId="45EE4136">
      <w:pPr>
        <w:spacing w:line="360" w:lineRule="auto"/>
        <w:ind w:firstLine="480" w:firstLineChars="200"/>
        <w:rPr>
          <w:rFonts w:hint="eastAsia" w:ascii="仿宋" w:hAnsi="仿宋" w:eastAsia="仿宋" w:cs="仿宋"/>
          <w:sz w:val="24"/>
        </w:rPr>
      </w:pPr>
      <w:r>
        <w:rPr>
          <w:rFonts w:hint="eastAsia" w:ascii="仿宋" w:hAnsi="仿宋" w:eastAsia="仿宋" w:cs="仿宋"/>
          <w:sz w:val="24"/>
        </w:rPr>
        <w:t>(一)与夫妻一方恶意串通，捏造夫妻共同债务的；</w:t>
      </w:r>
    </w:p>
    <w:p w14:paraId="0E430114">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(二)与他人恶意串通，捏造债权债务关系和以物抵债协议的；</w:t>
      </w:r>
    </w:p>
    <w:p w14:paraId="0DF2077C">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(三)与公司、企业的法定代表人、董事、监事、经理或者其他管理人员恶意串通，捏造公司、企业债务或者担保义务的；</w:t>
      </w:r>
    </w:p>
    <w:p w14:paraId="577AF79A">
      <w:pPr>
        <w:spacing w:line="360" w:lineRule="auto"/>
        <w:ind w:firstLine="480" w:firstLineChars="200"/>
        <w:rPr>
          <w:rFonts w:hint="eastAsia" w:ascii="仿宋" w:hAnsi="仿宋" w:eastAsia="仿宋" w:cs="仿宋"/>
          <w:sz w:val="24"/>
        </w:rPr>
      </w:pPr>
      <w:r>
        <w:rPr>
          <w:rFonts w:hint="eastAsia" w:ascii="仿宋" w:hAnsi="仿宋" w:eastAsia="仿宋" w:cs="仿宋"/>
          <w:sz w:val="24"/>
        </w:rPr>
        <w:t>(四)捏造知识产权侵权关系或者不正当竞争关系的；</w:t>
      </w:r>
    </w:p>
    <w:p w14:paraId="5F6F938C">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(五)在破产案件审理过程中申报捏造的债权的；</w:t>
      </w:r>
    </w:p>
    <w:p w14:paraId="2DEF8592">
      <w:pPr>
        <w:spacing w:line="360" w:lineRule="auto"/>
        <w:ind w:firstLine="480" w:firstLineChars="200"/>
        <w:rPr>
          <w:rFonts w:hint="eastAsia" w:ascii="仿宋" w:hAnsi="仿宋" w:eastAsia="仿宋" w:cs="仿宋"/>
          <w:sz w:val="24"/>
        </w:rPr>
      </w:pPr>
      <w:r>
        <w:rPr>
          <w:rFonts w:hint="eastAsia" w:ascii="仿宋" w:hAnsi="仿宋" w:eastAsia="仿宋" w:cs="仿宋"/>
          <w:sz w:val="24"/>
        </w:rPr>
        <w:t>(六)与被执行人恶意串通，捏造债权或者对查封、扣押、冻结财产的优先权、担保物权的；</w:t>
      </w:r>
    </w:p>
    <w:p w14:paraId="55F2E0A9">
      <w:pPr>
        <w:spacing w:line="360" w:lineRule="auto"/>
        <w:ind w:firstLine="480" w:firstLineChars="200"/>
        <w:rPr>
          <w:rFonts w:hint="eastAsia" w:ascii="仿宋" w:hAnsi="仿宋" w:eastAsia="仿宋" w:cs="仿宋"/>
          <w:sz w:val="24"/>
        </w:rPr>
      </w:pPr>
      <w:r>
        <w:rPr>
          <w:rFonts w:hint="eastAsia" w:ascii="仿宋" w:hAnsi="仿宋" w:eastAsia="仿宋" w:cs="仿宋"/>
          <w:sz w:val="24"/>
        </w:rPr>
        <w:t>(七)单方或者与他人恶意串通，捏造身份、合同、侵权、继承等民事法律关系的其他行为。</w:t>
      </w:r>
    </w:p>
    <w:p w14:paraId="2E5536EF">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隐瞒债务已经全部清偿的事实，向人民法院提起民事诉讼，要求他人履行债务的，以“以捏造的事实提起民事诉讼”论。</w:t>
      </w:r>
    </w:p>
    <w:p w14:paraId="28DBE405">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现管理人依据上述法律规定，特向各位债权人告知以下事项：</w:t>
      </w:r>
    </w:p>
    <w:p w14:paraId="788CD515">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1、在申报债权时，如涉及虚假申报。请在收到本告知书5个工作日内向管理人进行更正申报。</w:t>
      </w:r>
    </w:p>
    <w:p w14:paraId="6CC72B4E">
      <w:pPr>
        <w:spacing w:line="360" w:lineRule="auto"/>
        <w:ind w:firstLine="482" w:firstLineChars="200"/>
        <w:rPr>
          <w:rFonts w:hint="eastAsia" w:ascii="仿宋" w:hAnsi="仿宋" w:eastAsia="仿宋" w:cs="仿宋"/>
          <w:b/>
          <w:sz w:val="24"/>
        </w:rPr>
      </w:pPr>
      <w:r>
        <w:rPr>
          <w:rFonts w:hint="eastAsia" w:ascii="仿宋" w:hAnsi="仿宋" w:eastAsia="仿宋" w:cs="仿宋"/>
          <w:b/>
          <w:sz w:val="24"/>
        </w:rPr>
        <w:t>2、申报债权中，如所涉债权有归还情况的，请在收到本告知书5个工作日内向管理人提供还款情况说明、相应证据材料。</w:t>
      </w:r>
    </w:p>
    <w:p w14:paraId="62012BD4">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如未在期限内更正或提供的，视为申报债权无误，管理人一旦查实涉及上述情况的，将依据《最高人民法院、最高人民检察院关于办理虚假诉讼刑事案件适用法律若干问题的解释》移送刑事机关处理，望各债权人如实核对申报债权情况。</w:t>
      </w:r>
    </w:p>
    <w:p w14:paraId="2E5BCBCC">
      <w:pPr>
        <w:spacing w:line="360" w:lineRule="auto"/>
        <w:ind w:firstLine="480" w:firstLineChars="200"/>
        <w:rPr>
          <w:rFonts w:hint="eastAsia" w:ascii="仿宋" w:hAnsi="仿宋" w:eastAsia="仿宋" w:cs="仿宋"/>
          <w:sz w:val="24"/>
        </w:rPr>
      </w:pPr>
      <w:r>
        <w:rPr>
          <w:rFonts w:hint="eastAsia" w:ascii="仿宋" w:hAnsi="仿宋" w:eastAsia="仿宋" w:cs="仿宋"/>
          <w:sz w:val="24"/>
        </w:rPr>
        <w:t>特此告知！</w:t>
      </w:r>
    </w:p>
    <w:p w14:paraId="3F86A510">
      <w:pPr>
        <w:spacing w:line="360" w:lineRule="auto"/>
        <w:ind w:firstLine="421"/>
        <w:rPr>
          <w:rFonts w:hint="eastAsia" w:ascii="仿宋" w:hAnsi="仿宋" w:eastAsia="仿宋" w:cs="仿宋"/>
          <w:szCs w:val="21"/>
        </w:rPr>
      </w:pPr>
    </w:p>
    <w:p w14:paraId="05567CAD">
      <w:pPr>
        <w:spacing w:line="360" w:lineRule="auto"/>
        <w:ind w:firstLine="421"/>
        <w:jc w:val="right"/>
        <w:rPr>
          <w:rFonts w:hint="eastAsia" w:ascii="仿宋" w:hAnsi="仿宋" w:eastAsia="仿宋" w:cs="仿宋"/>
          <w:bCs/>
          <w:sz w:val="24"/>
        </w:rPr>
      </w:pPr>
      <w:r>
        <w:rPr>
          <w:rFonts w:hint="eastAsia" w:ascii="仿宋" w:hAnsi="仿宋" w:eastAsia="仿宋" w:cs="仿宋"/>
          <w:sz w:val="24"/>
          <w:lang w:val="en-US" w:eastAsia="zh-CN"/>
        </w:rPr>
        <w:t>江苏铭纪实业发展有限公司</w:t>
      </w:r>
      <w:r>
        <w:rPr>
          <w:rFonts w:hint="eastAsia" w:ascii="仿宋" w:hAnsi="仿宋" w:eastAsia="仿宋" w:cs="仿宋"/>
          <w:bCs/>
          <w:sz w:val="24"/>
        </w:rPr>
        <w:t xml:space="preserve">管理人                                         </w:t>
      </w:r>
    </w:p>
    <w:p w14:paraId="72F40E2F">
      <w:pPr>
        <w:spacing w:line="360" w:lineRule="auto"/>
        <w:jc w:val="right"/>
        <w:rPr>
          <w:rFonts w:hint="eastAsia" w:ascii="仿宋" w:hAnsi="仿宋" w:eastAsia="仿宋" w:cs="仿宋"/>
          <w:sz w:val="24"/>
          <w:szCs w:val="24"/>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4"/>
          <w:szCs w:val="24"/>
          <w:lang w:val="en-US" w:eastAsia="zh-CN"/>
        </w:rPr>
        <w:t>二〇二五年七月二十四日</w:t>
      </w:r>
    </w:p>
    <w:p w14:paraId="57A007F5">
      <w:pPr>
        <w:spacing w:line="276" w:lineRule="auto"/>
        <w:jc w:val="center"/>
        <w:rPr>
          <w:rFonts w:hint="eastAsia" w:ascii="仿宋" w:hAnsi="仿宋" w:eastAsia="仿宋" w:cs="仿宋"/>
          <w:b/>
          <w:sz w:val="32"/>
          <w:szCs w:val="32"/>
        </w:rPr>
      </w:pPr>
      <w:r>
        <w:rPr>
          <w:rFonts w:hint="eastAsia" w:ascii="仿宋" w:hAnsi="仿宋" w:eastAsia="仿宋" w:cs="仿宋"/>
          <w:b/>
          <w:sz w:val="32"/>
          <w:szCs w:val="32"/>
          <w:lang w:eastAsia="zh-CN"/>
        </w:rPr>
        <w:t>江苏铭纪实业发展有限公司</w:t>
      </w:r>
      <w:r>
        <w:rPr>
          <w:rFonts w:hint="eastAsia" w:ascii="仿宋" w:hAnsi="仿宋" w:eastAsia="仿宋" w:cs="仿宋"/>
          <w:b/>
          <w:sz w:val="32"/>
          <w:szCs w:val="32"/>
        </w:rPr>
        <w:t>破产清算案</w:t>
      </w:r>
    </w:p>
    <w:p w14:paraId="1F249EF5">
      <w:pPr>
        <w:spacing w:line="276" w:lineRule="auto"/>
        <w:jc w:val="center"/>
        <w:rPr>
          <w:rFonts w:hint="eastAsia" w:ascii="仿宋" w:hAnsi="仿宋" w:eastAsia="仿宋" w:cs="仿宋"/>
          <w:b/>
          <w:sz w:val="32"/>
          <w:szCs w:val="32"/>
        </w:rPr>
      </w:pPr>
      <w:r>
        <w:rPr>
          <w:rFonts w:hint="eastAsia" w:ascii="仿宋" w:hAnsi="仿宋" w:eastAsia="仿宋" w:cs="仿宋"/>
          <w:b/>
          <w:sz w:val="32"/>
          <w:szCs w:val="32"/>
        </w:rPr>
        <w:t>债权申报须知</w:t>
      </w:r>
    </w:p>
    <w:p w14:paraId="4F976E93">
      <w:pPr>
        <w:spacing w:line="276" w:lineRule="auto"/>
        <w:jc w:val="right"/>
        <w:rPr>
          <w:rFonts w:hint="eastAsia" w:ascii="仿宋" w:hAnsi="仿宋" w:eastAsia="仿宋" w:cs="仿宋"/>
          <w:b/>
          <w:bCs/>
          <w:szCs w:val="21"/>
        </w:rPr>
      </w:pPr>
    </w:p>
    <w:p w14:paraId="20BB8DE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债权申报人：</w:t>
      </w:r>
    </w:p>
    <w:p w14:paraId="11C27FF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 w:hAnsi="仿宋" w:eastAsia="仿宋" w:cs="仿宋"/>
          <w:szCs w:val="21"/>
        </w:rPr>
      </w:pPr>
      <w:r>
        <w:rPr>
          <w:rFonts w:hint="eastAsia" w:ascii="仿宋" w:hAnsi="仿宋" w:eastAsia="仿宋" w:cs="仿宋"/>
          <w:szCs w:val="21"/>
          <w:lang w:eastAsia="zh-CN"/>
        </w:rPr>
        <w:t>江苏铭纪实业发展有限公司</w:t>
      </w:r>
      <w:r>
        <w:rPr>
          <w:rFonts w:hint="eastAsia" w:ascii="仿宋" w:hAnsi="仿宋" w:eastAsia="仿宋" w:cs="仿宋"/>
          <w:szCs w:val="21"/>
        </w:rPr>
        <w:t>（以下简称“债务人”）因不能清偿到期债务，根据</w:t>
      </w:r>
      <w:r>
        <w:rPr>
          <w:rFonts w:hint="eastAsia" w:ascii="仿宋" w:hAnsi="仿宋" w:eastAsia="仿宋" w:cs="仿宋"/>
          <w:szCs w:val="21"/>
          <w:lang w:eastAsia="zh-CN"/>
        </w:rPr>
        <w:t>李素英、刘民锋</w:t>
      </w:r>
      <w:r>
        <w:rPr>
          <w:rFonts w:hint="eastAsia" w:ascii="仿宋" w:hAnsi="仿宋" w:eastAsia="仿宋" w:cs="仿宋"/>
          <w:szCs w:val="21"/>
        </w:rPr>
        <w:t>向苏州市吴江区人民法院提出的对</w:t>
      </w:r>
      <w:r>
        <w:rPr>
          <w:rFonts w:hint="eastAsia" w:ascii="仿宋" w:hAnsi="仿宋" w:eastAsia="仿宋" w:cs="仿宋"/>
          <w:szCs w:val="21"/>
          <w:lang w:val="en-US" w:eastAsia="zh-CN"/>
        </w:rPr>
        <w:t>债务人</w:t>
      </w:r>
      <w:r>
        <w:rPr>
          <w:rFonts w:hint="eastAsia" w:ascii="仿宋" w:hAnsi="仿宋" w:eastAsia="仿宋" w:cs="仿宋"/>
          <w:szCs w:val="21"/>
        </w:rPr>
        <w:t>的破产清算申请，苏州市吴江区人民法院于2025年</w:t>
      </w:r>
      <w:r>
        <w:rPr>
          <w:rFonts w:hint="eastAsia" w:ascii="仿宋" w:hAnsi="仿宋" w:eastAsia="仿宋" w:cs="仿宋"/>
          <w:szCs w:val="21"/>
          <w:lang w:val="en-US" w:eastAsia="zh-CN"/>
        </w:rPr>
        <w:t>7</w:t>
      </w:r>
      <w:r>
        <w:rPr>
          <w:rFonts w:hint="eastAsia" w:ascii="仿宋" w:hAnsi="仿宋" w:eastAsia="仿宋" w:cs="仿宋"/>
          <w:szCs w:val="21"/>
        </w:rPr>
        <w:t>月</w:t>
      </w:r>
      <w:r>
        <w:rPr>
          <w:rFonts w:hint="eastAsia" w:ascii="仿宋" w:hAnsi="仿宋" w:eastAsia="仿宋" w:cs="仿宋"/>
          <w:szCs w:val="21"/>
          <w:lang w:val="en-US" w:eastAsia="zh-CN"/>
        </w:rPr>
        <w:t>16</w:t>
      </w:r>
      <w:r>
        <w:rPr>
          <w:rFonts w:hint="eastAsia" w:ascii="仿宋" w:hAnsi="仿宋" w:eastAsia="仿宋" w:cs="仿宋"/>
          <w:szCs w:val="21"/>
        </w:rPr>
        <w:t>日作出（2025）苏0509破申</w:t>
      </w:r>
      <w:r>
        <w:rPr>
          <w:rFonts w:hint="eastAsia" w:ascii="仿宋" w:hAnsi="仿宋" w:eastAsia="仿宋" w:cs="仿宋"/>
          <w:szCs w:val="21"/>
          <w:lang w:val="en-US" w:eastAsia="zh-CN"/>
        </w:rPr>
        <w:t>175</w:t>
      </w:r>
      <w:r>
        <w:rPr>
          <w:rFonts w:hint="eastAsia" w:ascii="仿宋" w:hAnsi="仿宋" w:eastAsia="仿宋" w:cs="仿宋"/>
          <w:szCs w:val="21"/>
        </w:rPr>
        <w:t>号，裁定受理</w:t>
      </w:r>
      <w:r>
        <w:rPr>
          <w:rFonts w:hint="eastAsia" w:ascii="仿宋" w:hAnsi="仿宋" w:eastAsia="仿宋" w:cs="仿宋"/>
          <w:szCs w:val="21"/>
          <w:lang w:val="en-US" w:eastAsia="zh-CN"/>
        </w:rPr>
        <w:t>债务人</w:t>
      </w:r>
      <w:r>
        <w:rPr>
          <w:rFonts w:hint="eastAsia" w:ascii="仿宋" w:hAnsi="仿宋" w:eastAsia="仿宋" w:cs="仿宋"/>
          <w:szCs w:val="21"/>
        </w:rPr>
        <w:t>破产清算一案，并于同日作出（2025）苏0509破</w:t>
      </w:r>
      <w:r>
        <w:rPr>
          <w:rFonts w:hint="eastAsia" w:ascii="仿宋" w:hAnsi="仿宋" w:eastAsia="仿宋" w:cs="仿宋"/>
          <w:szCs w:val="21"/>
          <w:lang w:val="en-US" w:eastAsia="zh-CN"/>
        </w:rPr>
        <w:t>142</w:t>
      </w:r>
      <w:r>
        <w:rPr>
          <w:rFonts w:hint="eastAsia" w:ascii="仿宋" w:hAnsi="仿宋" w:eastAsia="仿宋" w:cs="仿宋"/>
          <w:szCs w:val="21"/>
        </w:rPr>
        <w:t>号决定书，指定北京市盈科（苏州）律师事务所担任管理人。</w:t>
      </w:r>
    </w:p>
    <w:p w14:paraId="08BB5B2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仿宋" w:hAnsi="仿宋" w:eastAsia="仿宋" w:cs="仿宋"/>
          <w:b/>
          <w:bCs/>
          <w:szCs w:val="21"/>
          <w:lang w:eastAsia="zh-CN"/>
        </w:rPr>
      </w:pPr>
      <w:r>
        <w:rPr>
          <w:rFonts w:hint="eastAsia" w:ascii="仿宋" w:hAnsi="仿宋" w:eastAsia="仿宋" w:cs="仿宋"/>
          <w:szCs w:val="21"/>
        </w:rPr>
        <w:t>为保证债权申报工作的顺利进行，各债权申报人应依据管理人日前已经发出的《通知书》、《债权申报表》及本须知的要求，妥善填写及准备相关资料，于</w:t>
      </w:r>
      <w:r>
        <w:rPr>
          <w:rFonts w:hint="eastAsia" w:ascii="仿宋" w:hAnsi="仿宋" w:eastAsia="仿宋" w:cs="仿宋"/>
          <w:bCs/>
          <w:szCs w:val="21"/>
        </w:rPr>
        <w:t>202</w:t>
      </w:r>
      <w:r>
        <w:rPr>
          <w:rFonts w:hint="eastAsia" w:ascii="仿宋" w:hAnsi="仿宋" w:eastAsia="仿宋" w:cs="仿宋"/>
          <w:bCs/>
          <w:szCs w:val="21"/>
          <w:lang w:val="en-US" w:eastAsia="zh-CN"/>
        </w:rPr>
        <w:t>5</w:t>
      </w:r>
      <w:r>
        <w:rPr>
          <w:rFonts w:hint="eastAsia" w:ascii="仿宋" w:hAnsi="仿宋" w:eastAsia="仿宋" w:cs="仿宋"/>
          <w:bCs/>
          <w:szCs w:val="21"/>
        </w:rPr>
        <w:t>年</w:t>
      </w:r>
      <w:r>
        <w:rPr>
          <w:rFonts w:hint="eastAsia" w:ascii="仿宋" w:hAnsi="仿宋" w:eastAsia="仿宋" w:cs="仿宋"/>
          <w:bCs/>
          <w:szCs w:val="21"/>
          <w:lang w:val="en-US" w:eastAsia="zh-CN"/>
        </w:rPr>
        <w:t>9</w:t>
      </w:r>
      <w:r>
        <w:rPr>
          <w:rFonts w:hint="eastAsia" w:ascii="仿宋" w:hAnsi="仿宋" w:eastAsia="仿宋" w:cs="仿宋"/>
          <w:bCs/>
          <w:szCs w:val="21"/>
        </w:rPr>
        <w:t>月</w:t>
      </w:r>
      <w:r>
        <w:rPr>
          <w:rFonts w:hint="eastAsia" w:ascii="仿宋" w:hAnsi="仿宋" w:eastAsia="仿宋" w:cs="仿宋"/>
          <w:bCs/>
          <w:szCs w:val="21"/>
          <w:lang w:val="en-US" w:eastAsia="zh-CN"/>
        </w:rPr>
        <w:t>14</w:t>
      </w:r>
      <w:r>
        <w:rPr>
          <w:rFonts w:hint="eastAsia" w:ascii="仿宋" w:hAnsi="仿宋" w:eastAsia="仿宋" w:cs="仿宋"/>
          <w:bCs/>
          <w:szCs w:val="21"/>
        </w:rPr>
        <w:t>日前</w:t>
      </w:r>
      <w:r>
        <w:rPr>
          <w:rFonts w:hint="eastAsia" w:ascii="仿宋" w:hAnsi="仿宋" w:eastAsia="仿宋" w:cs="仿宋"/>
          <w:szCs w:val="21"/>
        </w:rPr>
        <w:t>向管理人送交债权申报资料。</w:t>
      </w:r>
      <w:r>
        <w:rPr>
          <w:rFonts w:hint="eastAsia" w:ascii="仿宋" w:hAnsi="仿宋" w:eastAsia="仿宋" w:cs="仿宋"/>
          <w:b/>
          <w:bCs/>
          <w:szCs w:val="21"/>
        </w:rPr>
        <w:t>未在确定的申报期限内申报债权的，可以在破产财产最后分配前补充申报，但应当承担因审查和确认补充申报债权而产生的费用</w:t>
      </w:r>
      <w:r>
        <w:rPr>
          <w:rFonts w:hint="eastAsia" w:ascii="仿宋" w:hAnsi="仿宋" w:eastAsia="仿宋" w:cs="仿宋"/>
          <w:b/>
          <w:bCs/>
          <w:szCs w:val="21"/>
          <w:lang w:eastAsia="zh-CN"/>
        </w:rPr>
        <w:t>（</w:t>
      </w:r>
      <w:r>
        <w:rPr>
          <w:rFonts w:hint="eastAsia" w:ascii="仿宋" w:hAnsi="仿宋" w:eastAsia="仿宋" w:cs="仿宋"/>
          <w:b/>
          <w:bCs/>
          <w:szCs w:val="21"/>
          <w:lang w:val="en-US" w:eastAsia="zh-CN"/>
        </w:rPr>
        <w:t>按照相关法律规定标准收取</w:t>
      </w:r>
      <w:r>
        <w:rPr>
          <w:rFonts w:hint="eastAsia" w:ascii="仿宋" w:hAnsi="仿宋" w:eastAsia="仿宋" w:cs="仿宋"/>
          <w:b/>
          <w:bCs/>
          <w:szCs w:val="21"/>
          <w:lang w:eastAsia="zh-CN"/>
        </w:rPr>
        <w:t>）。</w:t>
      </w:r>
    </w:p>
    <w:p w14:paraId="210E3F9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 xml:space="preserve">    要求：</w:t>
      </w:r>
    </w:p>
    <w:p w14:paraId="5AA2F6A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一、债权申报登记表</w:t>
      </w:r>
    </w:p>
    <w:p w14:paraId="5FC12D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填写要求：申报人为公司等法人或其他组织的，应加盖公章并由法定代表人或负责人签字；申报人为自然人（即个人）的，应由本人签字并按手印。</w:t>
      </w:r>
    </w:p>
    <w:p w14:paraId="40EFE96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【注：1、表格提交原件一份；2、债权申报金额应准确，如有利息、滞纳金、违约金等，应附书面说明计算方式及依据】</w:t>
      </w:r>
    </w:p>
    <w:p w14:paraId="6783DE9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二、申报人主体资格材料</w:t>
      </w:r>
    </w:p>
    <w:p w14:paraId="52C9937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1、申报人为公司等法人或其他组织的，应提交营业执照副本复印件、组织机构代码证复印件及法定代表人身份证明（原件，格式后附）；</w:t>
      </w:r>
    </w:p>
    <w:p w14:paraId="0ABF6CA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2、申报人为自然人的，应提交身份证复印件（身份证正反面需复印在同一张纸上）。</w:t>
      </w:r>
    </w:p>
    <w:p w14:paraId="208C2F1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【注：申报人委托代理人的，应提交授权委托书（原件一份，格式后附）】</w:t>
      </w:r>
    </w:p>
    <w:p w14:paraId="5DFA45B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三、证明所申报债权的证据资料</w:t>
      </w:r>
    </w:p>
    <w:p w14:paraId="08065D2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1、各类合同、订单、送货单、发票、付款凭证等；</w:t>
      </w:r>
    </w:p>
    <w:p w14:paraId="32CED8B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2、债权如有担保的，应提交抵押合同、质押合同或保证合同及相关登记文件；</w:t>
      </w:r>
    </w:p>
    <w:p w14:paraId="35EAACB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3、债权如涉及诉讼、仲裁或执行的，应提交诉讼、仲裁或执行的有关文件；</w:t>
      </w:r>
    </w:p>
    <w:p w14:paraId="6E70D8E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4、其他能够证明申报债权事实存在及有效的证据资料；</w:t>
      </w:r>
    </w:p>
    <w:p w14:paraId="62071C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【注：1、以上，均请提供复印件一份，并准备好原件、待管理人核查；2、应提交真实证据，不应有任何伪造或其他明知虚假仍予提交的资料】</w:t>
      </w:r>
    </w:p>
    <w:p w14:paraId="3181319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szCs w:val="21"/>
        </w:rPr>
      </w:pPr>
      <w:r>
        <w:rPr>
          <w:rFonts w:hint="eastAsia" w:ascii="仿宋" w:hAnsi="仿宋" w:eastAsia="仿宋" w:cs="仿宋"/>
          <w:b/>
          <w:szCs w:val="21"/>
        </w:rPr>
        <w:t xml:space="preserve">    四、债权人送达地址确认书</w:t>
      </w:r>
    </w:p>
    <w:p w14:paraId="32F9A8D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Cs w:val="21"/>
        </w:rPr>
      </w:pPr>
      <w:r>
        <w:rPr>
          <w:rFonts w:hint="eastAsia" w:ascii="仿宋" w:hAnsi="仿宋" w:eastAsia="仿宋" w:cs="仿宋"/>
          <w:szCs w:val="21"/>
        </w:rPr>
        <w:t xml:space="preserve">    申报人为公司等法人或其他组织的，应加盖公章并由法定代表人或负责人签字；申报人为自然人（即个人）的，应由本人签字并按手印。</w:t>
      </w:r>
    </w:p>
    <w:p w14:paraId="731E334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1" w:leftChars="0" w:firstLine="0" w:firstLineChars="0"/>
        <w:textAlignment w:val="auto"/>
        <w:rPr>
          <w:rFonts w:hint="eastAsia" w:ascii="仿宋" w:hAnsi="仿宋" w:eastAsia="仿宋" w:cs="仿宋"/>
          <w:b/>
          <w:szCs w:val="21"/>
        </w:rPr>
      </w:pPr>
      <w:r>
        <w:rPr>
          <w:rFonts w:hint="eastAsia" w:ascii="仿宋" w:hAnsi="仿宋" w:eastAsia="仿宋" w:cs="仿宋"/>
          <w:b/>
          <w:szCs w:val="21"/>
        </w:rPr>
        <w:t>配合提供管理人可能随时要求的其他资料。</w:t>
      </w:r>
    </w:p>
    <w:p w14:paraId="198A13F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1" w:leftChars="0"/>
        <w:textAlignment w:val="auto"/>
        <w:rPr>
          <w:rFonts w:hint="eastAsia" w:ascii="仿宋" w:hAnsi="仿宋" w:eastAsia="仿宋" w:cs="仿宋"/>
          <w:b/>
          <w:szCs w:val="21"/>
        </w:rPr>
      </w:pPr>
    </w:p>
    <w:p w14:paraId="700F6861">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仿宋" w:hAnsi="仿宋" w:eastAsia="仿宋" w:cs="仿宋"/>
          <w:b/>
          <w:bCs/>
          <w:szCs w:val="21"/>
        </w:rPr>
      </w:pPr>
      <w:r>
        <w:rPr>
          <w:rFonts w:hint="eastAsia" w:ascii="仿宋" w:hAnsi="仿宋" w:eastAsia="仿宋" w:cs="仿宋"/>
          <w:b/>
          <w:bCs/>
          <w:szCs w:val="21"/>
          <w:lang w:eastAsia="zh-CN"/>
        </w:rPr>
        <w:t>江苏铭纪实业发展有限公司</w:t>
      </w:r>
      <w:r>
        <w:rPr>
          <w:rFonts w:hint="eastAsia" w:ascii="仿宋" w:hAnsi="仿宋" w:eastAsia="仿宋" w:cs="仿宋"/>
          <w:b/>
          <w:bCs/>
          <w:szCs w:val="21"/>
        </w:rPr>
        <w:t xml:space="preserve">管理人                                         </w:t>
      </w:r>
    </w:p>
    <w:p w14:paraId="40843066">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ascii="仿宋" w:hAnsi="仿宋" w:eastAsia="仿宋" w:cs="仿宋"/>
          <w:b/>
          <w:bCs/>
          <w:szCs w:val="21"/>
        </w:rPr>
      </w:pPr>
      <w:r>
        <w:rPr>
          <w:rFonts w:hint="eastAsia" w:ascii="仿宋" w:hAnsi="仿宋" w:eastAsia="仿宋" w:cs="仿宋"/>
          <w:b/>
          <w:bCs/>
          <w:szCs w:val="21"/>
        </w:rPr>
        <w:t>二〇二</w:t>
      </w:r>
      <w:r>
        <w:rPr>
          <w:rFonts w:hint="eastAsia" w:ascii="仿宋" w:hAnsi="仿宋" w:eastAsia="仿宋" w:cs="仿宋"/>
          <w:b/>
          <w:bCs/>
          <w:szCs w:val="21"/>
          <w:lang w:val="en-US" w:eastAsia="zh-CN"/>
        </w:rPr>
        <w:t>五</w:t>
      </w:r>
      <w:r>
        <w:rPr>
          <w:rFonts w:hint="eastAsia" w:ascii="仿宋" w:hAnsi="仿宋" w:eastAsia="仿宋" w:cs="仿宋"/>
          <w:b/>
          <w:bCs/>
          <w:szCs w:val="21"/>
        </w:rPr>
        <w:t>年</w:t>
      </w:r>
      <w:r>
        <w:rPr>
          <w:rFonts w:hint="eastAsia" w:ascii="仿宋" w:hAnsi="仿宋" w:eastAsia="仿宋" w:cs="仿宋"/>
          <w:b/>
          <w:bCs/>
          <w:szCs w:val="21"/>
          <w:lang w:val="en-US" w:eastAsia="zh-CN"/>
        </w:rPr>
        <w:t>七</w:t>
      </w:r>
      <w:r>
        <w:rPr>
          <w:rFonts w:hint="eastAsia" w:ascii="仿宋" w:hAnsi="仿宋" w:eastAsia="仿宋" w:cs="仿宋"/>
          <w:b/>
          <w:bCs/>
          <w:szCs w:val="21"/>
        </w:rPr>
        <w:t>月</w:t>
      </w:r>
      <w:r>
        <w:rPr>
          <w:rFonts w:hint="eastAsia" w:ascii="仿宋" w:hAnsi="仿宋" w:eastAsia="仿宋" w:cs="仿宋"/>
          <w:b/>
          <w:bCs/>
          <w:szCs w:val="21"/>
          <w:lang w:val="en-US" w:eastAsia="zh-CN"/>
        </w:rPr>
        <w:t>二十四</w:t>
      </w:r>
      <w:r>
        <w:rPr>
          <w:rFonts w:hint="eastAsia" w:ascii="仿宋" w:hAnsi="仿宋" w:eastAsia="仿宋" w:cs="仿宋"/>
          <w:b/>
          <w:bCs/>
          <w:szCs w:val="21"/>
        </w:rPr>
        <w:t>日</w:t>
      </w:r>
    </w:p>
    <w:p w14:paraId="36F297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p>
    <w:p w14:paraId="3F49661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Cs w:val="21"/>
        </w:rPr>
      </w:pPr>
      <w:r>
        <w:rPr>
          <w:rFonts w:hint="eastAsia" w:ascii="仿宋" w:hAnsi="仿宋" w:eastAsia="仿宋" w:cs="仿宋"/>
          <w:b/>
          <w:bCs/>
          <w:szCs w:val="21"/>
        </w:rPr>
        <w:t>注：</w:t>
      </w:r>
      <w:r>
        <w:rPr>
          <w:rFonts w:hint="eastAsia" w:ascii="仿宋" w:hAnsi="仿宋" w:eastAsia="仿宋" w:cs="仿宋"/>
          <w:b/>
          <w:bCs/>
          <w:szCs w:val="21"/>
        </w:rPr>
        <w:sym w:font="Wingdings" w:char="F081"/>
      </w:r>
      <w:r>
        <w:rPr>
          <w:rFonts w:hint="eastAsia" w:ascii="仿宋" w:hAnsi="仿宋" w:eastAsia="仿宋" w:cs="仿宋"/>
          <w:b/>
          <w:bCs/>
          <w:szCs w:val="21"/>
        </w:rPr>
        <w:t>债权申报截止日期为：</w:t>
      </w:r>
      <w:r>
        <w:rPr>
          <w:rFonts w:hint="eastAsia" w:ascii="仿宋" w:hAnsi="仿宋" w:eastAsia="仿宋" w:cs="仿宋"/>
          <w:b/>
          <w:bCs/>
          <w:szCs w:val="21"/>
          <w:u w:val="single"/>
        </w:rPr>
        <w:t>202</w:t>
      </w:r>
      <w:r>
        <w:rPr>
          <w:rFonts w:hint="eastAsia" w:ascii="仿宋" w:hAnsi="仿宋" w:eastAsia="仿宋" w:cs="仿宋"/>
          <w:b/>
          <w:bCs/>
          <w:szCs w:val="21"/>
          <w:u w:val="single"/>
          <w:lang w:val="en-US" w:eastAsia="zh-CN"/>
        </w:rPr>
        <w:t>5年9</w:t>
      </w:r>
      <w:r>
        <w:rPr>
          <w:rFonts w:hint="eastAsia" w:ascii="仿宋" w:hAnsi="仿宋" w:eastAsia="仿宋" w:cs="仿宋"/>
          <w:b/>
          <w:bCs/>
          <w:szCs w:val="21"/>
          <w:u w:val="single"/>
        </w:rPr>
        <w:t>月</w:t>
      </w:r>
      <w:r>
        <w:rPr>
          <w:rFonts w:hint="eastAsia" w:ascii="仿宋" w:hAnsi="仿宋" w:eastAsia="仿宋" w:cs="仿宋"/>
          <w:b/>
          <w:bCs/>
          <w:szCs w:val="21"/>
          <w:u w:val="single"/>
          <w:lang w:val="en-US" w:eastAsia="zh-CN"/>
        </w:rPr>
        <w:t>14</w:t>
      </w:r>
      <w:r>
        <w:rPr>
          <w:rFonts w:hint="eastAsia" w:ascii="仿宋" w:hAnsi="仿宋" w:eastAsia="仿宋" w:cs="仿宋"/>
          <w:b/>
          <w:bCs/>
          <w:szCs w:val="21"/>
          <w:u w:val="single"/>
        </w:rPr>
        <w:t>日</w:t>
      </w:r>
      <w:r>
        <w:rPr>
          <w:rFonts w:hint="eastAsia" w:ascii="仿宋" w:hAnsi="仿宋" w:eastAsia="仿宋" w:cs="仿宋"/>
          <w:b/>
          <w:bCs/>
          <w:szCs w:val="21"/>
          <w:u w:val="none"/>
          <w:lang w:eastAsia="zh-CN"/>
        </w:rPr>
        <w:t>。</w:t>
      </w:r>
      <w:r>
        <w:rPr>
          <w:rFonts w:hint="eastAsia" w:ascii="仿宋" w:hAnsi="仿宋" w:eastAsia="仿宋" w:cs="仿宋"/>
          <w:b/>
          <w:bCs/>
          <w:szCs w:val="21"/>
        </w:rPr>
        <w:t xml:space="preserve">  </w:t>
      </w:r>
    </w:p>
    <w:p w14:paraId="538922DB">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 w:hAnsi="仿宋" w:eastAsia="仿宋" w:cs="仿宋"/>
          <w:b/>
          <w:bCs/>
          <w:szCs w:val="21"/>
          <w:lang w:val="en-US" w:eastAsia="zh-CN"/>
        </w:rPr>
      </w:pPr>
      <w:r>
        <w:rPr>
          <w:rFonts w:hint="eastAsia" w:ascii="仿宋" w:hAnsi="仿宋" w:eastAsia="仿宋" w:cs="仿宋"/>
          <w:b/>
          <w:bCs/>
          <w:szCs w:val="21"/>
        </w:rPr>
        <w:sym w:font="Wingdings" w:char="F082"/>
      </w:r>
      <w:r>
        <w:rPr>
          <w:rFonts w:hint="eastAsia" w:ascii="仿宋" w:hAnsi="仿宋" w:eastAsia="仿宋" w:cs="仿宋"/>
          <w:b/>
          <w:bCs/>
          <w:szCs w:val="21"/>
          <w:lang w:val="en-US" w:eastAsia="zh-CN"/>
        </w:rPr>
        <w:t>第一次债权人会议于</w:t>
      </w:r>
      <w:r>
        <w:rPr>
          <w:rFonts w:hint="eastAsia" w:ascii="仿宋" w:hAnsi="仿宋" w:eastAsia="仿宋" w:cs="仿宋"/>
          <w:b/>
          <w:bCs/>
          <w:szCs w:val="21"/>
          <w:u w:val="single"/>
          <w:lang w:val="en-US" w:eastAsia="zh-CN"/>
        </w:rPr>
        <w:t>2025年9月19日9时30分</w:t>
      </w:r>
      <w:r>
        <w:rPr>
          <w:rFonts w:hint="eastAsia" w:ascii="仿宋" w:hAnsi="仿宋" w:eastAsia="仿宋" w:cs="仿宋"/>
          <w:b/>
          <w:bCs/>
          <w:szCs w:val="21"/>
          <w:lang w:val="en-US" w:eastAsia="zh-CN"/>
        </w:rPr>
        <w:t>在苏州市吴江区人民法院第十二法庭(吴江区高新路788号)召开。</w:t>
      </w:r>
    </w:p>
    <w:p w14:paraId="3BC7E00E">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 w:hAnsi="仿宋" w:eastAsia="仿宋" w:cs="仿宋"/>
          <w:b/>
          <w:bCs/>
          <w:szCs w:val="21"/>
          <w:lang w:val="en-US" w:eastAsia="zh-CN"/>
        </w:rPr>
      </w:pPr>
      <w:r>
        <w:rPr>
          <w:rFonts w:hint="eastAsia" w:ascii="仿宋" w:hAnsi="仿宋" w:eastAsia="仿宋" w:cs="仿宋"/>
          <w:b/>
          <w:bCs/>
          <w:szCs w:val="21"/>
          <w:lang w:val="en-US" w:eastAsia="zh-CN"/>
        </w:rPr>
        <w:t>③依法申报债权的债权人有权参加债权人会议。参加会议的债权人系法人或组织的，应提交营业执照、法定代表人或负责人的身份证明。如委托代理人出席债权人会议，应提交特别授权委托书、委托代理人的身</w:t>
      </w:r>
      <w:bookmarkStart w:id="0" w:name="_GoBack"/>
      <w:bookmarkEnd w:id="0"/>
      <w:r>
        <w:rPr>
          <w:rFonts w:hint="eastAsia" w:ascii="仿宋" w:hAnsi="仿宋" w:eastAsia="仿宋" w:cs="仿宋"/>
          <w:b/>
          <w:bCs/>
          <w:szCs w:val="21"/>
          <w:lang w:val="en-US" w:eastAsia="zh-CN"/>
        </w:rPr>
        <w:t>份证件，委托代理人是律师的还应提交律师执业证、律师事务所的指派函。债权人是自然人的，应提交个人身份证明。</w:t>
      </w:r>
    </w:p>
    <w:p w14:paraId="30864575">
      <w:pPr>
        <w:keepNext w:val="0"/>
        <w:keepLines w:val="0"/>
        <w:pageBreakBefore w:val="0"/>
        <w:widowControl w:val="0"/>
        <w:kinsoku/>
        <w:wordWrap/>
        <w:overflowPunct/>
        <w:topLinePunct w:val="0"/>
        <w:autoSpaceDE/>
        <w:autoSpaceDN/>
        <w:bidi w:val="0"/>
        <w:adjustRightInd/>
        <w:snapToGrid/>
        <w:spacing w:line="400" w:lineRule="exact"/>
        <w:ind w:firstLine="435"/>
        <w:textAlignment w:val="auto"/>
        <w:rPr>
          <w:rFonts w:hint="eastAsia" w:ascii="仿宋" w:hAnsi="仿宋" w:eastAsia="仿宋" w:cs="仿宋"/>
          <w:bCs/>
          <w:szCs w:val="21"/>
        </w:rPr>
      </w:pPr>
      <w:r>
        <w:rPr>
          <w:rFonts w:hint="eastAsia" w:ascii="仿宋" w:hAnsi="仿宋" w:eastAsia="仿宋" w:cs="仿宋"/>
          <w:bCs/>
          <w:szCs w:val="21"/>
          <w:lang w:val="en-US" w:eastAsia="zh-CN"/>
        </w:rPr>
        <w:t>④</w:t>
      </w:r>
      <w:r>
        <w:rPr>
          <w:rFonts w:hint="eastAsia" w:ascii="仿宋" w:hAnsi="仿宋" w:eastAsia="仿宋" w:cs="仿宋"/>
          <w:bCs/>
          <w:szCs w:val="21"/>
        </w:rPr>
        <w:t>管理人联系方式：</w:t>
      </w:r>
    </w:p>
    <w:p w14:paraId="09185394">
      <w:pPr>
        <w:keepNext w:val="0"/>
        <w:keepLines w:val="0"/>
        <w:pageBreakBefore w:val="0"/>
        <w:widowControl w:val="0"/>
        <w:kinsoku/>
        <w:wordWrap/>
        <w:overflowPunct/>
        <w:topLinePunct w:val="0"/>
        <w:autoSpaceDE/>
        <w:autoSpaceDN/>
        <w:bidi w:val="0"/>
        <w:adjustRightInd/>
        <w:snapToGrid/>
        <w:spacing w:line="400" w:lineRule="exact"/>
        <w:ind w:firstLine="435"/>
        <w:textAlignment w:val="auto"/>
        <w:rPr>
          <w:rFonts w:hint="eastAsia" w:ascii="仿宋" w:hAnsi="仿宋" w:eastAsia="仿宋" w:cs="仿宋"/>
          <w:b/>
          <w:szCs w:val="21"/>
          <w:lang w:val="en-US" w:eastAsia="zh-CN"/>
        </w:rPr>
      </w:pPr>
      <w:r>
        <w:rPr>
          <w:rFonts w:hint="eastAsia" w:ascii="仿宋" w:hAnsi="仿宋" w:eastAsia="仿宋" w:cs="仿宋"/>
          <w:bCs/>
          <w:szCs w:val="21"/>
        </w:rPr>
        <w:t>苏州工业园区</w:t>
      </w:r>
      <w:r>
        <w:rPr>
          <w:rFonts w:hint="eastAsia" w:ascii="仿宋" w:hAnsi="仿宋" w:eastAsia="仿宋" w:cs="仿宋"/>
          <w:bCs/>
          <w:szCs w:val="21"/>
          <w:lang w:val="en-US" w:eastAsia="zh-CN"/>
        </w:rPr>
        <w:t>现代传媒广场21</w:t>
      </w:r>
      <w:r>
        <w:rPr>
          <w:rFonts w:hint="eastAsia" w:ascii="仿宋" w:hAnsi="仿宋" w:eastAsia="仿宋" w:cs="仿宋"/>
          <w:bCs/>
          <w:szCs w:val="21"/>
        </w:rPr>
        <w:t xml:space="preserve">F  </w:t>
      </w:r>
      <w:r>
        <w:rPr>
          <w:rFonts w:hint="eastAsia" w:ascii="仿宋" w:hAnsi="仿宋" w:eastAsia="仿宋" w:cs="仿宋"/>
          <w:bCs/>
          <w:szCs w:val="21"/>
          <w:lang w:val="en-US" w:eastAsia="zh-CN"/>
        </w:rPr>
        <w:t xml:space="preserve">  联系人：李律师，联系电话:13914093677</w:t>
      </w:r>
    </w:p>
    <w:p w14:paraId="26939FE5">
      <w:pPr>
        <w:spacing w:line="360" w:lineRule="auto"/>
        <w:jc w:val="both"/>
        <w:rPr>
          <w:rFonts w:hint="eastAsia" w:ascii="仿宋" w:hAnsi="仿宋" w:eastAsia="仿宋" w:cs="仿宋"/>
          <w:sz w:val="24"/>
          <w:szCs w:val="24"/>
          <w:lang w:val="en-US" w:eastAsia="zh-CN"/>
        </w:rPr>
        <w:sectPr>
          <w:pgSz w:w="11906" w:h="16838"/>
          <w:pgMar w:top="1440" w:right="1800" w:bottom="1440" w:left="1800" w:header="851" w:footer="992" w:gutter="0"/>
          <w:cols w:space="425" w:num="1"/>
          <w:docGrid w:type="lines" w:linePitch="312" w:charSpace="0"/>
        </w:sectPr>
      </w:pPr>
    </w:p>
    <w:p w14:paraId="14710484">
      <w:pPr>
        <w:spacing w:line="360" w:lineRule="auto"/>
        <w:jc w:val="right"/>
        <w:rPr>
          <w:rFonts w:hint="eastAsia" w:ascii="仿宋" w:hAnsi="仿宋" w:eastAsia="仿宋" w:cs="仿宋"/>
          <w:sz w:val="24"/>
          <w:szCs w:val="24"/>
          <w:lang w:val="en-US" w:eastAsia="zh-CN"/>
        </w:rPr>
      </w:pPr>
    </w:p>
    <w:p w14:paraId="52A2F4F1">
      <w:pPr>
        <w:spacing w:line="360" w:lineRule="auto"/>
        <w:jc w:val="right"/>
        <w:rPr>
          <w:rFonts w:hint="eastAsia" w:ascii="仿宋" w:hAnsi="仿宋" w:eastAsia="仿宋" w:cs="仿宋"/>
          <w:sz w:val="24"/>
          <w:szCs w:val="24"/>
          <w:lang w:val="en-US" w:eastAsia="zh-CN"/>
        </w:rPr>
      </w:pPr>
    </w:p>
    <w:p w14:paraId="77AF5FF1">
      <w:pPr>
        <w:spacing w:line="360" w:lineRule="auto"/>
        <w:jc w:val="right"/>
        <w:rPr>
          <w:rFonts w:hint="eastAsia" w:ascii="仿宋" w:hAnsi="仿宋" w:eastAsia="仿宋" w:cs="仿宋"/>
          <w:sz w:val="24"/>
          <w:szCs w:val="24"/>
          <w:lang w:val="en-US" w:eastAsia="zh-CN"/>
        </w:rPr>
      </w:pPr>
    </w:p>
    <w:p w14:paraId="7DA308ED">
      <w:pPr>
        <w:spacing w:line="360" w:lineRule="auto"/>
        <w:jc w:val="right"/>
        <w:rPr>
          <w:rFonts w:hint="eastAsia" w:ascii="仿宋" w:hAnsi="仿宋" w:eastAsia="仿宋" w:cs="仿宋"/>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8A87D9"/>
    <w:multiLevelType w:val="singleLevel"/>
    <w:tmpl w:val="CB8A87D9"/>
    <w:lvl w:ilvl="0" w:tentative="0">
      <w:start w:val="5"/>
      <w:numFmt w:val="chineseCounting"/>
      <w:suff w:val="nothing"/>
      <w:lvlText w:val="%1、"/>
      <w:lvlJc w:val="left"/>
      <w:pPr>
        <w:ind w:left="421"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4A086E8F"/>
    <w:rsid w:val="0004718A"/>
    <w:rsid w:val="000A6161"/>
    <w:rsid w:val="00114AF8"/>
    <w:rsid w:val="001562AE"/>
    <w:rsid w:val="001E3785"/>
    <w:rsid w:val="001E3EFE"/>
    <w:rsid w:val="001F2F68"/>
    <w:rsid w:val="00210619"/>
    <w:rsid w:val="002536BB"/>
    <w:rsid w:val="002D466C"/>
    <w:rsid w:val="002D6E2B"/>
    <w:rsid w:val="003047FF"/>
    <w:rsid w:val="00382E58"/>
    <w:rsid w:val="00391CB3"/>
    <w:rsid w:val="003C4269"/>
    <w:rsid w:val="004B3B7A"/>
    <w:rsid w:val="004D013F"/>
    <w:rsid w:val="005001DE"/>
    <w:rsid w:val="0054563A"/>
    <w:rsid w:val="0054682B"/>
    <w:rsid w:val="00554236"/>
    <w:rsid w:val="00594956"/>
    <w:rsid w:val="00594CD5"/>
    <w:rsid w:val="00636A57"/>
    <w:rsid w:val="006A129B"/>
    <w:rsid w:val="006C44A9"/>
    <w:rsid w:val="006D6099"/>
    <w:rsid w:val="00732691"/>
    <w:rsid w:val="0073423D"/>
    <w:rsid w:val="007C6F44"/>
    <w:rsid w:val="007D5575"/>
    <w:rsid w:val="00881223"/>
    <w:rsid w:val="008824CE"/>
    <w:rsid w:val="00887193"/>
    <w:rsid w:val="00894942"/>
    <w:rsid w:val="008A24AC"/>
    <w:rsid w:val="008D75EF"/>
    <w:rsid w:val="008F7DF6"/>
    <w:rsid w:val="00904FA9"/>
    <w:rsid w:val="00933BE7"/>
    <w:rsid w:val="00942F23"/>
    <w:rsid w:val="00993A05"/>
    <w:rsid w:val="009B01C6"/>
    <w:rsid w:val="00A038FF"/>
    <w:rsid w:val="00A06687"/>
    <w:rsid w:val="00A429AF"/>
    <w:rsid w:val="00A53A3F"/>
    <w:rsid w:val="00B252AF"/>
    <w:rsid w:val="00B32FAE"/>
    <w:rsid w:val="00B34554"/>
    <w:rsid w:val="00B56AB2"/>
    <w:rsid w:val="00BA5322"/>
    <w:rsid w:val="00BB6C39"/>
    <w:rsid w:val="00BB6E47"/>
    <w:rsid w:val="00BF3852"/>
    <w:rsid w:val="00C506E6"/>
    <w:rsid w:val="00DD3F9F"/>
    <w:rsid w:val="00DE3F99"/>
    <w:rsid w:val="00E05C7E"/>
    <w:rsid w:val="00E10461"/>
    <w:rsid w:val="00EB7CF2"/>
    <w:rsid w:val="00F91548"/>
    <w:rsid w:val="00F93023"/>
    <w:rsid w:val="00FB1240"/>
    <w:rsid w:val="02143A24"/>
    <w:rsid w:val="0B132705"/>
    <w:rsid w:val="0FE2765D"/>
    <w:rsid w:val="103D291E"/>
    <w:rsid w:val="15273705"/>
    <w:rsid w:val="15C0381C"/>
    <w:rsid w:val="16CE76B0"/>
    <w:rsid w:val="18A3097D"/>
    <w:rsid w:val="197E3CD4"/>
    <w:rsid w:val="203E3057"/>
    <w:rsid w:val="23386ADD"/>
    <w:rsid w:val="279D6603"/>
    <w:rsid w:val="2FAC691A"/>
    <w:rsid w:val="30541FAB"/>
    <w:rsid w:val="33A67996"/>
    <w:rsid w:val="36035245"/>
    <w:rsid w:val="38681426"/>
    <w:rsid w:val="3BFD27AF"/>
    <w:rsid w:val="3D974CD3"/>
    <w:rsid w:val="3F1B1DA2"/>
    <w:rsid w:val="40195AFF"/>
    <w:rsid w:val="408D02BC"/>
    <w:rsid w:val="4A086E8F"/>
    <w:rsid w:val="527D732B"/>
    <w:rsid w:val="542726D6"/>
    <w:rsid w:val="550F35F5"/>
    <w:rsid w:val="5B2F72F1"/>
    <w:rsid w:val="5D877E0B"/>
    <w:rsid w:val="604440C8"/>
    <w:rsid w:val="60D55C44"/>
    <w:rsid w:val="62DF1B44"/>
    <w:rsid w:val="644436AD"/>
    <w:rsid w:val="66C85242"/>
    <w:rsid w:val="67950ACB"/>
    <w:rsid w:val="704578A6"/>
    <w:rsid w:val="73286116"/>
    <w:rsid w:val="75E2370A"/>
    <w:rsid w:val="77AB1DE2"/>
    <w:rsid w:val="77DD61D1"/>
    <w:rsid w:val="785C6C84"/>
    <w:rsid w:val="7BA7508B"/>
    <w:rsid w:val="7D8350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页脚 字符"/>
    <w:basedOn w:val="5"/>
    <w:link w:val="2"/>
    <w:autoRedefine/>
    <w:semiHidden/>
    <w:qFormat/>
    <w:locked/>
    <w:uiPriority w:val="99"/>
    <w:rPr>
      <w:rFonts w:cs="Times New Roman"/>
      <w:sz w:val="18"/>
      <w:szCs w:val="18"/>
    </w:rPr>
  </w:style>
  <w:style w:type="character" w:customStyle="1" w:styleId="7">
    <w:name w:val="页眉 字符"/>
    <w:basedOn w:val="5"/>
    <w:link w:val="3"/>
    <w:autoRedefine/>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2291</Words>
  <Characters>2367</Characters>
  <Lines>8</Lines>
  <Paragraphs>2</Paragraphs>
  <TotalTime>6</TotalTime>
  <ScaleCrop>false</ScaleCrop>
  <LinksUpToDate>false</LinksUpToDate>
  <CharactersWithSpaces>2521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2019-09-18T02:02:00Z</dcterms:created>
  <dc:creator>简文-Zss</dc:creator>
  <cp:lastModifiedBy>薛伟-苏州盈科</cp:lastModifiedBy>
  <cp:lastPrinted>2019-07-11T05:44:00Z</cp:lastPrinted>
  <dcterms:modified xsi:type="dcterms:W3CDTF">2025-07-24T13:31:11Z</dcterms:modified>
  <dc:title>诚信申报告知书</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6EF2301F0BB14BA980512F104FFD7971</vt:lpwstr>
  </property>
  <property fmtid="{D5CDD505-2E9C-101B-9397-08002B2CF9AE}" pid="4" name="KSOTemplateDocerSaveRecord">
    <vt:lpwstr>eyJoZGlkIjoiN2YzNjBkOTgyNWQ1YTMxYzM3MzMwNWFiODNmOWIzYWMiLCJ1c2VySWQiOiIyNzM1Njk1MjcifQ==</vt:lpwstr>
  </property>
</Properties>
</file>