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BA933">
      <w:pPr>
        <w:widowControl/>
        <w:spacing w:line="360" w:lineRule="auto"/>
        <w:jc w:val="center"/>
        <w:rPr>
          <w:rFonts w:hint="eastAsia" w:ascii="楷体" w:hAnsi="楷体" w:eastAsia="楷体" w:cs="楷体"/>
          <w:b/>
          <w:bCs/>
          <w:kern w:val="0"/>
          <w:sz w:val="32"/>
          <w:szCs w:val="32"/>
        </w:rPr>
      </w:pPr>
      <w:r>
        <w:rPr>
          <w:rFonts w:hint="eastAsia" w:ascii="楷体" w:hAnsi="楷体" w:eastAsia="楷体" w:cs="楷体"/>
          <w:b/>
          <w:bCs/>
          <w:kern w:val="0"/>
          <w:sz w:val="32"/>
          <w:szCs w:val="32"/>
        </w:rPr>
        <w:t>北京诚通嘉业投资管理有限公司破产财产处置公告</w:t>
      </w:r>
    </w:p>
    <w:p w14:paraId="4706B86F">
      <w:pPr>
        <w:pStyle w:val="6"/>
        <w:shd w:val="clear" w:color="auto" w:fill="FFFFFF"/>
        <w:spacing w:beforeAutospacing="0" w:afterAutospacing="0" w:line="360" w:lineRule="auto"/>
        <w:ind w:firstLine="640" w:firstLineChars="200"/>
        <w:rPr>
          <w:rStyle w:val="11"/>
          <w:rFonts w:hint="eastAsia" w:ascii="楷体" w:hAnsi="楷体" w:eastAsia="楷体" w:cs="楷体"/>
          <w:b w:val="0"/>
          <w:bCs w:val="0"/>
          <w:sz w:val="32"/>
          <w:szCs w:val="32"/>
        </w:rPr>
      </w:pPr>
      <w:r>
        <w:rPr>
          <w:rStyle w:val="11"/>
          <w:rFonts w:hint="eastAsia" w:ascii="楷体" w:hAnsi="楷体" w:eastAsia="楷体" w:cs="楷体"/>
          <w:b w:val="0"/>
          <w:bCs w:val="0"/>
          <w:sz w:val="32"/>
          <w:szCs w:val="32"/>
        </w:rPr>
        <w:t>北京诚通嘉业投资管理有限公司破产清算一案，北京市第一中级人民法院已于</w:t>
      </w:r>
      <w:r>
        <w:rPr>
          <w:rStyle w:val="11"/>
          <w:rFonts w:ascii="楷体" w:hAnsi="楷体" w:eastAsia="楷体" w:cs="楷体"/>
          <w:b w:val="0"/>
          <w:bCs w:val="0"/>
          <w:sz w:val="32"/>
          <w:szCs w:val="32"/>
        </w:rPr>
        <w:t>202</w:t>
      </w:r>
      <w:r>
        <w:rPr>
          <w:rStyle w:val="11"/>
          <w:rFonts w:hint="eastAsia" w:ascii="楷体" w:hAnsi="楷体" w:eastAsia="楷体" w:cs="楷体"/>
          <w:b w:val="0"/>
          <w:bCs w:val="0"/>
          <w:sz w:val="32"/>
          <w:szCs w:val="32"/>
        </w:rPr>
        <w:t>3年10月23日裁定受理，并于</w:t>
      </w:r>
      <w:r>
        <w:rPr>
          <w:rStyle w:val="11"/>
          <w:rFonts w:ascii="楷体" w:hAnsi="楷体" w:eastAsia="楷体" w:cs="楷体"/>
          <w:b w:val="0"/>
          <w:bCs w:val="0"/>
          <w:sz w:val="32"/>
          <w:szCs w:val="32"/>
        </w:rPr>
        <w:t>202</w:t>
      </w:r>
      <w:r>
        <w:rPr>
          <w:rStyle w:val="11"/>
          <w:rFonts w:hint="eastAsia" w:ascii="楷体" w:hAnsi="楷体" w:eastAsia="楷体" w:cs="楷体"/>
          <w:b w:val="0"/>
          <w:bCs w:val="0"/>
          <w:sz w:val="32"/>
          <w:szCs w:val="32"/>
        </w:rPr>
        <w:t>3年11月2日指定北京市尚公律师事务所担任管理人（以下简称“管理人”）。</w:t>
      </w:r>
    </w:p>
    <w:p w14:paraId="67DE48EC">
      <w:pPr>
        <w:pStyle w:val="6"/>
        <w:shd w:val="clear" w:color="auto" w:fill="FFFFFF"/>
        <w:spacing w:beforeAutospacing="0" w:afterAutospacing="0" w:line="360" w:lineRule="auto"/>
        <w:ind w:firstLine="640" w:firstLineChars="200"/>
        <w:rPr>
          <w:rFonts w:hint="eastAsia" w:ascii="楷体" w:hAnsi="楷体" w:eastAsia="楷体" w:cs="楷体"/>
          <w:b/>
          <w:bCs/>
          <w:color w:val="000000"/>
          <w:sz w:val="32"/>
          <w:szCs w:val="32"/>
        </w:rPr>
      </w:pPr>
      <w:r>
        <w:rPr>
          <w:rStyle w:val="11"/>
          <w:rFonts w:hint="eastAsia" w:ascii="楷体" w:hAnsi="楷体" w:eastAsia="楷体" w:cs="楷体"/>
          <w:b w:val="0"/>
          <w:bCs w:val="0"/>
          <w:sz w:val="32"/>
          <w:szCs w:val="32"/>
        </w:rPr>
        <w:t>管理人在北京产权</w:t>
      </w:r>
      <w:r>
        <w:rPr>
          <w:rStyle w:val="11"/>
          <w:rFonts w:ascii="楷体" w:hAnsi="楷体" w:eastAsia="楷体" w:cs="楷体"/>
          <w:b w:val="0"/>
          <w:bCs w:val="0"/>
          <w:sz w:val="32"/>
          <w:szCs w:val="32"/>
        </w:rPr>
        <w:t>交易所</w:t>
      </w:r>
      <w:r>
        <w:rPr>
          <w:rStyle w:val="11"/>
          <w:rFonts w:hint="eastAsia" w:ascii="楷体" w:hAnsi="楷体" w:eastAsia="楷体" w:cs="楷体"/>
          <w:b w:val="0"/>
          <w:bCs w:val="0"/>
          <w:sz w:val="32"/>
          <w:szCs w:val="32"/>
        </w:rPr>
        <w:t>(以下</w:t>
      </w:r>
      <w:r>
        <w:rPr>
          <w:rStyle w:val="11"/>
          <w:rFonts w:ascii="楷体" w:hAnsi="楷体" w:eastAsia="楷体" w:cs="楷体"/>
          <w:b w:val="0"/>
          <w:bCs w:val="0"/>
          <w:sz w:val="32"/>
          <w:szCs w:val="32"/>
        </w:rPr>
        <w:t>简称“</w:t>
      </w:r>
      <w:r>
        <w:rPr>
          <w:rStyle w:val="11"/>
          <w:rFonts w:hint="eastAsia" w:ascii="楷体" w:hAnsi="楷体" w:eastAsia="楷体" w:cs="楷体"/>
          <w:b w:val="0"/>
          <w:bCs w:val="0"/>
          <w:sz w:val="32"/>
          <w:szCs w:val="32"/>
        </w:rPr>
        <w:t>北交所</w:t>
      </w:r>
      <w:r>
        <w:rPr>
          <w:rStyle w:val="11"/>
          <w:rFonts w:ascii="楷体" w:hAnsi="楷体" w:eastAsia="楷体" w:cs="楷体"/>
          <w:b w:val="0"/>
          <w:bCs w:val="0"/>
          <w:sz w:val="32"/>
          <w:szCs w:val="32"/>
        </w:rPr>
        <w:t>”</w:t>
      </w:r>
      <w:r>
        <w:rPr>
          <w:rStyle w:val="11"/>
          <w:rFonts w:hint="eastAsia" w:ascii="楷体" w:hAnsi="楷体" w:eastAsia="楷体" w:cs="楷体"/>
          <w:b w:val="0"/>
          <w:bCs w:val="0"/>
          <w:sz w:val="32"/>
          <w:szCs w:val="32"/>
        </w:rPr>
        <w:t>)通过诉讼资产平台（网址https://otc.cbex.com/page/sszc/index.html）于</w:t>
      </w:r>
      <w:r>
        <w:rPr>
          <w:rStyle w:val="11"/>
          <w:rFonts w:hint="eastAsia" w:ascii="楷体" w:hAnsi="楷体" w:eastAsia="楷体" w:cs="楷体"/>
          <w:b w:val="0"/>
          <w:bCs w:val="0"/>
          <w:sz w:val="32"/>
          <w:szCs w:val="32"/>
          <w:shd w:val="clear" w:color="auto" w:fill="FFFFFF"/>
        </w:rPr>
        <w:t>2025</w:t>
      </w:r>
      <w:r>
        <w:rPr>
          <w:rStyle w:val="11"/>
          <w:rFonts w:hint="eastAsia" w:ascii="楷体" w:hAnsi="楷体" w:eastAsia="楷体" w:cs="楷体"/>
          <w:b w:val="0"/>
          <w:bCs w:val="0"/>
          <w:sz w:val="32"/>
          <w:szCs w:val="32"/>
        </w:rPr>
        <w:t>年</w:t>
      </w:r>
      <w:r>
        <w:rPr>
          <w:rStyle w:val="11"/>
          <w:rFonts w:hint="eastAsia" w:ascii="楷体" w:hAnsi="楷体" w:eastAsia="楷体" w:cs="楷体"/>
          <w:b w:val="0"/>
          <w:bCs w:val="0"/>
          <w:sz w:val="32"/>
          <w:szCs w:val="32"/>
          <w:shd w:val="clear" w:color="auto" w:fill="FFFFFF"/>
        </w:rPr>
        <w:t>8</w:t>
      </w:r>
      <w:r>
        <w:rPr>
          <w:rStyle w:val="11"/>
          <w:rFonts w:hint="eastAsia" w:ascii="楷体" w:hAnsi="楷体" w:eastAsia="楷体" w:cs="楷体"/>
          <w:b w:val="0"/>
          <w:bCs w:val="0"/>
          <w:sz w:val="32"/>
          <w:szCs w:val="32"/>
        </w:rPr>
        <w:t>月</w:t>
      </w:r>
      <w:r>
        <w:rPr>
          <w:rStyle w:val="11"/>
          <w:rFonts w:hint="eastAsia" w:ascii="楷体" w:hAnsi="楷体" w:eastAsia="楷体" w:cs="楷体"/>
          <w:b w:val="0"/>
          <w:bCs w:val="0"/>
          <w:sz w:val="32"/>
          <w:szCs w:val="32"/>
          <w:shd w:val="clear" w:color="auto" w:fill="FFFFFF"/>
        </w:rPr>
        <w:t>6</w:t>
      </w:r>
      <w:r>
        <w:rPr>
          <w:rStyle w:val="11"/>
          <w:rFonts w:hint="eastAsia" w:ascii="楷体" w:hAnsi="楷体" w:eastAsia="楷体" w:cs="楷体"/>
          <w:b w:val="0"/>
          <w:bCs w:val="0"/>
          <w:sz w:val="32"/>
          <w:szCs w:val="32"/>
        </w:rPr>
        <w:t>日</w:t>
      </w:r>
      <w:r>
        <w:rPr>
          <w:rStyle w:val="11"/>
          <w:rFonts w:ascii="楷体" w:hAnsi="楷体" w:eastAsia="楷体" w:cs="楷体"/>
          <w:b w:val="0"/>
          <w:bCs w:val="0"/>
          <w:sz w:val="32"/>
          <w:szCs w:val="32"/>
          <w:shd w:val="clear" w:color="auto" w:fill="FFFFFF"/>
        </w:rPr>
        <w:t>10</w:t>
      </w:r>
      <w:r>
        <w:rPr>
          <w:rStyle w:val="11"/>
          <w:rFonts w:hint="eastAsia" w:ascii="楷体" w:hAnsi="楷体" w:eastAsia="楷体" w:cs="楷体"/>
          <w:b w:val="0"/>
          <w:bCs w:val="0"/>
          <w:sz w:val="32"/>
          <w:szCs w:val="32"/>
        </w:rPr>
        <w:t>时至</w:t>
      </w:r>
      <w:r>
        <w:rPr>
          <w:rStyle w:val="11"/>
          <w:rFonts w:hint="eastAsia" w:ascii="楷体" w:hAnsi="楷体" w:eastAsia="楷体" w:cs="楷体"/>
          <w:b w:val="0"/>
          <w:bCs w:val="0"/>
          <w:sz w:val="32"/>
          <w:szCs w:val="32"/>
          <w:shd w:val="clear" w:color="auto" w:fill="FFFFFF"/>
        </w:rPr>
        <w:t>2025</w:t>
      </w:r>
      <w:r>
        <w:rPr>
          <w:rStyle w:val="11"/>
          <w:rFonts w:hint="eastAsia" w:ascii="楷体" w:hAnsi="楷体" w:eastAsia="楷体" w:cs="楷体"/>
          <w:b w:val="0"/>
          <w:bCs w:val="0"/>
          <w:sz w:val="32"/>
          <w:szCs w:val="32"/>
        </w:rPr>
        <w:t>年</w:t>
      </w:r>
      <w:r>
        <w:rPr>
          <w:rStyle w:val="11"/>
          <w:rFonts w:hint="eastAsia" w:ascii="楷体" w:hAnsi="楷体" w:eastAsia="楷体" w:cs="楷体"/>
          <w:b w:val="0"/>
          <w:bCs w:val="0"/>
          <w:sz w:val="32"/>
          <w:szCs w:val="32"/>
          <w:shd w:val="clear" w:color="auto" w:fill="FFFFFF"/>
        </w:rPr>
        <w:t>8</w:t>
      </w:r>
      <w:r>
        <w:rPr>
          <w:rStyle w:val="11"/>
          <w:rFonts w:hint="eastAsia" w:ascii="楷体" w:hAnsi="楷体" w:eastAsia="楷体" w:cs="楷体"/>
          <w:b w:val="0"/>
          <w:bCs w:val="0"/>
          <w:sz w:val="32"/>
          <w:szCs w:val="32"/>
        </w:rPr>
        <w:t>月7日</w:t>
      </w:r>
      <w:r>
        <w:rPr>
          <w:rStyle w:val="11"/>
          <w:rFonts w:ascii="楷体" w:hAnsi="楷体" w:eastAsia="楷体" w:cs="楷体"/>
          <w:b w:val="0"/>
          <w:bCs w:val="0"/>
          <w:sz w:val="32"/>
          <w:szCs w:val="32"/>
          <w:shd w:val="clear" w:color="auto" w:fill="FFFFFF"/>
        </w:rPr>
        <w:t>10</w:t>
      </w:r>
      <w:r>
        <w:rPr>
          <w:rStyle w:val="11"/>
          <w:rFonts w:hint="eastAsia" w:ascii="楷体" w:hAnsi="楷体" w:eastAsia="楷体" w:cs="楷体"/>
          <w:b w:val="0"/>
          <w:bCs w:val="0"/>
          <w:sz w:val="32"/>
          <w:szCs w:val="32"/>
        </w:rPr>
        <w:t>时止</w:t>
      </w:r>
      <w:r>
        <w:rPr>
          <w:rStyle w:val="11"/>
          <w:rFonts w:hint="eastAsia" w:ascii="楷体" w:hAnsi="楷体" w:eastAsia="楷体" w:cs="楷体"/>
          <w:b w:val="0"/>
          <w:bCs w:val="0"/>
          <w:sz w:val="32"/>
          <w:szCs w:val="32"/>
          <w:shd w:val="clear" w:color="auto" w:fill="FFFFFF"/>
        </w:rPr>
        <w:t>（延时周期除外）以网络竞价方式公开进行竞价处置活动</w:t>
      </w:r>
      <w:r>
        <w:rPr>
          <w:rStyle w:val="11"/>
          <w:rFonts w:hint="eastAsia" w:ascii="楷体" w:hAnsi="楷体" w:eastAsia="楷体" w:cs="楷体"/>
          <w:b w:val="0"/>
          <w:bCs w:val="0"/>
          <w:sz w:val="32"/>
          <w:szCs w:val="32"/>
        </w:rPr>
        <w:t>。现公告如下：</w:t>
      </w:r>
    </w:p>
    <w:p w14:paraId="55A07454">
      <w:pPr>
        <w:widowControl/>
        <w:shd w:val="clear" w:color="auto" w:fill="FFFFFF"/>
        <w:spacing w:line="360" w:lineRule="auto"/>
        <w:ind w:firstLine="643" w:firstLineChars="200"/>
        <w:jc w:val="left"/>
        <w:rPr>
          <w:rFonts w:hint="eastAsia" w:ascii="楷体" w:hAnsi="楷体" w:eastAsia="楷体" w:cs="楷体"/>
          <w:color w:val="000000"/>
          <w:kern w:val="0"/>
          <w:sz w:val="32"/>
          <w:szCs w:val="32"/>
        </w:rPr>
      </w:pPr>
      <w:r>
        <w:rPr>
          <w:rFonts w:hint="eastAsia" w:ascii="楷体" w:hAnsi="楷体" w:eastAsia="楷体" w:cs="楷体"/>
          <w:b/>
          <w:bCs/>
          <w:color w:val="000000"/>
          <w:kern w:val="0"/>
          <w:sz w:val="32"/>
          <w:szCs w:val="32"/>
        </w:rPr>
        <w:t>一、拍卖标的物</w:t>
      </w:r>
      <w:r>
        <w:rPr>
          <w:rFonts w:hint="eastAsia" w:ascii="楷体" w:hAnsi="楷体" w:eastAsia="楷体" w:cs="楷体"/>
          <w:color w:val="000000"/>
          <w:kern w:val="0"/>
          <w:sz w:val="32"/>
          <w:szCs w:val="32"/>
        </w:rPr>
        <w:t>：</w:t>
      </w:r>
      <w:r>
        <w:rPr>
          <w:rFonts w:hint="eastAsia" w:ascii="楷体" w:hAnsi="楷体" w:eastAsia="楷体" w:cs="楷体"/>
          <w:b/>
          <w:bCs/>
          <w:color w:val="000000"/>
          <w:kern w:val="0"/>
          <w:sz w:val="32"/>
          <w:szCs w:val="32"/>
        </w:rPr>
        <w:t>北京诚通嘉业投资管理有限公司名下京MC1015汽车一辆（不带牌、不带指标）</w:t>
      </w:r>
      <w:r>
        <w:rPr>
          <w:rFonts w:ascii="楷体" w:hAnsi="楷体" w:eastAsia="楷体" w:cs="楷体"/>
          <w:b/>
          <w:bCs/>
          <w:color w:val="000000"/>
          <w:kern w:val="0"/>
          <w:sz w:val="32"/>
          <w:szCs w:val="32"/>
        </w:rPr>
        <w:t>(第</w:t>
      </w:r>
      <w:r>
        <w:rPr>
          <w:rFonts w:hint="eastAsia" w:ascii="楷体" w:hAnsi="楷体" w:eastAsia="楷体" w:cs="楷体"/>
          <w:b/>
          <w:bCs/>
          <w:color w:val="000000"/>
          <w:kern w:val="0"/>
          <w:sz w:val="32"/>
          <w:szCs w:val="32"/>
        </w:rPr>
        <w:t>一</w:t>
      </w:r>
      <w:r>
        <w:rPr>
          <w:rFonts w:ascii="楷体" w:hAnsi="楷体" w:eastAsia="楷体" w:cs="楷体"/>
          <w:b/>
          <w:bCs/>
          <w:color w:val="000000"/>
          <w:kern w:val="0"/>
          <w:sz w:val="32"/>
          <w:szCs w:val="32"/>
        </w:rPr>
        <w:t>次拍卖)</w:t>
      </w:r>
    </w:p>
    <w:p w14:paraId="079B9841">
      <w:pPr>
        <w:widowControl/>
        <w:shd w:val="clear" w:color="auto" w:fill="FFFFFF"/>
        <w:spacing w:line="360" w:lineRule="auto"/>
        <w:ind w:firstLine="640" w:firstLineChars="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参考价</w:t>
      </w:r>
      <w:r>
        <w:rPr>
          <w:rFonts w:ascii="楷体" w:hAnsi="楷体" w:eastAsia="楷体" w:cs="楷体"/>
          <w:color w:val="000000"/>
          <w:kern w:val="0"/>
          <w:sz w:val="32"/>
          <w:szCs w:val="32"/>
        </w:rPr>
        <w:t>：</w:t>
      </w:r>
      <w:r>
        <w:rPr>
          <w:rFonts w:hint="eastAsia" w:ascii="楷体" w:hAnsi="楷体" w:eastAsia="楷体" w:cs="楷体"/>
          <w:color w:val="000000"/>
          <w:kern w:val="0"/>
          <w:sz w:val="32"/>
          <w:szCs w:val="32"/>
        </w:rPr>
        <w:t>78,613.00元</w:t>
      </w:r>
      <w:r>
        <w:rPr>
          <w:rFonts w:ascii="楷体" w:hAnsi="楷体" w:eastAsia="楷体" w:cs="楷体"/>
          <w:color w:val="000000"/>
          <w:kern w:val="0"/>
          <w:sz w:val="32"/>
          <w:szCs w:val="32"/>
        </w:rPr>
        <w:t>；</w:t>
      </w:r>
      <w:r>
        <w:rPr>
          <w:rFonts w:hint="eastAsia" w:ascii="楷体" w:hAnsi="楷体" w:eastAsia="楷体" w:cs="楷体"/>
          <w:color w:val="000000"/>
          <w:kern w:val="0"/>
          <w:sz w:val="32"/>
          <w:szCs w:val="32"/>
        </w:rPr>
        <w:t>起拍价：78,613.00 元；保证金：7,862.00元；增价幅度：787.00元（或整数倍）。</w:t>
      </w:r>
    </w:p>
    <w:p w14:paraId="772CB201">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标的物描述：</w:t>
      </w:r>
    </w:p>
    <w:p w14:paraId="08B5B9A4">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1、车辆违章情况（包括罚款及扣分）需由买受人自行查询并核实。若存在相关罚款或扣分，均由买受人负责缴纳罚款及承担相应处罚。</w:t>
      </w:r>
    </w:p>
    <w:p w14:paraId="3E9F83FF">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2、本次拍卖车辆存在停车费、拖车费等。停车费自2025年2月24日起至车辆开出停车场止，每天收费16元；拖车费：881元。拍卖成交后由买受人承担。</w:t>
      </w:r>
    </w:p>
    <w:p w14:paraId="0897A90E">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3、</w:t>
      </w:r>
      <w:bookmarkStart w:id="0" w:name="OLE_LINK1"/>
      <w:r>
        <w:rPr>
          <w:rFonts w:hint="eastAsia" w:ascii="楷体" w:hAnsi="楷体" w:eastAsia="楷体" w:cs="楷体"/>
          <w:b/>
          <w:bCs/>
          <w:color w:val="FF0000"/>
          <w:kern w:val="0"/>
          <w:sz w:val="32"/>
          <w:szCs w:val="32"/>
        </w:rPr>
        <w:t>该车辆存在事故，需要在过户前完成维修，修车产生的全部费用由买受人负责。维修完成办理车辆过户手续后，买受人方可提车。</w:t>
      </w:r>
    </w:p>
    <w:p w14:paraId="3D3D2247">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4、</w:t>
      </w:r>
      <w:bookmarkEnd w:id="0"/>
      <w:r>
        <w:rPr>
          <w:rFonts w:hint="eastAsia" w:ascii="楷体" w:hAnsi="楷体" w:eastAsia="楷体" w:cs="楷体"/>
          <w:b/>
          <w:bCs/>
          <w:color w:val="FF0000"/>
          <w:kern w:val="0"/>
          <w:sz w:val="32"/>
          <w:szCs w:val="32"/>
        </w:rPr>
        <w:t>拍卖成交后，买受人在支付全部拍卖款项的基础上，需另行支付成交金额30%的“过户保证金”至管理人账户，以确保履行过户义务。管理人将协助买受人在15个工作日内完成过户手续。过户完成后，买受人方可将车辆提走。若买受人未遵守规定要求或未在规定时间内完成过户，管理人有权按照悔拍处理，</w:t>
      </w:r>
      <w:r>
        <w:rPr>
          <w:rFonts w:hint="eastAsia" w:ascii="楷体" w:hAnsi="楷体" w:eastAsia="楷体" w:cs="楷体"/>
          <w:b/>
          <w:bCs/>
          <w:color w:val="FF0000"/>
          <w:kern w:val="0"/>
          <w:sz w:val="32"/>
          <w:szCs w:val="32"/>
          <w:lang w:val="en-US" w:eastAsia="zh-CN"/>
        </w:rPr>
        <w:t>且</w:t>
      </w:r>
      <w:r>
        <w:rPr>
          <w:rFonts w:hint="eastAsia" w:ascii="楷体" w:hAnsi="楷体" w:eastAsia="楷体" w:cs="楷体"/>
          <w:b/>
          <w:bCs/>
          <w:color w:val="FF0000"/>
          <w:kern w:val="0"/>
          <w:sz w:val="32"/>
          <w:szCs w:val="32"/>
        </w:rPr>
        <w:t>该“过户保证金”不予退还；反之，若买受人顺利办理完成车辆过户，该“过户保证金”将在3个工作日内全额无息退还。</w:t>
      </w:r>
    </w:p>
    <w:p w14:paraId="6D58CD5D">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重要提示：</w:t>
      </w:r>
    </w:p>
    <w:p w14:paraId="02CB653F">
      <w:pPr>
        <w:widowControl/>
        <w:shd w:val="clear" w:color="auto" w:fill="FFFFFF"/>
        <w:spacing w:line="360" w:lineRule="auto"/>
        <w:ind w:firstLine="640" w:firstLineChars="200"/>
        <w:jc w:val="left"/>
        <w:rPr>
          <w:rFonts w:hint="eastAsia" w:ascii="楷体" w:hAnsi="楷体" w:eastAsia="楷体" w:cs="楷体"/>
          <w:color w:val="000000"/>
          <w:kern w:val="0"/>
          <w:sz w:val="32"/>
          <w:szCs w:val="32"/>
        </w:rPr>
      </w:pPr>
      <w:r>
        <w:rPr>
          <w:rFonts w:ascii="楷体" w:hAnsi="楷体" w:eastAsia="楷体" w:cs="楷体"/>
          <w:color w:val="000000"/>
          <w:kern w:val="0"/>
          <w:sz w:val="32"/>
          <w:szCs w:val="32"/>
        </w:rPr>
        <w:t>1、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w:t>
      </w:r>
      <w:r>
        <w:rPr>
          <w:rFonts w:hint="eastAsia" w:ascii="楷体" w:hAnsi="楷体" w:eastAsia="楷体" w:cs="楷体"/>
          <w:color w:val="000000"/>
          <w:kern w:val="0"/>
          <w:sz w:val="32"/>
          <w:szCs w:val="32"/>
        </w:rPr>
        <w:t>管理人协助</w:t>
      </w:r>
      <w:r>
        <w:rPr>
          <w:rFonts w:ascii="楷体" w:hAnsi="楷体" w:eastAsia="楷体" w:cs="楷体"/>
          <w:color w:val="000000"/>
          <w:kern w:val="0"/>
          <w:sz w:val="32"/>
          <w:szCs w:val="32"/>
        </w:rPr>
        <w:t>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管理人对此不负责任。</w:t>
      </w:r>
    </w:p>
    <w:p w14:paraId="4FF7CA1F">
      <w:pPr>
        <w:widowControl/>
        <w:shd w:val="clear" w:color="auto" w:fill="FFFFFF"/>
        <w:spacing w:line="360" w:lineRule="auto"/>
        <w:ind w:firstLine="640" w:firstLineChars="200"/>
        <w:jc w:val="left"/>
        <w:rPr>
          <w:rFonts w:hint="eastAsia" w:ascii="楷体" w:hAnsi="楷体" w:eastAsia="楷体" w:cs="楷体"/>
          <w:color w:val="000000"/>
          <w:kern w:val="0"/>
          <w:sz w:val="32"/>
          <w:szCs w:val="32"/>
        </w:rPr>
      </w:pPr>
      <w:r>
        <w:rPr>
          <w:rFonts w:ascii="楷体" w:hAnsi="楷体" w:eastAsia="楷体" w:cs="楷体"/>
          <w:color w:val="000000"/>
          <w:kern w:val="0"/>
          <w:sz w:val="32"/>
          <w:szCs w:val="32"/>
        </w:rPr>
        <w:t>2、车辆保险情况、车辆事故信息、车辆违章信息不详，故此车辆原违章记录由买受人自行负责处理，交通罚单、欠缴的车船税、滞纳金、未投保交强险的罚款，以及可能产生的涉及车辆的其他罚款、税费、停车费、过户、单证补换，均由买受人自行核实、所涉及的一切费用均由买受人承担。车辆逾期未检验的，由买受人自行办理车辆检验手续。</w:t>
      </w:r>
    </w:p>
    <w:p w14:paraId="7011F5DB">
      <w:pPr>
        <w:widowControl/>
        <w:shd w:val="clear" w:color="auto" w:fill="FFFFFF"/>
        <w:spacing w:line="360" w:lineRule="auto"/>
        <w:ind w:firstLine="640" w:firstLineChars="200"/>
        <w:jc w:val="left"/>
        <w:rPr>
          <w:rFonts w:hint="eastAsia" w:ascii="楷体" w:hAnsi="楷体" w:eastAsia="楷体" w:cs="楷体"/>
          <w:color w:val="000000"/>
          <w:kern w:val="0"/>
          <w:sz w:val="32"/>
          <w:szCs w:val="32"/>
        </w:rPr>
      </w:pPr>
      <w:r>
        <w:rPr>
          <w:rFonts w:ascii="楷体" w:hAnsi="楷体" w:eastAsia="楷体" w:cs="楷体"/>
          <w:color w:val="000000"/>
          <w:kern w:val="0"/>
          <w:sz w:val="32"/>
          <w:szCs w:val="32"/>
        </w:rPr>
        <w:t>3、关于本车辆涉及的过户、机动车迁出、迁入，牌照指标申请、配置、更新，环保、排放标准等规定，竞买人应在竞拍前自行向当地相关职能部门了解，并自行承担因上述问题产生的车辆不能上牌的后果和一切风险。因上述问题发生费用及造成的车辆不能上牌的风险由买受人自行承担</w:t>
      </w:r>
    </w:p>
    <w:p w14:paraId="7C11C74B">
      <w:pPr>
        <w:widowControl/>
        <w:shd w:val="clear" w:color="auto" w:fill="FFFFFF"/>
        <w:spacing w:line="360" w:lineRule="auto"/>
        <w:ind w:firstLine="640" w:firstLineChars="200"/>
        <w:jc w:val="left"/>
        <w:rPr>
          <w:rFonts w:hint="eastAsia" w:ascii="楷体" w:hAnsi="楷体" w:eastAsia="楷体" w:cs="楷体"/>
          <w:color w:val="000000"/>
          <w:kern w:val="0"/>
          <w:sz w:val="32"/>
          <w:szCs w:val="32"/>
        </w:rPr>
      </w:pPr>
      <w:r>
        <w:rPr>
          <w:rFonts w:ascii="楷体" w:hAnsi="楷体" w:eastAsia="楷体" w:cs="楷体"/>
          <w:color w:val="000000"/>
          <w:kern w:val="0"/>
          <w:sz w:val="32"/>
          <w:szCs w:val="32"/>
        </w:rPr>
        <w:t>4、该标的物</w:t>
      </w:r>
      <w:r>
        <w:rPr>
          <w:rFonts w:hint="eastAsia" w:ascii="楷体" w:hAnsi="楷体" w:eastAsia="楷体" w:cs="楷体"/>
          <w:color w:val="000000"/>
          <w:kern w:val="0"/>
          <w:sz w:val="32"/>
          <w:szCs w:val="32"/>
        </w:rPr>
        <w:t>款式型号</w:t>
      </w:r>
      <w:r>
        <w:rPr>
          <w:rFonts w:ascii="楷体" w:hAnsi="楷体" w:eastAsia="楷体" w:cs="楷体"/>
          <w:color w:val="000000"/>
          <w:kern w:val="0"/>
          <w:sz w:val="32"/>
          <w:szCs w:val="32"/>
        </w:rPr>
        <w:t>请竞买人自行核实，公告中的车辆款式仅供参考，可能会出现与实际车辆款式不符合的情况，标的物交付以实际车辆为准。该标的物的里程数仅供参考，标的物以实际现状为准。管理人及拍卖辅助机构对标的物数量、质量问题、外观、结构调整、型号及使用状态（损坏）等不作任何担保，由买受人自行承担相关责任，由此产生的问题也不影响拍卖成交结果及成交价格。标的物须修复的相关费用由买受人承担。所以请竞买人在拍卖前必须仔细审查拍卖标的物，调查是否存在瑕疵，认真研究查看所竞买标的物的实际情况，并请亲临展示现场，实地看样，未看</w:t>
      </w:r>
      <w:r>
        <w:rPr>
          <w:rFonts w:hint="eastAsia" w:ascii="楷体" w:hAnsi="楷体" w:eastAsia="楷体" w:cs="楷体"/>
          <w:color w:val="000000"/>
          <w:kern w:val="0"/>
          <w:sz w:val="32"/>
          <w:szCs w:val="32"/>
        </w:rPr>
        <w:t>样的竞买人视为对本标的物实物现状的确认。请慎重决定竞买行为，竞买人一旦作出竞买决定，即表明已完全了解，并接受标的物交割时的现状和一切已知及未知的瑕疵。</w:t>
      </w:r>
    </w:p>
    <w:p w14:paraId="51178873">
      <w:pPr>
        <w:widowControl/>
        <w:shd w:val="clear" w:color="auto" w:fill="FFFFFF"/>
        <w:spacing w:line="360" w:lineRule="auto"/>
        <w:ind w:firstLine="640" w:firstLineChars="200"/>
        <w:jc w:val="left"/>
        <w:rPr>
          <w:rFonts w:hint="eastAsia" w:ascii="楷体" w:hAnsi="楷体" w:eastAsia="楷体" w:cs="楷体"/>
          <w:color w:val="000000"/>
          <w:kern w:val="0"/>
          <w:sz w:val="32"/>
          <w:szCs w:val="32"/>
        </w:rPr>
      </w:pPr>
      <w:r>
        <w:rPr>
          <w:rFonts w:ascii="楷体" w:hAnsi="楷体" w:eastAsia="楷体" w:cs="楷体"/>
          <w:color w:val="000000"/>
          <w:kern w:val="0"/>
          <w:sz w:val="32"/>
          <w:szCs w:val="32"/>
        </w:rPr>
        <w:t>5、其他未尽事宜由买受人自行了解。</w:t>
      </w:r>
    </w:p>
    <w:p w14:paraId="0EDA7587">
      <w:pPr>
        <w:widowControl/>
        <w:numPr>
          <w:ilvl w:val="0"/>
          <w:numId w:val="1"/>
        </w:numPr>
        <w:spacing w:line="360" w:lineRule="auto"/>
        <w:ind w:firstLine="643" w:firstLineChars="200"/>
        <w:jc w:val="left"/>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rPr>
        <w:t>竞买人条件</w:t>
      </w:r>
    </w:p>
    <w:p w14:paraId="6DDB7609">
      <w:pPr>
        <w:widowControl/>
        <w:spacing w:line="360" w:lineRule="auto"/>
        <w:ind w:firstLine="640" w:firstLineChars="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竞买人应具备完全民事行为能力，法律、行政法规、司法解释对买受人资格或者条件有特殊规定的，竞买人应当具备规定的资格或者条件。如参与竞买人未开设北交互联账户，可委托代理人进行，但必须在竞价程序开始前向管理人提交委托材料，经管理人确认后可参与竞买。受理</w:t>
      </w:r>
      <w:r>
        <w:rPr>
          <w:rFonts w:ascii="楷体" w:hAnsi="楷体" w:eastAsia="楷体" w:cs="楷体"/>
          <w:color w:val="000000"/>
          <w:kern w:val="0"/>
          <w:sz w:val="32"/>
          <w:szCs w:val="32"/>
        </w:rPr>
        <w:t>本案的人民法院、</w:t>
      </w:r>
      <w:r>
        <w:rPr>
          <w:rFonts w:hint="eastAsia" w:ascii="楷体" w:hAnsi="楷体" w:eastAsia="楷体" w:cs="楷体"/>
          <w:color w:val="000000"/>
          <w:kern w:val="0"/>
          <w:sz w:val="32"/>
          <w:szCs w:val="32"/>
        </w:rPr>
        <w:t>本案</w:t>
      </w:r>
      <w:r>
        <w:rPr>
          <w:rFonts w:ascii="楷体" w:hAnsi="楷体" w:eastAsia="楷体" w:cs="楷体"/>
          <w:color w:val="000000"/>
          <w:kern w:val="0"/>
          <w:sz w:val="32"/>
          <w:szCs w:val="32"/>
        </w:rPr>
        <w:t>管理人、</w:t>
      </w:r>
      <w:r>
        <w:rPr>
          <w:rFonts w:hint="eastAsia" w:ascii="楷体" w:hAnsi="楷体" w:eastAsia="楷体" w:cs="楷体"/>
          <w:color w:val="000000"/>
          <w:kern w:val="0"/>
          <w:sz w:val="32"/>
          <w:szCs w:val="32"/>
        </w:rPr>
        <w:t>本案</w:t>
      </w:r>
      <w:r>
        <w:rPr>
          <w:rFonts w:ascii="楷体" w:hAnsi="楷体" w:eastAsia="楷体" w:cs="楷体"/>
          <w:color w:val="000000"/>
          <w:kern w:val="0"/>
          <w:sz w:val="32"/>
          <w:szCs w:val="32"/>
        </w:rPr>
        <w:t>的</w:t>
      </w:r>
      <w:r>
        <w:rPr>
          <w:rFonts w:hint="eastAsia" w:ascii="楷体" w:hAnsi="楷体" w:eastAsia="楷体" w:cs="楷体"/>
          <w:color w:val="000000"/>
          <w:kern w:val="0"/>
          <w:sz w:val="32"/>
          <w:szCs w:val="32"/>
        </w:rPr>
        <w:t>网络拍卖平台、承担本案拍卖辅助工作的社会机构工作人员及其近亲属不得参与竞买，并且不得委托他人代为竞买与其行为相关的拍卖标的物。因不符合条件参加竞买的，由竞买人自行承担相应的法律责任。</w:t>
      </w:r>
    </w:p>
    <w:p w14:paraId="174C27BD">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对上述标的物权属有异议者，请于竞价开始</w:t>
      </w:r>
      <w:r>
        <w:rPr>
          <w:rFonts w:ascii="楷体" w:hAnsi="楷体" w:eastAsia="楷体" w:cs="楷体"/>
          <w:color w:val="000000"/>
          <w:sz w:val="32"/>
          <w:szCs w:val="32"/>
        </w:rPr>
        <w:t>前三个工作日</w:t>
      </w:r>
      <w:r>
        <w:rPr>
          <w:rFonts w:hint="eastAsia" w:ascii="楷体" w:hAnsi="楷体" w:eastAsia="楷体" w:cs="楷体"/>
          <w:color w:val="000000"/>
          <w:sz w:val="32"/>
          <w:szCs w:val="32"/>
        </w:rPr>
        <w:t>与管理人联系。</w:t>
      </w:r>
    </w:p>
    <w:p w14:paraId="5F9D49DC">
      <w:pPr>
        <w:widowControl/>
        <w:spacing w:line="360" w:lineRule="auto"/>
        <w:ind w:firstLine="640" w:firstLineChars="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优先购买权人及他人代为竞买的，须在竞价开始</w:t>
      </w:r>
      <w:r>
        <w:rPr>
          <w:rFonts w:ascii="楷体" w:hAnsi="楷体" w:eastAsia="楷体" w:cs="楷体"/>
          <w:color w:val="000000"/>
          <w:kern w:val="0"/>
          <w:sz w:val="32"/>
          <w:szCs w:val="32"/>
        </w:rPr>
        <w:t>前</w:t>
      </w:r>
      <w:r>
        <w:rPr>
          <w:rFonts w:hint="eastAsia" w:ascii="楷体" w:hAnsi="楷体" w:eastAsia="楷体" w:cs="楷体"/>
          <w:color w:val="000000"/>
          <w:kern w:val="0"/>
          <w:sz w:val="32"/>
          <w:szCs w:val="32"/>
        </w:rPr>
        <w:t>一</w:t>
      </w:r>
      <w:r>
        <w:rPr>
          <w:rFonts w:ascii="楷体" w:hAnsi="楷体" w:eastAsia="楷体" w:cs="楷体"/>
          <w:color w:val="000000"/>
          <w:kern w:val="0"/>
          <w:sz w:val="32"/>
          <w:szCs w:val="32"/>
        </w:rPr>
        <w:t>个工作日</w:t>
      </w:r>
      <w:r>
        <w:rPr>
          <w:rFonts w:hint="eastAsia" w:ascii="楷体" w:hAnsi="楷体" w:eastAsia="楷体" w:cs="楷体"/>
          <w:color w:val="000000"/>
          <w:kern w:val="0"/>
          <w:sz w:val="32"/>
          <w:szCs w:val="32"/>
        </w:rPr>
        <w:t>提交经管理人认可的相应证明材料，经北交所确认通过后，方可办理登记手续获得相应资格。</w:t>
      </w:r>
    </w:p>
    <w:p w14:paraId="302772B6">
      <w:pPr>
        <w:widowControl/>
        <w:numPr>
          <w:ilvl w:val="0"/>
          <w:numId w:val="1"/>
        </w:numPr>
        <w:spacing w:line="360" w:lineRule="auto"/>
        <w:ind w:firstLine="643" w:firstLineChars="200"/>
        <w:jc w:val="left"/>
        <w:rPr>
          <w:rFonts w:hint="eastAsia" w:ascii="楷体" w:hAnsi="楷体" w:eastAsia="楷体" w:cs="楷体"/>
          <w:b/>
          <w:bCs/>
          <w:color w:val="000000"/>
          <w:kern w:val="0"/>
          <w:sz w:val="32"/>
          <w:szCs w:val="32"/>
        </w:rPr>
      </w:pPr>
      <w:r>
        <w:rPr>
          <w:rFonts w:ascii="楷体" w:hAnsi="楷体" w:eastAsia="楷体" w:cs="楷体"/>
          <w:b/>
          <w:bCs/>
          <w:color w:val="000000"/>
          <w:kern w:val="0"/>
          <w:sz w:val="32"/>
          <w:szCs w:val="32"/>
        </w:rPr>
        <w:t>保证金交纳</w:t>
      </w:r>
    </w:p>
    <w:p w14:paraId="74687845">
      <w:pPr>
        <w:widowControl/>
        <w:spacing w:line="360" w:lineRule="auto"/>
        <w:ind w:firstLine="640" w:firstLineChars="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竞价前，竞买人须在北交互联注册账号并通过实名认证（已注册北交互联账号的需通过实名认证）。</w:t>
      </w:r>
    </w:p>
    <w:p w14:paraId="66DAEC32">
      <w:pPr>
        <w:pStyle w:val="21"/>
        <w:shd w:val="clear" w:color="auto" w:fill="FFFFFF"/>
        <w:spacing w:before="0" w:beforeAutospacing="0" w:after="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意向竞买人应在平台阅读《竞价须知》、《标的物调查表》等竞买文件，</w:t>
      </w:r>
      <w:r>
        <w:rPr>
          <w:rFonts w:hint="eastAsia" w:ascii="楷体" w:hAnsi="楷体" w:eastAsia="楷体" w:cs="楷体"/>
          <w:b/>
          <w:color w:val="000000"/>
          <w:sz w:val="32"/>
          <w:szCs w:val="32"/>
        </w:rPr>
        <w:t>在竞价程序结束前交纳保证金取得竞买资格</w:t>
      </w:r>
      <w:r>
        <w:rPr>
          <w:rFonts w:hint="eastAsia" w:ascii="楷体" w:hAnsi="楷体" w:eastAsia="楷体" w:cs="楷体"/>
          <w:color w:val="000000"/>
          <w:sz w:val="32"/>
          <w:szCs w:val="32"/>
        </w:rPr>
        <w:t>。</w:t>
      </w:r>
      <w:r>
        <w:rPr>
          <w:rFonts w:ascii="楷体" w:hAnsi="楷体" w:eastAsia="楷体" w:cs="楷体"/>
          <w:color w:val="000000"/>
          <w:sz w:val="32"/>
          <w:szCs w:val="32"/>
        </w:rPr>
        <w:t>竞价保证金金额一般较大</w:t>
      </w:r>
      <w:r>
        <w:rPr>
          <w:rFonts w:hint="eastAsia" w:ascii="楷体" w:hAnsi="楷体" w:eastAsia="楷体" w:cs="楷体"/>
          <w:color w:val="000000"/>
          <w:sz w:val="32"/>
          <w:szCs w:val="32"/>
        </w:rPr>
        <w:t>，</w:t>
      </w:r>
      <w:r>
        <w:rPr>
          <w:rFonts w:ascii="楷体" w:hAnsi="楷体" w:eastAsia="楷体" w:cs="楷体"/>
          <w:color w:val="000000"/>
          <w:sz w:val="32"/>
          <w:szCs w:val="32"/>
        </w:rPr>
        <w:t>建议提前1-2天报名交纳保证金，以免错过竞价时间。</w:t>
      </w:r>
      <w:r>
        <w:rPr>
          <w:rFonts w:hint="eastAsia" w:ascii="楷体" w:hAnsi="楷体" w:eastAsia="楷体" w:cs="楷体"/>
          <w:color w:val="000000"/>
          <w:sz w:val="32"/>
          <w:szCs w:val="32"/>
        </w:rPr>
        <w:t>具体要求请阅读竞价页面内的《竞价须知》及北交所诉讼资产平台页面</w:t>
      </w:r>
      <w:r>
        <w:rPr>
          <w:rFonts w:ascii="楷体" w:hAnsi="楷体" w:eastAsia="楷体" w:cs="楷体"/>
          <w:color w:val="000000"/>
          <w:sz w:val="32"/>
          <w:szCs w:val="32"/>
        </w:rPr>
        <w:t>的</w:t>
      </w:r>
      <w:r>
        <w:rPr>
          <w:rFonts w:hint="eastAsia" w:ascii="楷体" w:hAnsi="楷体" w:eastAsia="楷体" w:cs="楷体"/>
          <w:color w:val="000000"/>
          <w:sz w:val="32"/>
          <w:szCs w:val="32"/>
        </w:rPr>
        <w:t>相关准则。保证金服务热线</w:t>
      </w:r>
      <w:r>
        <w:rPr>
          <w:rFonts w:ascii="楷体" w:hAnsi="楷体" w:eastAsia="楷体" w:cs="楷体"/>
          <w:color w:val="000000"/>
          <w:sz w:val="32"/>
          <w:szCs w:val="32"/>
        </w:rPr>
        <w:t>:400-689-1566</w:t>
      </w:r>
      <w:r>
        <w:rPr>
          <w:rFonts w:hint="eastAsia" w:ascii="楷体" w:hAnsi="楷体" w:eastAsia="楷体" w:cs="楷体"/>
          <w:color w:val="000000"/>
          <w:sz w:val="32"/>
          <w:szCs w:val="32"/>
        </w:rPr>
        <w:t>。</w:t>
      </w:r>
    </w:p>
    <w:p w14:paraId="77A42130">
      <w:pPr>
        <w:widowControl/>
        <w:spacing w:before="100" w:beforeAutospacing="1" w:after="100" w:afterAutospacing="1" w:line="360" w:lineRule="auto"/>
        <w:ind w:firstLine="555"/>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竞价标的物保证金金额在</w:t>
      </w:r>
      <w:r>
        <w:rPr>
          <w:rFonts w:ascii="楷体" w:hAnsi="楷体" w:eastAsia="楷体" w:cs="楷体"/>
          <w:color w:val="000000"/>
          <w:kern w:val="0"/>
          <w:sz w:val="32"/>
          <w:szCs w:val="32"/>
        </w:rPr>
        <w:t>1000万及以上的，或企业参与竞买，</w:t>
      </w:r>
      <w:r>
        <w:rPr>
          <w:rFonts w:hint="eastAsia" w:ascii="楷体" w:hAnsi="楷体" w:eastAsia="楷体" w:cs="楷体"/>
          <w:color w:val="000000"/>
          <w:kern w:val="0"/>
          <w:sz w:val="32"/>
          <w:szCs w:val="32"/>
        </w:rPr>
        <w:t>建议</w:t>
      </w:r>
      <w:r>
        <w:rPr>
          <w:rFonts w:ascii="楷体" w:hAnsi="楷体" w:eastAsia="楷体" w:cs="楷体"/>
          <w:color w:val="000000"/>
          <w:kern w:val="0"/>
          <w:sz w:val="32"/>
          <w:szCs w:val="32"/>
        </w:rPr>
        <w:t>竞买人提前3</w:t>
      </w:r>
      <w:r>
        <w:rPr>
          <w:rFonts w:hint="eastAsia" w:ascii="楷体" w:hAnsi="楷体" w:eastAsia="楷体" w:cs="楷体"/>
          <w:color w:val="000000"/>
          <w:kern w:val="0"/>
          <w:sz w:val="32"/>
          <w:szCs w:val="32"/>
        </w:rPr>
        <w:t>个工作日完成报名及保证金交纳手续。如因竞买人未按此条提示规定的时间完成报名及保证金交纳手续，导致北交所在拍卖结束前未能全额收到竞买人交纳的保证金，无法为竞买人开通竞买权限，所产生的一切后果由竞买人自行承担，管理人与北交所均不就此承担任何责任。</w:t>
      </w:r>
    </w:p>
    <w:p w14:paraId="6E9A2545">
      <w:pPr>
        <w:widowControl/>
        <w:shd w:val="clear" w:color="auto" w:fill="FFFFFF"/>
        <w:spacing w:line="360" w:lineRule="auto"/>
        <w:ind w:firstLine="643" w:firstLineChars="200"/>
        <w:jc w:val="left"/>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rPr>
        <w:t>四、咨询、展示时间与方式：</w:t>
      </w:r>
    </w:p>
    <w:p w14:paraId="2A94CB91">
      <w:pPr>
        <w:pStyle w:val="6"/>
        <w:shd w:val="clear" w:color="auto" w:fill="FFFFFF"/>
        <w:spacing w:beforeAutospacing="0" w:afterAutospacing="0" w:line="360" w:lineRule="auto"/>
        <w:ind w:firstLine="640" w:firstLineChars="200"/>
        <w:rPr>
          <w:rFonts w:hint="eastAsia" w:ascii="楷体" w:hAnsi="楷体" w:eastAsia="楷体" w:cs="楷体"/>
          <w:b/>
          <w:bCs/>
          <w:color w:val="FF0000"/>
          <w:sz w:val="32"/>
          <w:szCs w:val="32"/>
        </w:rPr>
      </w:pPr>
      <w:r>
        <w:rPr>
          <w:rFonts w:hint="eastAsia" w:ascii="楷体" w:hAnsi="楷体" w:eastAsia="楷体" w:cs="楷体"/>
          <w:color w:val="000000"/>
          <w:sz w:val="32"/>
          <w:szCs w:val="32"/>
        </w:rPr>
        <w:t>自公告之日起至拍卖结束之日</w:t>
      </w:r>
      <w:r>
        <w:rPr>
          <w:rFonts w:ascii="楷体" w:hAnsi="楷体" w:eastAsia="楷体" w:cs="楷体"/>
          <w:color w:val="000000"/>
          <w:sz w:val="32"/>
          <w:szCs w:val="32"/>
        </w:rPr>
        <w:t>止接受咨询（工作时间内），统一安排现场看样。本管理人已委托北京嘉运亨通拍卖有限公司协助办理咨询、预展事务，有意者请与联系（联系电话：</w:t>
      </w:r>
      <w:r>
        <w:rPr>
          <w:rFonts w:hint="eastAsia" w:ascii="楷体" w:hAnsi="楷体" w:eastAsia="楷体" w:cs="楷体"/>
          <w:color w:val="000000"/>
          <w:sz w:val="32"/>
          <w:szCs w:val="32"/>
        </w:rPr>
        <w:t>刘先生：15901366440</w:t>
      </w:r>
      <w:r>
        <w:rPr>
          <w:rFonts w:ascii="楷体" w:hAnsi="楷体" w:eastAsia="楷体" w:cs="楷体"/>
          <w:color w:val="000000"/>
          <w:sz w:val="32"/>
          <w:szCs w:val="32"/>
        </w:rPr>
        <w:t>；李先生：13552572522）。</w:t>
      </w:r>
      <w:r>
        <w:rPr>
          <w:rFonts w:ascii="楷体" w:hAnsi="楷体" w:eastAsia="楷体" w:cs="楷体"/>
          <w:b/>
          <w:bCs/>
          <w:color w:val="FF0000"/>
          <w:sz w:val="32"/>
          <w:szCs w:val="32"/>
        </w:rPr>
        <w:t>有意者请亲自实地看样，详细情况可向相关部门了解或自行进行调查，未看样的竞买人视为对本标的物实物现状的确认，责任自负。请谨慎参拍。竞买人一旦作出竞买决定，即表明已完全了解，并接受标的物的现状和一切已知及未知的瑕疵。</w:t>
      </w:r>
    </w:p>
    <w:p w14:paraId="29524B20">
      <w:pPr>
        <w:pStyle w:val="6"/>
        <w:shd w:val="clear" w:color="auto" w:fill="FFFFFF"/>
        <w:spacing w:beforeAutospacing="0" w:afterAutospacing="0" w:line="360" w:lineRule="auto"/>
        <w:ind w:firstLine="643" w:firstLineChars="200"/>
        <w:rPr>
          <w:rFonts w:hint="eastAsia" w:ascii="楷体" w:hAnsi="楷体" w:eastAsia="楷体" w:cs="楷体"/>
          <w:sz w:val="32"/>
          <w:szCs w:val="32"/>
        </w:rPr>
      </w:pPr>
      <w:r>
        <w:rPr>
          <w:rFonts w:hint="eastAsia" w:ascii="楷体" w:hAnsi="楷体" w:eastAsia="楷体" w:cs="楷体"/>
          <w:b/>
          <w:color w:val="000000"/>
          <w:sz w:val="32"/>
          <w:szCs w:val="32"/>
        </w:rPr>
        <w:t>五</w:t>
      </w:r>
      <w:r>
        <w:rPr>
          <w:rFonts w:hint="eastAsia" w:ascii="楷体" w:hAnsi="楷体" w:eastAsia="楷体" w:cs="楷体"/>
          <w:b/>
          <w:bCs/>
          <w:color w:val="000000"/>
          <w:sz w:val="32"/>
          <w:szCs w:val="32"/>
        </w:rPr>
        <w:t>、</w:t>
      </w:r>
      <w:r>
        <w:rPr>
          <w:rStyle w:val="11"/>
          <w:rFonts w:hint="eastAsia" w:ascii="楷体" w:hAnsi="楷体" w:eastAsia="楷体" w:cs="楷体"/>
          <w:bCs w:val="0"/>
          <w:sz w:val="32"/>
          <w:szCs w:val="32"/>
          <w:shd w:val="clear" w:color="auto" w:fill="FFFFFF"/>
        </w:rPr>
        <w:t>拍卖方式：</w:t>
      </w:r>
      <w:r>
        <w:rPr>
          <w:rFonts w:hint="eastAsia" w:ascii="楷体" w:hAnsi="楷体" w:eastAsia="楷体" w:cs="楷体"/>
          <w:sz w:val="32"/>
          <w:szCs w:val="32"/>
          <w:shd w:val="clear" w:color="auto" w:fill="FFFFFF"/>
        </w:rPr>
        <w:t>设有保留价的增价拍卖方式，保留价即为起拍价，至少一人报名且出价不低于起拍价，方可成交。</w:t>
      </w:r>
      <w:r>
        <w:rPr>
          <w:rStyle w:val="11"/>
          <w:rFonts w:hint="eastAsia" w:ascii="楷体" w:hAnsi="楷体" w:eastAsia="楷体" w:cs="楷体"/>
          <w:bCs w:val="0"/>
          <w:sz w:val="32"/>
          <w:szCs w:val="32"/>
          <w:shd w:val="clear" w:color="auto" w:fill="FFFFFF"/>
        </w:rPr>
        <w:t>本次拍卖活动设置延时出价功能，在拍卖活动结束前，每最后5分钟如果有竞买人出价，将自动延迟5分钟。</w:t>
      </w:r>
    </w:p>
    <w:p w14:paraId="5518CF1C">
      <w:pPr>
        <w:widowControl/>
        <w:shd w:val="clear" w:color="auto" w:fill="FFFFFF"/>
        <w:spacing w:line="360" w:lineRule="auto"/>
        <w:ind w:firstLine="643" w:firstLineChars="200"/>
        <w:jc w:val="left"/>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rPr>
        <w:t>六、特别提醒：</w:t>
      </w:r>
    </w:p>
    <w:p w14:paraId="33CE3FC3">
      <w:pPr>
        <w:widowControl/>
        <w:spacing w:line="360" w:lineRule="auto"/>
        <w:ind w:firstLine="640" w:firstLineChars="200"/>
        <w:jc w:val="left"/>
        <w:rPr>
          <w:rFonts w:hint="eastAsia" w:ascii="楷体" w:hAnsi="楷体" w:eastAsia="楷体" w:cs="楷体"/>
          <w:b/>
          <w:color w:val="000000"/>
          <w:kern w:val="0"/>
          <w:sz w:val="32"/>
          <w:szCs w:val="32"/>
        </w:rPr>
      </w:pPr>
      <w:r>
        <w:rPr>
          <w:rFonts w:hint="eastAsia" w:ascii="楷体" w:hAnsi="楷体" w:eastAsia="楷体" w:cs="楷体"/>
          <w:color w:val="000000"/>
          <w:kern w:val="0"/>
          <w:sz w:val="32"/>
          <w:szCs w:val="32"/>
        </w:rPr>
        <w:t>标的物按现状交付拍卖，管理人不承担本标的物瑕疵保证。除拍卖文件披露外，竞买人应对拍卖标的物的实际状况以及瑕疵（含显性、隐性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作出竞买决定，则表明其已完全了解、并接受拍卖标的物的现状和一切已知及未知瑕疵。</w:t>
      </w:r>
      <w:r>
        <w:rPr>
          <w:rFonts w:hint="eastAsia" w:ascii="楷体" w:hAnsi="楷体" w:eastAsia="楷体" w:cs="楷体"/>
          <w:b/>
          <w:color w:val="000000"/>
          <w:kern w:val="0"/>
          <w:sz w:val="32"/>
          <w:szCs w:val="32"/>
        </w:rPr>
        <w:t>管理人及拍卖辅助机构及拍卖平台不承担拍卖标的物的瑕疵保证责任。</w:t>
      </w:r>
    </w:p>
    <w:p w14:paraId="0A70E679">
      <w:pPr>
        <w:widowControl/>
        <w:spacing w:line="360" w:lineRule="auto"/>
        <w:ind w:firstLine="643" w:firstLineChars="200"/>
        <w:jc w:val="left"/>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rPr>
        <w:t>七、优先购买人：</w:t>
      </w:r>
    </w:p>
    <w:p w14:paraId="28466023">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竞价标的物如若存在优先购买权人，优先购买权人参加竞买的，应在规定时间内向北交所提交经管理人确认的合法有效证明（登记的证件信息必须与北交互联实名认证相一致），经确认后才能以优先购买权人的身份参与竞买，逾期不提交的，视为放弃对本标的物享有优先购买权。本标的物优先购买权人未参加竞价，亦视为放弃优先购买权。</w:t>
      </w:r>
    </w:p>
    <w:p w14:paraId="2EE2F0B0">
      <w:pPr>
        <w:widowControl/>
        <w:spacing w:line="360" w:lineRule="auto"/>
        <w:ind w:firstLine="643" w:firstLineChars="200"/>
        <w:jc w:val="left"/>
        <w:rPr>
          <w:rStyle w:val="11"/>
          <w:rFonts w:hint="eastAsia" w:ascii="楷体" w:hAnsi="楷体" w:eastAsia="楷体" w:cs="楷体"/>
          <w:sz w:val="32"/>
          <w:szCs w:val="32"/>
          <w:shd w:val="clear" w:color="auto" w:fill="FFFFFF"/>
        </w:rPr>
      </w:pPr>
      <w:r>
        <w:rPr>
          <w:rFonts w:hint="eastAsia" w:ascii="楷体" w:hAnsi="楷体" w:eastAsia="楷体" w:cs="楷体"/>
          <w:b/>
          <w:bCs/>
          <w:color w:val="000000"/>
          <w:kern w:val="0"/>
          <w:sz w:val="32"/>
          <w:szCs w:val="32"/>
        </w:rPr>
        <w:t>八、</w:t>
      </w:r>
      <w:r>
        <w:rPr>
          <w:rStyle w:val="11"/>
          <w:rFonts w:hint="eastAsia" w:ascii="楷体" w:hAnsi="楷体" w:eastAsia="楷体" w:cs="楷体"/>
          <w:sz w:val="32"/>
          <w:szCs w:val="32"/>
          <w:shd w:val="clear" w:color="auto" w:fill="FFFFFF"/>
        </w:rPr>
        <w:t>拍卖余款</w:t>
      </w:r>
    </w:p>
    <w:p w14:paraId="53385ED6">
      <w:pPr>
        <w:widowControl/>
        <w:spacing w:line="360" w:lineRule="auto"/>
        <w:ind w:firstLine="640" w:firstLineChars="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意向竞买人在线支付竞买保证金，竞价成交的，买受人的保证金将转为部分成交款，由北交互联转入管理人指定账户，</w:t>
      </w:r>
      <w:r>
        <w:rPr>
          <w:rFonts w:hint="eastAsia" w:ascii="楷体" w:hAnsi="楷体" w:eastAsia="楷体" w:cs="楷体"/>
          <w:b/>
          <w:bCs/>
          <w:color w:val="000000"/>
          <w:kern w:val="0"/>
          <w:sz w:val="32"/>
          <w:szCs w:val="32"/>
        </w:rPr>
        <w:t>拍卖余款（成交价</w:t>
      </w:r>
      <w:r>
        <w:rPr>
          <w:rFonts w:ascii="楷体" w:hAnsi="楷体" w:eastAsia="楷体" w:cs="楷体"/>
          <w:b/>
          <w:bCs/>
          <w:color w:val="000000"/>
          <w:kern w:val="0"/>
          <w:sz w:val="32"/>
          <w:szCs w:val="32"/>
        </w:rPr>
        <w:t>减去保证金差额</w:t>
      </w:r>
      <w:r>
        <w:rPr>
          <w:rFonts w:hint="eastAsia" w:ascii="楷体" w:hAnsi="楷体" w:eastAsia="楷体" w:cs="楷体"/>
          <w:b/>
          <w:bCs/>
          <w:color w:val="000000"/>
          <w:kern w:val="0"/>
          <w:sz w:val="32"/>
          <w:szCs w:val="32"/>
        </w:rPr>
        <w:t>）买受人</w:t>
      </w:r>
      <w:r>
        <w:rPr>
          <w:rFonts w:ascii="楷体" w:hAnsi="楷体" w:eastAsia="楷体" w:cs="楷体"/>
          <w:b/>
          <w:bCs/>
          <w:color w:val="000000"/>
          <w:kern w:val="0"/>
          <w:sz w:val="32"/>
          <w:szCs w:val="32"/>
        </w:rPr>
        <w:t>应</w:t>
      </w:r>
      <w:r>
        <w:rPr>
          <w:rFonts w:hint="eastAsia" w:ascii="楷体" w:hAnsi="楷体" w:eastAsia="楷体" w:cs="楷体"/>
          <w:b/>
          <w:bCs/>
          <w:color w:val="000000"/>
          <w:kern w:val="0"/>
          <w:sz w:val="32"/>
          <w:szCs w:val="32"/>
        </w:rPr>
        <w:t>在拍卖成交之日起7日内缴入管理人指定账户（户名：北京诚通嘉业投资管理有限公司管理人，开户银行：中信银行北京三元桥支行，账号：8110701012502677842）。</w:t>
      </w:r>
    </w:p>
    <w:p w14:paraId="349B1BD9">
      <w:pPr>
        <w:widowControl/>
        <w:spacing w:line="360" w:lineRule="auto"/>
        <w:ind w:firstLine="643" w:firstLineChars="200"/>
        <w:jc w:val="left"/>
        <w:rPr>
          <w:rFonts w:hint="eastAsia" w:ascii="楷体" w:hAnsi="楷体" w:eastAsia="楷体" w:cs="楷体"/>
          <w:color w:val="000000"/>
          <w:kern w:val="0"/>
          <w:sz w:val="32"/>
          <w:szCs w:val="32"/>
        </w:rPr>
      </w:pPr>
      <w:r>
        <w:rPr>
          <w:rFonts w:hint="eastAsia" w:ascii="楷体" w:hAnsi="楷体" w:eastAsia="楷体" w:cs="楷体"/>
          <w:b/>
          <w:bCs/>
          <w:color w:val="000000"/>
          <w:kern w:val="0"/>
          <w:sz w:val="32"/>
          <w:szCs w:val="32"/>
        </w:rPr>
        <w:t>未能竞得的竞买人交纳的保证金在竞价程序结束后二十四小时内发起原路径返还，具体到账时间以银行信息为准。</w:t>
      </w:r>
      <w:r>
        <w:rPr>
          <w:rFonts w:hint="eastAsia" w:ascii="楷体" w:hAnsi="楷体" w:eastAsia="楷体" w:cs="楷体"/>
          <w:color w:val="000000"/>
          <w:kern w:val="0"/>
          <w:sz w:val="32"/>
          <w:szCs w:val="32"/>
        </w:rPr>
        <w:t xml:space="preserve"> </w:t>
      </w:r>
    </w:p>
    <w:p w14:paraId="3D882115">
      <w:pPr>
        <w:widowControl/>
        <w:spacing w:line="360" w:lineRule="auto"/>
        <w:ind w:firstLine="643" w:firstLineChars="200"/>
        <w:jc w:val="left"/>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rPr>
        <w:t>九、服务费</w:t>
      </w:r>
    </w:p>
    <w:p w14:paraId="2A6A06E2">
      <w:pPr>
        <w:widowControl/>
        <w:spacing w:line="360" w:lineRule="auto"/>
        <w:ind w:firstLine="643" w:firstLineChars="200"/>
        <w:jc w:val="left"/>
        <w:rPr>
          <w:rFonts w:hint="eastAsia" w:ascii="楷体" w:hAnsi="楷体" w:eastAsia="楷体" w:cs="楷体"/>
          <w:b/>
          <w:bCs/>
          <w:color w:val="000000"/>
          <w:kern w:val="0"/>
          <w:sz w:val="32"/>
          <w:szCs w:val="32"/>
        </w:rPr>
      </w:pPr>
      <w:r>
        <w:rPr>
          <w:rFonts w:ascii="楷体" w:hAnsi="楷体" w:eastAsia="楷体" w:cs="楷体"/>
          <w:b/>
          <w:bCs/>
          <w:color w:val="000000"/>
          <w:sz w:val="32"/>
          <w:szCs w:val="32"/>
        </w:rPr>
        <w:t>1、</w:t>
      </w:r>
      <w:r>
        <w:rPr>
          <w:rFonts w:hint="eastAsia" w:ascii="楷体" w:hAnsi="楷体" w:eastAsia="楷体" w:cs="楷体"/>
          <w:b/>
          <w:bCs/>
          <w:color w:val="000000"/>
          <w:kern w:val="0"/>
          <w:sz w:val="32"/>
          <w:szCs w:val="32"/>
        </w:rPr>
        <w:t>交易服务费按照成交价款的0.</w:t>
      </w:r>
      <w:r>
        <w:rPr>
          <w:rFonts w:ascii="楷体" w:hAnsi="楷体" w:eastAsia="楷体" w:cs="楷体"/>
          <w:b/>
          <w:bCs/>
          <w:color w:val="000000"/>
          <w:kern w:val="0"/>
          <w:sz w:val="32"/>
          <w:szCs w:val="32"/>
        </w:rPr>
        <w:t>5</w:t>
      </w:r>
      <w:r>
        <w:rPr>
          <w:rFonts w:hint="eastAsia" w:ascii="楷体" w:hAnsi="楷体" w:eastAsia="楷体" w:cs="楷体"/>
          <w:b/>
          <w:bCs/>
          <w:color w:val="000000"/>
          <w:kern w:val="0"/>
          <w:sz w:val="32"/>
          <w:szCs w:val="32"/>
        </w:rPr>
        <w:t>%收取且不低于1000元人民币</w:t>
      </w:r>
      <w:r>
        <w:rPr>
          <w:rFonts w:hint="eastAsia" w:ascii="楷体" w:hAnsi="楷体" w:eastAsia="楷体" w:cs="楷体"/>
          <w:b/>
          <w:bCs/>
          <w:color w:val="000000"/>
          <w:sz w:val="32"/>
          <w:szCs w:val="32"/>
        </w:rPr>
        <w:t>，</w:t>
      </w:r>
      <w:r>
        <w:rPr>
          <w:rFonts w:hint="eastAsia" w:ascii="楷体" w:hAnsi="楷体" w:eastAsia="楷体" w:cs="楷体"/>
          <w:color w:val="000000"/>
          <w:sz w:val="32"/>
          <w:szCs w:val="32"/>
        </w:rPr>
        <w:t>由北交所收取。</w:t>
      </w:r>
      <w:r>
        <w:rPr>
          <w:rFonts w:hint="eastAsia" w:ascii="楷体" w:hAnsi="楷体" w:eastAsia="楷体" w:cs="楷体"/>
          <w:b/>
          <w:bCs/>
          <w:color w:val="000000"/>
          <w:kern w:val="0"/>
          <w:sz w:val="32"/>
          <w:szCs w:val="32"/>
        </w:rPr>
        <w:t>竞价</w:t>
      </w:r>
      <w:r>
        <w:rPr>
          <w:rFonts w:ascii="楷体" w:hAnsi="楷体" w:eastAsia="楷体" w:cs="楷体"/>
          <w:b/>
          <w:bCs/>
          <w:color w:val="000000"/>
          <w:kern w:val="0"/>
          <w:sz w:val="32"/>
          <w:szCs w:val="32"/>
        </w:rPr>
        <w:t>成交后系统会按照公示费率计算</w:t>
      </w:r>
      <w:r>
        <w:rPr>
          <w:rFonts w:hint="eastAsia" w:ascii="楷体" w:hAnsi="楷体" w:eastAsia="楷体" w:cs="楷体"/>
          <w:b/>
          <w:bCs/>
          <w:color w:val="000000"/>
          <w:kern w:val="0"/>
          <w:sz w:val="32"/>
          <w:szCs w:val="32"/>
        </w:rPr>
        <w:t>交易</w:t>
      </w:r>
      <w:r>
        <w:rPr>
          <w:rFonts w:ascii="楷体" w:hAnsi="楷体" w:eastAsia="楷体" w:cs="楷体"/>
          <w:b/>
          <w:bCs/>
          <w:color w:val="000000"/>
          <w:kern w:val="0"/>
          <w:sz w:val="32"/>
          <w:szCs w:val="32"/>
        </w:rPr>
        <w:t>服务费具体金额，买受人应在</w:t>
      </w:r>
      <w:r>
        <w:rPr>
          <w:rFonts w:hint="eastAsia" w:ascii="楷体" w:hAnsi="楷体" w:eastAsia="楷体" w:cs="楷体"/>
          <w:b/>
          <w:bCs/>
          <w:color w:val="000000"/>
          <w:kern w:val="0"/>
          <w:sz w:val="32"/>
          <w:szCs w:val="32"/>
        </w:rPr>
        <w:t>拍卖成交之日起7日内在线</w:t>
      </w:r>
      <w:r>
        <w:rPr>
          <w:rFonts w:ascii="楷体" w:hAnsi="楷体" w:eastAsia="楷体" w:cs="楷体"/>
          <w:b/>
          <w:bCs/>
          <w:color w:val="000000"/>
          <w:kern w:val="0"/>
          <w:sz w:val="32"/>
          <w:szCs w:val="32"/>
        </w:rPr>
        <w:t>支付该笔订单。</w:t>
      </w:r>
    </w:p>
    <w:p w14:paraId="4096E74A">
      <w:pPr>
        <w:pStyle w:val="6"/>
        <w:shd w:val="clear" w:color="auto" w:fill="FFFFFF"/>
        <w:spacing w:beforeAutospacing="0" w:afterAutospacing="0" w:line="360" w:lineRule="auto"/>
        <w:ind w:firstLine="643" w:firstLineChars="200"/>
        <w:rPr>
          <w:rFonts w:hint="eastAsia" w:ascii="楷体" w:hAnsi="楷体" w:eastAsia="楷体" w:cs="楷体"/>
          <w:b/>
          <w:bCs/>
          <w:color w:val="000000"/>
          <w:sz w:val="32"/>
          <w:szCs w:val="32"/>
        </w:rPr>
      </w:pPr>
      <w:r>
        <w:rPr>
          <w:rFonts w:ascii="楷体" w:hAnsi="楷体" w:eastAsia="楷体" w:cs="楷体"/>
          <w:b/>
          <w:bCs/>
          <w:color w:val="000000"/>
          <w:sz w:val="32"/>
          <w:szCs w:val="32"/>
        </w:rPr>
        <w:t>2、综合服务费</w:t>
      </w:r>
      <w:r>
        <w:rPr>
          <w:rFonts w:hint="eastAsia" w:ascii="楷体" w:hAnsi="楷体" w:eastAsia="楷体" w:cs="楷体"/>
          <w:b/>
          <w:bCs/>
          <w:color w:val="000000"/>
          <w:sz w:val="32"/>
          <w:szCs w:val="32"/>
        </w:rPr>
        <w:t>按照</w:t>
      </w:r>
      <w:r>
        <w:rPr>
          <w:rFonts w:ascii="楷体" w:hAnsi="楷体" w:eastAsia="楷体" w:cs="楷体"/>
          <w:b/>
          <w:bCs/>
          <w:color w:val="000000"/>
          <w:sz w:val="32"/>
          <w:szCs w:val="32"/>
        </w:rPr>
        <w:t>成交价款的2%</w:t>
      </w:r>
      <w:r>
        <w:rPr>
          <w:rFonts w:hint="eastAsia" w:ascii="楷体" w:hAnsi="楷体" w:eastAsia="楷体" w:cs="楷体"/>
          <w:b/>
          <w:bCs/>
          <w:color w:val="000000"/>
          <w:sz w:val="32"/>
          <w:szCs w:val="32"/>
        </w:rPr>
        <w:t>由辅助机构北京嘉运亨通拍卖有限公司</w:t>
      </w:r>
      <w:r>
        <w:rPr>
          <w:rFonts w:ascii="楷体" w:hAnsi="楷体" w:eastAsia="楷体" w:cs="楷体"/>
          <w:b/>
          <w:bCs/>
          <w:color w:val="000000"/>
          <w:sz w:val="32"/>
          <w:szCs w:val="32"/>
        </w:rPr>
        <w:t>收取，买受人</w:t>
      </w:r>
      <w:r>
        <w:rPr>
          <w:rFonts w:hint="eastAsia" w:ascii="楷体" w:hAnsi="楷体" w:eastAsia="楷体" w:cs="楷体"/>
          <w:b/>
          <w:bCs/>
          <w:color w:val="000000"/>
          <w:sz w:val="32"/>
          <w:szCs w:val="32"/>
        </w:rPr>
        <w:t>应在拍卖成交之日起7日内将综合服务费汇款至</w:t>
      </w:r>
      <w:r>
        <w:rPr>
          <w:rFonts w:ascii="楷体" w:hAnsi="楷体" w:eastAsia="楷体" w:cs="楷体"/>
          <w:b/>
          <w:bCs/>
          <w:color w:val="000000"/>
          <w:sz w:val="32"/>
          <w:szCs w:val="32"/>
        </w:rPr>
        <w:t>指定账户【</w:t>
      </w:r>
      <w:r>
        <w:rPr>
          <w:rFonts w:hint="eastAsia" w:ascii="楷体" w:hAnsi="楷体" w:eastAsia="楷体" w:cs="楷体"/>
          <w:b/>
          <w:bCs/>
          <w:color w:val="000000"/>
          <w:sz w:val="32"/>
          <w:szCs w:val="32"/>
        </w:rPr>
        <w:t>户名：北京嘉运亨通拍卖有限公司；开户行：招商银行股份有限公司北京崇文门支行；账号：</w:t>
      </w:r>
      <w:r>
        <w:rPr>
          <w:rFonts w:ascii="楷体" w:hAnsi="楷体" w:eastAsia="楷体" w:cs="楷体"/>
          <w:b/>
          <w:bCs/>
          <w:color w:val="000000"/>
          <w:sz w:val="32"/>
          <w:szCs w:val="32"/>
        </w:rPr>
        <w:t>110945693810201；以到账时间为准】。</w:t>
      </w:r>
    </w:p>
    <w:p w14:paraId="7833DDE4">
      <w:pPr>
        <w:widowControl/>
        <w:spacing w:line="360" w:lineRule="auto"/>
        <w:ind w:firstLine="643" w:firstLineChars="200"/>
        <w:jc w:val="left"/>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rPr>
        <w:t>十、成交</w:t>
      </w:r>
      <w:r>
        <w:rPr>
          <w:rFonts w:ascii="楷体" w:hAnsi="楷体" w:eastAsia="楷体" w:cs="楷体"/>
          <w:b/>
          <w:bCs/>
          <w:color w:val="000000"/>
          <w:kern w:val="0"/>
          <w:sz w:val="32"/>
          <w:szCs w:val="32"/>
        </w:rPr>
        <w:t>结果公示</w:t>
      </w:r>
    </w:p>
    <w:p w14:paraId="78D47620">
      <w:pPr>
        <w:widowControl/>
        <w:spacing w:before="100" w:beforeAutospacing="1" w:after="100" w:afterAutospacing="1" w:line="360" w:lineRule="auto"/>
        <w:ind w:firstLine="555"/>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竞买人成功竞得标的物后，北交所诉讼</w:t>
      </w:r>
      <w:r>
        <w:rPr>
          <w:rFonts w:ascii="楷体" w:hAnsi="楷体" w:eastAsia="楷体" w:cs="楷体"/>
          <w:color w:val="000000"/>
          <w:kern w:val="0"/>
          <w:sz w:val="32"/>
          <w:szCs w:val="32"/>
        </w:rPr>
        <w:t>资产平台</w:t>
      </w:r>
      <w:r>
        <w:rPr>
          <w:rFonts w:hint="eastAsia" w:ascii="楷体" w:hAnsi="楷体" w:eastAsia="楷体" w:cs="楷体"/>
          <w:color w:val="000000"/>
          <w:kern w:val="0"/>
          <w:sz w:val="32"/>
          <w:szCs w:val="32"/>
        </w:rPr>
        <w:t>将生成相应《竞价成功确认书》并公示，确认书中载明实际买受人姓名、竞买号等信息（</w:t>
      </w:r>
      <w:r>
        <w:rPr>
          <w:rFonts w:ascii="楷体" w:hAnsi="楷体" w:eastAsia="楷体" w:cs="楷体"/>
          <w:color w:val="000000"/>
          <w:kern w:val="0"/>
          <w:sz w:val="32"/>
          <w:szCs w:val="32"/>
        </w:rPr>
        <w:t>申请不公示的除外</w:t>
      </w:r>
      <w:r>
        <w:rPr>
          <w:rFonts w:hint="eastAsia" w:ascii="楷体" w:hAnsi="楷体" w:eastAsia="楷体" w:cs="楷体"/>
          <w:color w:val="000000"/>
          <w:kern w:val="0"/>
          <w:sz w:val="32"/>
          <w:szCs w:val="32"/>
        </w:rPr>
        <w:t>）。</w:t>
      </w:r>
    </w:p>
    <w:p w14:paraId="09C4A509">
      <w:pPr>
        <w:shd w:val="clear" w:color="auto" w:fill="FFFFFF"/>
        <w:spacing w:line="360" w:lineRule="auto"/>
        <w:ind w:firstLine="643" w:firstLineChars="200"/>
        <w:rPr>
          <w:rFonts w:hint="eastAsia" w:ascii="楷体" w:hAnsi="楷体" w:eastAsia="楷体" w:cs="楷体"/>
          <w:b/>
          <w:bCs/>
          <w:color w:val="000000"/>
          <w:sz w:val="32"/>
          <w:szCs w:val="32"/>
        </w:rPr>
      </w:pPr>
      <w:r>
        <w:rPr>
          <w:rFonts w:hint="eastAsia" w:ascii="楷体" w:hAnsi="楷体" w:eastAsia="楷体" w:cs="楷体"/>
          <w:b/>
          <w:bCs/>
          <w:color w:val="000000"/>
          <w:kern w:val="0"/>
          <w:sz w:val="32"/>
          <w:szCs w:val="32"/>
        </w:rPr>
        <w:t>十一</w:t>
      </w:r>
      <w:r>
        <w:rPr>
          <w:rFonts w:ascii="楷体" w:hAnsi="楷体" w:eastAsia="楷体" w:cs="楷体"/>
          <w:b/>
          <w:bCs/>
          <w:color w:val="000000"/>
          <w:kern w:val="0"/>
          <w:sz w:val="32"/>
          <w:szCs w:val="32"/>
        </w:rPr>
        <w:t>、其他事项</w:t>
      </w:r>
    </w:p>
    <w:p w14:paraId="57FC040A">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竞买人在拍卖竞价前请务必再仔细阅读管理人发布的《竞价须知》、《标的物调查表》等</w:t>
      </w:r>
      <w:r>
        <w:rPr>
          <w:rFonts w:ascii="楷体" w:hAnsi="楷体" w:eastAsia="楷体" w:cs="楷体"/>
          <w:color w:val="000000"/>
          <w:sz w:val="32"/>
          <w:szCs w:val="32"/>
        </w:rPr>
        <w:t>竞买文件</w:t>
      </w:r>
      <w:r>
        <w:rPr>
          <w:rFonts w:hint="eastAsia" w:ascii="楷体" w:hAnsi="楷体" w:eastAsia="楷体" w:cs="楷体"/>
          <w:color w:val="000000"/>
          <w:sz w:val="32"/>
          <w:szCs w:val="32"/>
        </w:rPr>
        <w:t>。</w:t>
      </w:r>
    </w:p>
    <w:p w14:paraId="7A33CF31">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本规则其他未尽事宜，请向管理人咨询。</w:t>
      </w:r>
    </w:p>
    <w:p w14:paraId="30A089A8">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拍卖辅助机构咨询联系电话：刘先生15901366440</w:t>
      </w:r>
      <w:r>
        <w:rPr>
          <w:rFonts w:ascii="楷体" w:hAnsi="楷体" w:eastAsia="楷体" w:cs="楷体"/>
          <w:color w:val="000000"/>
          <w:sz w:val="32"/>
          <w:szCs w:val="32"/>
        </w:rPr>
        <w:t>；李先生13552572522</w:t>
      </w:r>
      <w:r>
        <w:rPr>
          <w:rFonts w:hint="eastAsia" w:ascii="楷体" w:hAnsi="楷体" w:eastAsia="楷体" w:cs="楷体"/>
          <w:color w:val="000000"/>
          <w:sz w:val="32"/>
          <w:szCs w:val="32"/>
        </w:rPr>
        <w:t xml:space="preserve">           </w:t>
      </w:r>
    </w:p>
    <w:p w14:paraId="19CDB971">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 xml:space="preserve">北交所联系电话：张经理 </w:t>
      </w:r>
      <w:r>
        <w:rPr>
          <w:rFonts w:ascii="楷体" w:hAnsi="楷体" w:eastAsia="楷体" w:cs="楷体"/>
          <w:color w:val="000000"/>
          <w:sz w:val="32"/>
          <w:szCs w:val="32"/>
        </w:rPr>
        <w:t>010-83143102</w:t>
      </w:r>
    </w:p>
    <w:p w14:paraId="044FDB80">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olor w:val="000000"/>
          <w:sz w:val="32"/>
          <w:szCs w:val="32"/>
        </w:rPr>
        <w:t>北交所技术咨询：400-6</w:t>
      </w:r>
      <w:r>
        <w:rPr>
          <w:rFonts w:ascii="楷体" w:hAnsi="楷体" w:eastAsia="楷体"/>
          <w:color w:val="000000"/>
          <w:sz w:val="32"/>
          <w:szCs w:val="32"/>
        </w:rPr>
        <w:t>1</w:t>
      </w:r>
      <w:r>
        <w:rPr>
          <w:rFonts w:hint="eastAsia" w:ascii="楷体" w:hAnsi="楷体" w:eastAsia="楷体"/>
          <w:color w:val="000000"/>
          <w:sz w:val="32"/>
          <w:szCs w:val="32"/>
        </w:rPr>
        <w:t>2-</w:t>
      </w:r>
      <w:r>
        <w:rPr>
          <w:rFonts w:ascii="楷体" w:hAnsi="楷体" w:eastAsia="楷体"/>
          <w:color w:val="000000"/>
          <w:sz w:val="32"/>
          <w:szCs w:val="32"/>
        </w:rPr>
        <w:t>1717</w:t>
      </w:r>
      <w:r>
        <w:rPr>
          <w:rFonts w:hint="eastAsia" w:ascii="楷体" w:hAnsi="楷体" w:eastAsia="楷体"/>
          <w:color w:val="000000"/>
          <w:sz w:val="32"/>
          <w:szCs w:val="32"/>
        </w:rPr>
        <w:t>转3</w:t>
      </w:r>
      <w:r>
        <w:rPr>
          <w:rFonts w:hint="eastAsia" w:ascii="楷体" w:hAnsi="楷体" w:eastAsia="楷体" w:cs="楷体"/>
          <w:color w:val="000000"/>
          <w:sz w:val="32"/>
          <w:szCs w:val="32"/>
        </w:rPr>
        <w:t xml:space="preserve">              </w:t>
      </w:r>
      <w:bookmarkStart w:id="1" w:name="_Hlk37930589"/>
    </w:p>
    <w:p w14:paraId="06A480DD">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法院监督电话：</w:t>
      </w:r>
      <w:bookmarkEnd w:id="1"/>
      <w:r>
        <w:rPr>
          <w:rFonts w:ascii="楷体" w:hAnsi="楷体" w:eastAsia="楷体" w:cs="楷体"/>
          <w:color w:val="000000"/>
          <w:sz w:val="32"/>
          <w:szCs w:val="32"/>
        </w:rPr>
        <w:t>010-68639038</w:t>
      </w:r>
      <w:r>
        <w:rPr>
          <w:rFonts w:hint="eastAsia" w:ascii="楷体" w:hAnsi="楷体" w:eastAsia="楷体" w:cs="楷体"/>
          <w:color w:val="000000"/>
          <w:sz w:val="32"/>
          <w:szCs w:val="32"/>
        </w:rPr>
        <w:t>。</w:t>
      </w:r>
    </w:p>
    <w:p w14:paraId="6FF05D13">
      <w:pPr>
        <w:widowControl/>
        <w:shd w:val="clear" w:color="auto" w:fill="FFFFFF"/>
        <w:spacing w:line="360" w:lineRule="auto"/>
        <w:ind w:firstLine="643" w:firstLineChars="200"/>
        <w:rPr>
          <w:rFonts w:hint="eastAsia" w:ascii="楷体" w:hAnsi="楷体" w:eastAsia="楷体" w:cs="楷体"/>
          <w:color w:val="000000"/>
          <w:kern w:val="0"/>
          <w:sz w:val="32"/>
          <w:szCs w:val="32"/>
        </w:rPr>
      </w:pPr>
      <w:r>
        <w:rPr>
          <w:rFonts w:hint="eastAsia" w:ascii="楷体" w:hAnsi="楷体" w:eastAsia="楷体" w:cs="楷体"/>
          <w:b/>
          <w:bCs/>
          <w:color w:val="FF0000"/>
          <w:sz w:val="32"/>
          <w:szCs w:val="32"/>
        </w:rPr>
        <w:t>本次拍卖活动最终解释权归北京诚通嘉业投资管理有限公司管理人</w:t>
      </w:r>
      <w:r>
        <w:rPr>
          <w:rFonts w:ascii="楷体" w:hAnsi="楷体" w:eastAsia="楷体" w:cs="楷体"/>
          <w:b/>
          <w:bCs/>
          <w:color w:val="FF0000"/>
          <w:sz w:val="32"/>
          <w:szCs w:val="32"/>
        </w:rPr>
        <w:t>所有。</w:t>
      </w:r>
      <w:r>
        <w:rPr>
          <w:rFonts w:hint="eastAsia" w:ascii="楷体" w:hAnsi="楷体" w:eastAsia="楷体" w:cs="楷体"/>
          <w:color w:val="000000"/>
          <w:kern w:val="0"/>
          <w:sz w:val="32"/>
          <w:szCs w:val="32"/>
        </w:rPr>
        <w:t xml:space="preserve">                    </w:t>
      </w:r>
    </w:p>
    <w:p w14:paraId="732F83FB">
      <w:pPr>
        <w:widowControl/>
        <w:shd w:val="clear" w:color="auto" w:fill="FFFFFF"/>
        <w:spacing w:line="360" w:lineRule="auto"/>
        <w:ind w:firstLine="640" w:firstLineChars="200"/>
        <w:jc w:val="right"/>
        <w:rPr>
          <w:rFonts w:hint="eastAsia" w:ascii="楷体" w:hAnsi="楷体" w:eastAsia="楷体" w:cs="楷体"/>
          <w:color w:val="000000"/>
          <w:kern w:val="0"/>
          <w:sz w:val="32"/>
          <w:szCs w:val="32"/>
          <w:highlight w:val="yellow"/>
        </w:rPr>
      </w:pPr>
      <w:r>
        <w:rPr>
          <w:rFonts w:hint="eastAsia" w:ascii="楷体" w:hAnsi="楷体" w:eastAsia="楷体" w:cs="楷体"/>
          <w:color w:val="000000"/>
          <w:kern w:val="0"/>
          <w:sz w:val="32"/>
          <w:szCs w:val="32"/>
        </w:rPr>
        <w:t xml:space="preserve">           北京诚通嘉业投资管理有限公司管理人               </w:t>
      </w:r>
      <w:r>
        <w:rPr>
          <w:rFonts w:hint="eastAsia" w:ascii="楷体" w:hAnsi="楷体" w:eastAsia="楷体" w:cs="楷体"/>
          <w:color w:val="000000"/>
          <w:kern w:val="0"/>
          <w:sz w:val="32"/>
          <w:szCs w:val="32"/>
          <w:highlight w:val="yellow"/>
        </w:rPr>
        <w:t xml:space="preserve">  </w:t>
      </w:r>
      <w:r>
        <w:rPr>
          <w:rFonts w:hint="eastAsia" w:ascii="楷体" w:hAnsi="楷体" w:eastAsia="楷体" w:cs="楷体"/>
          <w:color w:val="000000"/>
          <w:kern w:val="0"/>
          <w:sz w:val="32"/>
          <w:szCs w:val="32"/>
        </w:rPr>
        <w:t>二〇二五年七月二十一日</w:t>
      </w:r>
    </w:p>
    <w:p w14:paraId="00E72B8C">
      <w:pPr>
        <w:widowControl/>
        <w:shd w:val="clear" w:color="auto" w:fill="FFFFFF"/>
        <w:spacing w:line="360" w:lineRule="auto"/>
        <w:ind w:firstLine="640" w:firstLineChars="200"/>
        <w:jc w:val="center"/>
        <w:rPr>
          <w:rFonts w:hint="eastAsia" w:ascii="楷体" w:hAnsi="楷体" w:eastAsia="楷体" w:cs="楷体"/>
          <w:color w:val="000000"/>
          <w:kern w:val="0"/>
          <w:sz w:val="32"/>
          <w:szCs w:val="32"/>
        </w:rPr>
      </w:pPr>
    </w:p>
    <w:p w14:paraId="3F7E5AF9">
      <w:pPr>
        <w:widowControl/>
        <w:shd w:val="clear" w:color="auto" w:fill="FFFFFF"/>
        <w:spacing w:line="330" w:lineRule="atLeast"/>
        <w:ind w:firstLine="560"/>
        <w:jc w:val="center"/>
        <w:rPr>
          <w:rFonts w:hint="eastAsia" w:ascii="楷体" w:hAnsi="楷体" w:eastAsia="楷体" w:cs="楷体"/>
          <w:color w:val="000000"/>
          <w:kern w:val="0"/>
          <w:sz w:val="32"/>
          <w:szCs w:val="32"/>
        </w:rPr>
      </w:pPr>
    </w:p>
    <w:p w14:paraId="6D74D660">
      <w:pPr>
        <w:widowControl/>
        <w:shd w:val="clear" w:color="auto" w:fill="FFFFFF"/>
        <w:spacing w:line="330" w:lineRule="atLeast"/>
        <w:ind w:firstLine="560"/>
        <w:jc w:val="center"/>
        <w:rPr>
          <w:rFonts w:hint="eastAsia" w:ascii="楷体" w:hAnsi="楷体" w:eastAsia="楷体" w:cs="楷体"/>
          <w:color w:val="000000"/>
          <w:kern w:val="0"/>
          <w:sz w:val="32"/>
          <w:szCs w:val="32"/>
        </w:rPr>
      </w:pPr>
    </w:p>
    <w:p w14:paraId="365116F7">
      <w:pPr>
        <w:widowControl/>
        <w:shd w:val="clear" w:color="auto" w:fill="FFFFFF"/>
        <w:spacing w:line="330" w:lineRule="atLeast"/>
        <w:ind w:firstLine="560"/>
        <w:jc w:val="center"/>
        <w:rPr>
          <w:rFonts w:hint="eastAsia" w:ascii="楷体" w:hAnsi="楷体" w:eastAsia="楷体" w:cs="楷体"/>
          <w:color w:val="000000"/>
          <w:kern w:val="0"/>
          <w:sz w:val="32"/>
          <w:szCs w:val="32"/>
        </w:rPr>
      </w:pPr>
    </w:p>
    <w:p w14:paraId="5FEABF65">
      <w:pPr>
        <w:widowControl/>
        <w:shd w:val="clear" w:color="auto" w:fill="FFFFFF"/>
        <w:spacing w:line="330" w:lineRule="atLeast"/>
        <w:ind w:firstLine="560"/>
        <w:jc w:val="center"/>
        <w:rPr>
          <w:rFonts w:hint="eastAsia" w:ascii="楷体" w:hAnsi="楷体" w:eastAsia="楷体" w:cs="楷体"/>
          <w:color w:val="000000"/>
          <w:kern w:val="0"/>
          <w:sz w:val="32"/>
          <w:szCs w:val="32"/>
        </w:rPr>
      </w:pPr>
    </w:p>
    <w:p w14:paraId="4BBD7256">
      <w:pPr>
        <w:widowControl/>
        <w:shd w:val="clear" w:color="auto" w:fill="FFFFFF"/>
        <w:spacing w:line="330" w:lineRule="atLeast"/>
        <w:ind w:firstLine="560"/>
        <w:jc w:val="center"/>
        <w:rPr>
          <w:rFonts w:hint="eastAsia" w:ascii="楷体" w:hAnsi="楷体" w:eastAsia="楷体" w:cs="楷体"/>
          <w:color w:val="000000"/>
          <w:kern w:val="0"/>
          <w:sz w:val="32"/>
          <w:szCs w:val="32"/>
        </w:rPr>
      </w:pPr>
    </w:p>
    <w:p w14:paraId="3DD8359E">
      <w:pPr>
        <w:widowControl/>
        <w:shd w:val="clear" w:color="auto" w:fill="FFFFFF"/>
        <w:spacing w:line="330" w:lineRule="atLeast"/>
        <w:ind w:firstLine="560"/>
        <w:jc w:val="center"/>
        <w:rPr>
          <w:rFonts w:hint="eastAsia" w:ascii="楷体" w:hAnsi="楷体" w:eastAsia="楷体" w:cs="楷体"/>
          <w:color w:val="000000"/>
          <w:kern w:val="0"/>
          <w:sz w:val="32"/>
          <w:szCs w:val="32"/>
        </w:rPr>
      </w:pPr>
    </w:p>
    <w:p w14:paraId="2A8DC937">
      <w:pPr>
        <w:widowControl/>
        <w:shd w:val="clear" w:color="auto" w:fill="FFFFFF"/>
        <w:spacing w:line="330" w:lineRule="atLeast"/>
        <w:ind w:firstLine="560"/>
        <w:jc w:val="center"/>
        <w:rPr>
          <w:rFonts w:hint="eastAsia" w:ascii="楷体" w:hAnsi="楷体" w:eastAsia="楷体" w:cs="楷体"/>
          <w:color w:val="000000"/>
          <w:kern w:val="0"/>
          <w:sz w:val="32"/>
          <w:szCs w:val="32"/>
        </w:rPr>
      </w:pPr>
    </w:p>
    <w:p w14:paraId="1C6CFC27">
      <w:pPr>
        <w:widowControl/>
        <w:shd w:val="clear" w:color="auto" w:fill="FFFFFF"/>
        <w:spacing w:line="330" w:lineRule="atLeast"/>
        <w:ind w:firstLine="560"/>
        <w:jc w:val="center"/>
        <w:rPr>
          <w:rFonts w:hint="eastAsia" w:ascii="楷体" w:hAnsi="楷体" w:eastAsia="楷体" w:cs="楷体"/>
          <w:color w:val="000000"/>
          <w:kern w:val="0"/>
          <w:sz w:val="32"/>
          <w:szCs w:val="32"/>
        </w:rPr>
      </w:pPr>
    </w:p>
    <w:p w14:paraId="1C122E59">
      <w:pPr>
        <w:spacing w:line="360" w:lineRule="auto"/>
        <w:jc w:val="center"/>
        <w:rPr>
          <w:rFonts w:hint="eastAsia" w:ascii="楷体" w:hAnsi="楷体" w:eastAsia="楷体" w:cs="楷体"/>
          <w:b/>
          <w:sz w:val="32"/>
          <w:szCs w:val="32"/>
        </w:rPr>
      </w:pPr>
      <w:r>
        <w:rPr>
          <w:rFonts w:hint="eastAsia" w:ascii="楷体" w:hAnsi="楷体" w:eastAsia="楷体" w:cs="楷体"/>
          <w:b/>
          <w:sz w:val="32"/>
          <w:szCs w:val="32"/>
        </w:rPr>
        <w:t>竞 价 须 知</w:t>
      </w:r>
    </w:p>
    <w:p w14:paraId="0088DF6F">
      <w:pPr>
        <w:spacing w:line="360" w:lineRule="auto"/>
        <w:ind w:firstLine="640" w:firstLineChars="200"/>
        <w:rPr>
          <w:rFonts w:hint="eastAsia" w:ascii="楷体" w:hAnsi="楷体" w:eastAsia="楷体" w:cs="楷体"/>
          <w:sz w:val="32"/>
          <w:szCs w:val="32"/>
        </w:rPr>
      </w:pPr>
      <w:r>
        <w:rPr>
          <w:rFonts w:hint="eastAsia" w:ascii="楷体" w:hAnsi="楷体" w:eastAsia="楷体" w:cs="楷体"/>
          <w:sz w:val="32"/>
          <w:szCs w:val="32"/>
        </w:rPr>
        <w:t xml:space="preserve"> </w:t>
      </w:r>
    </w:p>
    <w:p w14:paraId="1DF0434C">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一、本《竞价须知》根据《中华人民共和国企业破产法》，参照《最高人民法院关于人民法院网络司法拍卖若干问题的规定》、各</w:t>
      </w:r>
      <w:r>
        <w:rPr>
          <w:rFonts w:ascii="楷体" w:hAnsi="楷体" w:eastAsia="楷体" w:cs="楷体"/>
          <w:color w:val="000000"/>
          <w:sz w:val="32"/>
          <w:szCs w:val="32"/>
        </w:rPr>
        <w:t>法院</w:t>
      </w:r>
      <w:r>
        <w:rPr>
          <w:rFonts w:hint="eastAsia" w:ascii="楷体" w:hAnsi="楷体" w:eastAsia="楷体" w:cs="楷体"/>
          <w:color w:val="000000"/>
          <w:sz w:val="32"/>
          <w:szCs w:val="32"/>
        </w:rPr>
        <w:t>《关于破产程序中财产网络拍卖的实施办法》及其他相关法律、法规和政策制定。竞买人应认真仔细阅读，了解本须知的全部内容。</w:t>
      </w:r>
    </w:p>
    <w:p w14:paraId="25528744">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二、本次竞价活动将在上述法律、法规、政策和本规则界定的范围内组织进行，遵循公开、公平、公正的原则，参加本次竞价活动的当事人和竞买人必须遵守本须知的各项条款，并对自己的行为承担法律责任。</w:t>
      </w:r>
    </w:p>
    <w:p w14:paraId="6A1BF3B6">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三、竞买人条件</w:t>
      </w:r>
    </w:p>
    <w:p w14:paraId="4D61718F">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1、本次拍卖不限制竞买人数量，</w:t>
      </w:r>
      <w:r>
        <w:rPr>
          <w:rFonts w:ascii="楷体" w:hAnsi="楷体" w:eastAsia="楷体" w:cs="楷体"/>
          <w:color w:val="000000"/>
          <w:sz w:val="32"/>
          <w:szCs w:val="32"/>
        </w:rPr>
        <w:t>但</w:t>
      </w:r>
      <w:r>
        <w:rPr>
          <w:rFonts w:hint="eastAsia" w:ascii="楷体" w:hAnsi="楷体" w:eastAsia="楷体" w:cs="楷体"/>
          <w:color w:val="000000"/>
          <w:sz w:val="32"/>
          <w:szCs w:val="32"/>
        </w:rPr>
        <w:t>竞买人应当具备完全民事行为能力，法律、行政法规和司法解释对竞买人/买受人资格或者条件有特殊规定的，竞买人应当具备规定的资格或者条件。负责审理的人民法院、本案</w:t>
      </w:r>
      <w:r>
        <w:rPr>
          <w:rFonts w:ascii="楷体" w:hAnsi="楷体" w:eastAsia="楷体" w:cs="楷体"/>
          <w:color w:val="000000"/>
          <w:sz w:val="32"/>
          <w:szCs w:val="32"/>
        </w:rPr>
        <w:t>管理人、</w:t>
      </w:r>
      <w:r>
        <w:rPr>
          <w:rFonts w:hint="eastAsia" w:ascii="楷体" w:hAnsi="楷体" w:eastAsia="楷体" w:cs="楷体"/>
          <w:color w:val="000000"/>
          <w:sz w:val="32"/>
          <w:szCs w:val="32"/>
        </w:rPr>
        <w:t>网络服务提供者、承担拍卖辅助工作的社会机构的工作人员及其近亲属不得参与竞买，并不得委托他人代为竞买与其行为相关的拍卖标的物。</w:t>
      </w:r>
    </w:p>
    <w:p w14:paraId="2E4E546A">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2、需要委托他人代为竞买及以优先购买权人资格参加竞买的，须提交相应证明材料并经确认后，方可办理委托登记/优先权人手续获得相应资格。委托关系成立前已以自己名义参与报名的竞买人，不能再委托他人。委托关系成立后，委托人不能再以自己名义报名竞买。逾期未提交充分证据或未能完成前述确认的,不能以相应身份参与竞买。</w:t>
      </w:r>
    </w:p>
    <w:p w14:paraId="0E093BB4">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3、因不符合条件参加竞买的，由竞买人/买受人自行承担相应的法律责任。</w:t>
      </w:r>
    </w:p>
    <w:p w14:paraId="13443006">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四、优先购买权人</w:t>
      </w:r>
    </w:p>
    <w:p w14:paraId="39F32288">
      <w:pPr>
        <w:widowControl/>
        <w:spacing w:before="100" w:beforeAutospacing="1" w:after="100" w:afterAutospacing="1" w:line="360" w:lineRule="auto"/>
        <w:ind w:firstLine="555"/>
        <w:jc w:val="left"/>
        <w:rPr>
          <w:rFonts w:hint="eastAsia" w:ascii="楷体" w:hAnsi="楷体" w:eastAsia="楷体" w:cs="楷体"/>
          <w:color w:val="000000"/>
          <w:sz w:val="32"/>
          <w:szCs w:val="32"/>
        </w:rPr>
      </w:pPr>
      <w:r>
        <w:rPr>
          <w:rFonts w:hint="eastAsia" w:ascii="楷体" w:hAnsi="楷体" w:eastAsia="楷体" w:cs="楷体"/>
          <w:color w:val="000000"/>
          <w:sz w:val="32"/>
          <w:szCs w:val="32"/>
        </w:rPr>
        <w:t>1、本标的物优先购买权人相关说明：优先购买权人参加竞买的，应在竞价开始前</w:t>
      </w:r>
      <w:r>
        <w:rPr>
          <w:rFonts w:ascii="楷体" w:hAnsi="楷体" w:eastAsia="楷体" w:cs="楷体"/>
          <w:color w:val="000000"/>
          <w:sz w:val="32"/>
          <w:szCs w:val="32"/>
        </w:rPr>
        <w:t>1</w:t>
      </w:r>
      <w:r>
        <w:rPr>
          <w:rFonts w:hint="eastAsia" w:ascii="楷体" w:hAnsi="楷体" w:eastAsia="楷体" w:cs="楷体"/>
          <w:color w:val="000000"/>
          <w:sz w:val="32"/>
          <w:szCs w:val="32"/>
        </w:rPr>
        <w:t>个工作日内向管理人提交合法有效的证明（登记的证件信息必须与北交所实名认证相一致），经管理人确认资格及顺位后才能参与竞买，逾期不提交的，视为放弃对标的物享有优先购买权。</w:t>
      </w:r>
    </w:p>
    <w:p w14:paraId="3F8098C4">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2、管理人在正式拍卖日前将经确认的优先权购买人资格和顺位信息申报至北交所。</w:t>
      </w:r>
    </w:p>
    <w:p w14:paraId="43717D7B">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3、优先购买权人参与竞买的，与其他竞买人以相同的价格出价，没有更高出价的，标的物由优先购买权人竞得。</w:t>
      </w:r>
    </w:p>
    <w:p w14:paraId="73E7AF32">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A39175D">
      <w:pPr>
        <w:widowControl/>
        <w:spacing w:before="100" w:beforeAutospacing="1" w:after="100" w:afterAutospacing="1" w:line="360" w:lineRule="auto"/>
        <w:ind w:firstLine="555"/>
        <w:jc w:val="left"/>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五、相关方</w:t>
      </w:r>
    </w:p>
    <w:p w14:paraId="1B420A8D">
      <w:pPr>
        <w:widowControl/>
        <w:spacing w:before="100" w:beforeAutospacing="1" w:after="100" w:afterAutospacing="1" w:line="360" w:lineRule="auto"/>
        <w:ind w:firstLine="555"/>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本次竞价管理人已通知相关当事人和已知的优先购买权人。与本标的物有关人员</w:t>
      </w:r>
      <w:r>
        <w:rPr>
          <w:rFonts w:ascii="楷体" w:hAnsi="楷体" w:eastAsia="楷体" w:cs="楷体"/>
          <w:color w:val="000000"/>
          <w:kern w:val="0"/>
          <w:sz w:val="32"/>
          <w:szCs w:val="32"/>
        </w:rPr>
        <w:t>[案件当事人、担保物权人（质押权人）、优先购买权人等]均可参加竞拍，不参加竞拍的请关注本次拍卖活动的整个过程。</w:t>
      </w:r>
    </w:p>
    <w:p w14:paraId="4F9B8CCD">
      <w:pPr>
        <w:widowControl/>
        <w:spacing w:before="100" w:beforeAutospacing="1" w:after="100" w:afterAutospacing="1" w:line="360" w:lineRule="auto"/>
        <w:ind w:firstLine="555"/>
        <w:jc w:val="left"/>
        <w:rPr>
          <w:rFonts w:hint="eastAsia" w:ascii="楷体" w:hAnsi="楷体" w:eastAsia="楷体" w:cs="楷体"/>
          <w:color w:val="000000"/>
          <w:sz w:val="32"/>
          <w:szCs w:val="32"/>
        </w:rPr>
      </w:pPr>
      <w:r>
        <w:rPr>
          <w:rFonts w:hint="eastAsia" w:ascii="楷体" w:hAnsi="楷体" w:eastAsia="楷体" w:cs="楷体"/>
          <w:color w:val="000000"/>
          <w:sz w:val="32"/>
          <w:szCs w:val="32"/>
        </w:rPr>
        <w:t>六、交纳保证金</w:t>
      </w:r>
    </w:p>
    <w:p w14:paraId="1D757C8D">
      <w:pPr>
        <w:widowControl/>
        <w:spacing w:before="100" w:beforeAutospacing="1" w:after="100" w:afterAutospacing="1" w:line="360" w:lineRule="auto"/>
        <w:ind w:firstLine="555"/>
        <w:jc w:val="left"/>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sz w:val="32"/>
          <w:szCs w:val="32"/>
          <w14:textFill>
            <w14:solidFill>
              <w14:schemeClr w14:val="tx1"/>
            </w14:solidFill>
          </w14:textFill>
        </w:rPr>
        <w:t>竞拍前竞买人应注册个人或企业北交互联账号并完成实名认证，并通过北交互联在线支付保证金。敬请留意本人所持银行卡的支付限额并确认支持网银支付。建议提前1-2天报名交纳保证金，以免错过竞价时间。</w:t>
      </w:r>
      <w:r>
        <w:rPr>
          <w:rFonts w:hint="eastAsia" w:ascii="楷体" w:hAnsi="楷体" w:eastAsia="楷体" w:cs="楷体"/>
          <w:color w:val="000000"/>
          <w:kern w:val="0"/>
          <w:sz w:val="32"/>
          <w:szCs w:val="32"/>
        </w:rPr>
        <w:t>保证金金额在1000万及以上的，或企业参与竞买，建议竞买人提前</w:t>
      </w:r>
      <w:r>
        <w:rPr>
          <w:rFonts w:ascii="楷体" w:hAnsi="楷体" w:eastAsia="楷体" w:cs="楷体"/>
          <w:color w:val="000000"/>
          <w:kern w:val="0"/>
          <w:sz w:val="32"/>
          <w:szCs w:val="32"/>
        </w:rPr>
        <w:t>3</w:t>
      </w:r>
      <w:r>
        <w:rPr>
          <w:rFonts w:hint="eastAsia" w:ascii="楷体" w:hAnsi="楷体" w:eastAsia="楷体" w:cs="楷体"/>
          <w:color w:val="000000"/>
          <w:kern w:val="0"/>
          <w:sz w:val="32"/>
          <w:szCs w:val="32"/>
        </w:rPr>
        <w:t>个工作日完成报名及保证金交纳手续。如因竞买人未按此条提示规定的时间完成报名及保证金交纳手续，导致北交所在拍卖结束前未能全额收到竞买人交纳的保证金，无法为竞买人开通竞买权限，所产生的一切后果由竞买人自行承担，管理人与北交所均不就此承担任何责任。</w:t>
      </w:r>
      <w:r>
        <w:rPr>
          <w:rFonts w:hint="eastAsia" w:ascii="楷体" w:hAnsi="楷体" w:eastAsia="楷体" w:cs="楷体"/>
          <w:color w:val="000000" w:themeColor="text1"/>
          <w:sz w:val="32"/>
          <w:szCs w:val="32"/>
          <w14:textFill>
            <w14:solidFill>
              <w14:schemeClr w14:val="tx1"/>
            </w14:solidFill>
          </w14:textFill>
        </w:rPr>
        <w:t>支付前请先查看个人网银支付限额列表、企业网银支持列表，如有问题可咨询保证金服务热线400-689-1566。</w:t>
      </w:r>
    </w:p>
    <w:p w14:paraId="3F37EC2A">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七、竞价</w:t>
      </w:r>
      <w:r>
        <w:rPr>
          <w:rFonts w:ascii="楷体" w:hAnsi="楷体" w:eastAsia="楷体" w:cs="楷体"/>
          <w:color w:val="000000"/>
          <w:sz w:val="32"/>
          <w:szCs w:val="32"/>
        </w:rPr>
        <w:t>规则</w:t>
      </w:r>
    </w:p>
    <w:p w14:paraId="5F6BD0E9">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设有保留价的增价拍卖方式，保留价即为起拍价，至少一人报名且出价不低于起拍价。本次拍卖活动设置延时出价功能，在拍卖活动结束前，每最后5分钟如果有竞买人出价，就自动延迟5分钟。</w:t>
      </w:r>
    </w:p>
    <w:p w14:paraId="463A69B0">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网络竞价时，竞买人应在规定的报价时间内通过北交所诉讼资产平台进行报价。每次有效报价为当前报价加上设定的加价幅度的整数倍。竞买人在竞价过程中，一经网络竞价系统报价，不得撤回。</w:t>
      </w:r>
    </w:p>
    <w:p w14:paraId="49F5661F">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ascii="楷体" w:hAnsi="楷体" w:eastAsia="楷体" w:cs="楷体"/>
          <w:color w:val="000000"/>
          <w:sz w:val="32"/>
          <w:szCs w:val="32"/>
        </w:rPr>
        <w:t>报价期内，各竞买人的每次有效报价随即成为当前报价；在每个限时报价周期内，如出现新的有效报价，则进入新的限时报价周期；在一个限时报价周期内如未出现新的有效报价，则当前有效报价方成为该次网络竞价活动的最高报价方。优先购买权人参与竞买的，可以与其他竞买人以相同的价格出价，没有更高出价的，竞买标的物由优先购买权人竞得；顺序不同的优先购买权人以相同价格出价的，竞买标的物由顺序在先的优先购买权人竞得，顺序相同的优先购买权人以相同价格出价的，竞买标的物由出价在先的优先购买权人竞得。一人参与竞买，出价不低于起始价的，标的物成交。</w:t>
      </w:r>
    </w:p>
    <w:p w14:paraId="665B7D4A">
      <w:pPr>
        <w:shd w:val="clear" w:color="auto" w:fill="FFFFFF"/>
        <w:spacing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八、竞价注意事项</w:t>
      </w:r>
    </w:p>
    <w:p w14:paraId="5EE26B67">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在竞价过程中，竞买人登录北交所诉讼资产平台参与报价，当出现以下情形，北交所不承担任何责任：</w:t>
      </w:r>
    </w:p>
    <w:p w14:paraId="2F3F415C">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1.通过互联网登录诉讼资产平台参与竞价，但因竞买人自身的终端设备和网络异常，无法正常参加竞价的；</w:t>
      </w:r>
    </w:p>
    <w:p w14:paraId="28BB3253">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2.网络竞价的时间以诉讼资产平台时间为准，竞买人自身终端设备时间与北交互联系统时间不符导致未能及时参与竞价的；</w:t>
      </w:r>
    </w:p>
    <w:p w14:paraId="30867411">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3.竞买人因自身原因导致其注册账户信息泄露而造成的一切后果；</w:t>
      </w:r>
    </w:p>
    <w:p w14:paraId="311F88D1">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4.因不可抗力、软硬件故障、非法入侵、恶意攻击导致系统故障无法继续报价的，或管理人依法决定暂缓等原因导致报价中断等其他不可抗力因素。</w:t>
      </w:r>
    </w:p>
    <w:p w14:paraId="21D08F32">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九、保证金处置</w:t>
      </w:r>
    </w:p>
    <w:p w14:paraId="59123FC3">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本次竞买的起始价以北交所诉讼资产平台显示为准。如竞买人未能竞得标的物，保证金将在24小时内发起全额无息原路径退还，具体实际到账时间以银行显示为准。若竞买人成功竞得标的物</w:t>
      </w:r>
      <w:r>
        <w:rPr>
          <w:rFonts w:hint="eastAsia" w:ascii="楷体" w:hAnsi="楷体" w:eastAsia="楷体" w:cs="楷体"/>
          <w:color w:val="000000" w:themeColor="text1"/>
          <w:sz w:val="32"/>
          <w:szCs w:val="32"/>
          <w14:textFill>
            <w14:solidFill>
              <w14:schemeClr w14:val="tx1"/>
            </w14:solidFill>
          </w14:textFill>
        </w:rPr>
        <w:t>，</w:t>
      </w:r>
      <w:r>
        <w:rPr>
          <w:rFonts w:hint="eastAsia" w:ascii="楷体" w:hAnsi="楷体" w:eastAsia="楷体" w:cs="楷体"/>
          <w:color w:val="000000"/>
          <w:sz w:val="32"/>
          <w:szCs w:val="32"/>
        </w:rPr>
        <w:t>买受人的保证金将转为部分成交款转至管理人账户。</w:t>
      </w:r>
    </w:p>
    <w:p w14:paraId="2C250A6F">
      <w:pPr>
        <w:widowControl/>
        <w:spacing w:before="100" w:beforeAutospacing="1" w:after="100" w:afterAutospacing="1" w:line="360" w:lineRule="auto"/>
        <w:ind w:firstLine="555"/>
        <w:jc w:val="left"/>
        <w:rPr>
          <w:rFonts w:hint="eastAsia" w:ascii="楷体" w:hAnsi="楷体" w:eastAsia="楷体" w:cs="楷体"/>
          <w:color w:val="000000"/>
          <w:sz w:val="32"/>
          <w:szCs w:val="32"/>
        </w:rPr>
      </w:pPr>
      <w:r>
        <w:rPr>
          <w:rFonts w:hint="eastAsia" w:ascii="楷体" w:hAnsi="楷体" w:eastAsia="楷体" w:cs="楷体"/>
          <w:color w:val="000000"/>
          <w:sz w:val="32"/>
          <w:szCs w:val="32"/>
        </w:rPr>
        <w:t>十、</w:t>
      </w:r>
      <w:bookmarkStart w:id="2" w:name="_Hlk90236605"/>
      <w:r>
        <w:rPr>
          <w:rFonts w:hint="eastAsia" w:ascii="楷体" w:hAnsi="楷体" w:eastAsia="楷体" w:cs="楷体"/>
          <w:color w:val="000000"/>
          <w:sz w:val="32"/>
          <w:szCs w:val="32"/>
        </w:rPr>
        <w:t>标的物</w:t>
      </w:r>
      <w:r>
        <w:rPr>
          <w:rFonts w:ascii="楷体" w:hAnsi="楷体" w:eastAsia="楷体" w:cs="楷体"/>
          <w:color w:val="000000"/>
          <w:sz w:val="32"/>
          <w:szCs w:val="32"/>
        </w:rPr>
        <w:t>瑕疵说明</w:t>
      </w:r>
    </w:p>
    <w:p w14:paraId="240E2210">
      <w:pPr>
        <w:widowControl/>
        <w:spacing w:before="100" w:beforeAutospacing="1" w:after="100" w:afterAutospacing="1" w:line="360" w:lineRule="auto"/>
        <w:ind w:firstLine="555"/>
        <w:jc w:val="left"/>
        <w:rPr>
          <w:rFonts w:hint="eastAsia" w:ascii="楷体" w:hAnsi="楷体" w:eastAsia="楷体" w:cs="楷体"/>
          <w:color w:val="000000"/>
          <w:sz w:val="32"/>
          <w:szCs w:val="32"/>
        </w:rPr>
      </w:pPr>
      <w:r>
        <w:rPr>
          <w:rFonts w:hint="eastAsia" w:ascii="楷体" w:hAnsi="楷体" w:eastAsia="楷体" w:cs="楷体"/>
          <w:color w:val="000000"/>
          <w:sz w:val="32"/>
          <w:szCs w:val="32"/>
        </w:rPr>
        <w:t>本次拍卖是经法定公告期和展示期后才举行的，就拍卖标的物已知及可能存在的瑕疵已在本次拍卖资料中作了详尽的说明。管理人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物实物现状的确认。请慎重决定竞买行为，竞买人一旦作出竞买决定，即表明已完全了解，并接受标的物交割时的现状和一切已知及未知的瑕疵。对标的物能否办理权属变更手续以及办理时间等情况，请竞买人在竞买前自行到相关职能部门咨询确认，因标的物现状及存在瑕疵等原因不能或者延迟办理权属变更手续的，管理人不作过户的任何承诺。</w:t>
      </w:r>
    </w:p>
    <w:bookmarkEnd w:id="2"/>
    <w:p w14:paraId="4D3D7C34">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十一、竞价</w:t>
      </w:r>
      <w:r>
        <w:rPr>
          <w:rFonts w:ascii="楷体" w:hAnsi="楷体" w:eastAsia="楷体" w:cs="楷体"/>
          <w:color w:val="000000"/>
          <w:sz w:val="32"/>
          <w:szCs w:val="32"/>
        </w:rPr>
        <w:t>结果公示及余款</w:t>
      </w:r>
      <w:r>
        <w:rPr>
          <w:rFonts w:hint="eastAsia" w:ascii="楷体" w:hAnsi="楷体" w:eastAsia="楷体" w:cs="楷体"/>
          <w:color w:val="000000"/>
          <w:sz w:val="32"/>
          <w:szCs w:val="32"/>
        </w:rPr>
        <w:t>支付</w:t>
      </w:r>
    </w:p>
    <w:p w14:paraId="4AD2C02A">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买受人应在拍卖成交（即竞价成功日）后，买受人</w:t>
      </w:r>
      <w:r>
        <w:rPr>
          <w:rFonts w:ascii="楷体" w:hAnsi="楷体" w:eastAsia="楷体" w:cs="楷体"/>
          <w:bCs/>
          <w:color w:val="000000"/>
          <w:sz w:val="32"/>
          <w:szCs w:val="32"/>
        </w:rPr>
        <w:t>应</w:t>
      </w:r>
      <w:r>
        <w:rPr>
          <w:rFonts w:hint="eastAsia" w:ascii="楷体" w:hAnsi="楷体" w:eastAsia="楷体" w:cs="楷体"/>
          <w:bCs/>
          <w:color w:val="000000"/>
          <w:sz w:val="32"/>
          <w:szCs w:val="32"/>
        </w:rPr>
        <w:t>在拍卖成交之日起7日内</w:t>
      </w:r>
      <w:r>
        <w:rPr>
          <w:rFonts w:hint="eastAsia" w:ascii="楷体" w:hAnsi="楷体" w:eastAsia="楷体" w:cs="楷体"/>
          <w:color w:val="000000"/>
          <w:sz w:val="32"/>
          <w:szCs w:val="32"/>
        </w:rPr>
        <w:t>将拍卖成交价余款（扣除保证金后的余款）缴入管理人指定账户:</w:t>
      </w:r>
    </w:p>
    <w:p w14:paraId="1222ECF8">
      <w:pPr>
        <w:pStyle w:val="6"/>
        <w:shd w:val="clear" w:color="auto" w:fill="FFFFFF"/>
        <w:spacing w:beforeAutospacing="0" w:afterAutospacing="0" w:line="360" w:lineRule="auto"/>
        <w:ind w:firstLine="643" w:firstLineChars="200"/>
        <w:rPr>
          <w:rFonts w:hint="eastAsia" w:ascii="楷体" w:hAnsi="楷体" w:eastAsia="楷体" w:cs="楷体"/>
          <w:b/>
          <w:bCs/>
          <w:color w:val="000000"/>
          <w:sz w:val="32"/>
          <w:szCs w:val="32"/>
        </w:rPr>
      </w:pPr>
      <w:r>
        <w:rPr>
          <w:rFonts w:hint="eastAsia" w:ascii="楷体" w:hAnsi="楷体" w:eastAsia="楷体" w:cs="楷体"/>
          <w:b/>
          <w:bCs/>
          <w:color w:val="000000"/>
          <w:sz w:val="32"/>
          <w:szCs w:val="32"/>
        </w:rPr>
        <w:t>户名：北京诚通嘉业投资管理有限公司管理人，</w:t>
      </w:r>
    </w:p>
    <w:p w14:paraId="60E9942C">
      <w:pPr>
        <w:pStyle w:val="6"/>
        <w:shd w:val="clear" w:color="auto" w:fill="FFFFFF"/>
        <w:spacing w:beforeAutospacing="0" w:afterAutospacing="0" w:line="360" w:lineRule="auto"/>
        <w:ind w:firstLine="643" w:firstLineChars="200"/>
        <w:rPr>
          <w:rFonts w:hint="eastAsia" w:ascii="楷体" w:hAnsi="楷体" w:eastAsia="楷体" w:cs="楷体"/>
          <w:b/>
          <w:bCs/>
          <w:color w:val="000000"/>
          <w:sz w:val="32"/>
          <w:szCs w:val="32"/>
        </w:rPr>
      </w:pPr>
      <w:r>
        <w:rPr>
          <w:rFonts w:hint="eastAsia" w:ascii="楷体" w:hAnsi="楷体" w:eastAsia="楷体" w:cs="楷体"/>
          <w:b/>
          <w:bCs/>
          <w:color w:val="000000"/>
          <w:sz w:val="32"/>
          <w:szCs w:val="32"/>
        </w:rPr>
        <w:t>开户银行：中信银行北京三元桥支行，</w:t>
      </w:r>
    </w:p>
    <w:p w14:paraId="7BE65105">
      <w:pPr>
        <w:pStyle w:val="6"/>
        <w:shd w:val="clear" w:color="auto" w:fill="FFFFFF"/>
        <w:spacing w:beforeAutospacing="0" w:afterAutospacing="0" w:line="360" w:lineRule="auto"/>
        <w:ind w:firstLine="643" w:firstLineChars="200"/>
        <w:rPr>
          <w:rFonts w:hint="eastAsia" w:ascii="楷体" w:hAnsi="楷体" w:eastAsia="楷体" w:cs="楷体"/>
          <w:b/>
          <w:bCs/>
          <w:color w:val="000000"/>
          <w:sz w:val="32"/>
          <w:szCs w:val="32"/>
        </w:rPr>
      </w:pPr>
      <w:r>
        <w:rPr>
          <w:rFonts w:hint="eastAsia" w:ascii="楷体" w:hAnsi="楷体" w:eastAsia="楷体" w:cs="楷体"/>
          <w:b/>
          <w:bCs/>
          <w:color w:val="000000"/>
          <w:sz w:val="32"/>
          <w:szCs w:val="32"/>
        </w:rPr>
        <w:t>账号：8110701012502677842</w:t>
      </w:r>
    </w:p>
    <w:p w14:paraId="4DBF2261">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【特别注意：依照相关法律规定，竞买人成功竞得网拍标的物后，北交所诉讼资产平台将生成相应《网络竞价成功确认书》并公示，确认书中载明实际买受人姓名、竞买号信息（选择不公示的除外）。</w:t>
      </w:r>
    </w:p>
    <w:p w14:paraId="3896BCEE">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十二、违约</w:t>
      </w:r>
      <w:r>
        <w:rPr>
          <w:rFonts w:ascii="楷体" w:hAnsi="楷体" w:eastAsia="楷体" w:cs="楷体"/>
          <w:color w:val="000000"/>
          <w:sz w:val="32"/>
          <w:szCs w:val="32"/>
        </w:rPr>
        <w:t>处理</w:t>
      </w:r>
    </w:p>
    <w:p w14:paraId="09DABA33">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拍卖成交后买受人悔拍（包括但不限于买受人未在拍卖成交后规定时间内将拍卖成交全部余款缴入指定账户或未按规矩要求完成过户的，未缴</w:t>
      </w:r>
      <w:r>
        <w:rPr>
          <w:rFonts w:ascii="楷体" w:hAnsi="楷体" w:eastAsia="楷体" w:cs="楷体"/>
          <w:color w:val="000000"/>
          <w:sz w:val="32"/>
          <w:szCs w:val="32"/>
        </w:rPr>
        <w:t>纳服务费</w:t>
      </w:r>
      <w:r>
        <w:rPr>
          <w:rFonts w:hint="eastAsia" w:ascii="楷体" w:hAnsi="楷体" w:eastAsia="楷体" w:cs="楷体"/>
          <w:color w:val="000000"/>
          <w:sz w:val="32"/>
          <w:szCs w:val="32"/>
        </w:rPr>
        <w:t>，以及买受人明示或暗示其悔拍等情形）的，管理人可重新委托拍卖，原买受人交纳的保证金不予退还。用于弥补重新拍卖的成交价低于原拍卖成交价造成的差价、费用损失等。重新拍卖时，原买受人不得参加竞买。</w:t>
      </w:r>
    </w:p>
    <w:p w14:paraId="2725F1CC">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十三、拍品交付</w:t>
      </w:r>
    </w:p>
    <w:p w14:paraId="75B9EC95">
      <w:pPr>
        <w:pStyle w:val="6"/>
        <w:shd w:val="clear" w:color="auto" w:fill="FFFFFF"/>
        <w:spacing w:beforeAutospacing="0" w:afterAutospacing="0" w:line="360" w:lineRule="auto"/>
        <w:ind w:firstLine="643" w:firstLineChars="200"/>
        <w:rPr>
          <w:rFonts w:hint="eastAsia" w:ascii="楷体" w:hAnsi="楷体" w:eastAsia="楷体" w:cs="楷体"/>
          <w:b/>
          <w:bCs/>
          <w:color w:val="000000"/>
          <w:sz w:val="32"/>
          <w:szCs w:val="32"/>
          <w:u w:val="single"/>
        </w:rPr>
      </w:pPr>
      <w:r>
        <w:rPr>
          <w:rFonts w:ascii="楷体" w:hAnsi="楷体" w:eastAsia="楷体" w:cs="楷体"/>
          <w:b/>
          <w:bCs/>
          <w:color w:val="000000"/>
          <w:sz w:val="32"/>
          <w:szCs w:val="32"/>
          <w:u w:val="single"/>
        </w:rPr>
        <w:t>1、买受人在缴纳完全部拍卖款项后，持有效身份证明及签署好的拍卖成交文件，前往相关主管部门办理登记转让手续，管理人给予必要的配合。买受人逾期不办理的，应支付由此产生的一切费用，并承担本标的物可能发生的一切后果。管理人和拍卖辅助机构不对权属变更做任何担保。</w:t>
      </w:r>
    </w:p>
    <w:p w14:paraId="78B60949">
      <w:pPr>
        <w:pStyle w:val="6"/>
        <w:shd w:val="clear" w:color="auto" w:fill="FFFFFF"/>
        <w:spacing w:beforeAutospacing="0" w:afterAutospacing="0" w:line="360" w:lineRule="auto"/>
        <w:ind w:firstLine="643" w:firstLineChars="200"/>
        <w:rPr>
          <w:rFonts w:hint="eastAsia" w:ascii="楷体" w:hAnsi="楷体" w:eastAsia="楷体" w:cs="楷体"/>
          <w:b/>
          <w:bCs/>
          <w:color w:val="000000"/>
          <w:sz w:val="32"/>
          <w:szCs w:val="32"/>
          <w:u w:val="single"/>
        </w:rPr>
      </w:pPr>
      <w:r>
        <w:rPr>
          <w:rFonts w:ascii="楷体" w:hAnsi="楷体" w:eastAsia="楷体" w:cs="楷体"/>
          <w:b/>
          <w:bCs/>
          <w:color w:val="000000"/>
          <w:sz w:val="32"/>
          <w:szCs w:val="32"/>
          <w:u w:val="single"/>
        </w:rPr>
        <w:t>2、标的物能否办理登记转让手续及办理登记转让手续的时间请竞买人在竞买前自行到相关职能部门咨询确认，标的物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7A8F2AC7">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十四、税费及其他费用承担</w:t>
      </w:r>
    </w:p>
    <w:p w14:paraId="61691ED5">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highlight w:val="yellow"/>
        </w:rPr>
      </w:pPr>
      <w:r>
        <w:rPr>
          <w:rFonts w:hint="eastAsia" w:ascii="楷体" w:hAnsi="楷体" w:eastAsia="楷体" w:cs="楷体"/>
          <w:color w:val="000000"/>
          <w:sz w:val="32"/>
          <w:szCs w:val="32"/>
        </w:rPr>
        <w:t>本次拍卖活动计价货币为人民币。本次拍卖成交价不含税费及其他费用。标的物转让登记手续由买受人办理，管理人将给予必要的协助。标的物转让登记所涉及的一切税费及明确的或潜在的一切关联费用均由买受人自行承担。买受人在竞买前应向所涉税务局部门确认成交后应缴纳的税费标准。标的物变更登记所产生的费用及其他费用均由买受人承担。</w:t>
      </w:r>
    </w:p>
    <w:p w14:paraId="18D0CC0A">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十</w:t>
      </w:r>
      <w:r>
        <w:rPr>
          <w:rFonts w:ascii="楷体" w:hAnsi="楷体" w:eastAsia="楷体" w:cs="楷体"/>
          <w:color w:val="000000"/>
          <w:sz w:val="32"/>
          <w:szCs w:val="32"/>
        </w:rPr>
        <w:t>五、</w:t>
      </w:r>
      <w:r>
        <w:rPr>
          <w:rFonts w:hint="eastAsia" w:ascii="楷体" w:hAnsi="楷体" w:eastAsia="楷体" w:cs="楷体"/>
          <w:color w:val="000000"/>
          <w:sz w:val="32"/>
          <w:szCs w:val="32"/>
        </w:rPr>
        <w:t>服务费</w:t>
      </w:r>
    </w:p>
    <w:p w14:paraId="1D305C60">
      <w:pPr>
        <w:pStyle w:val="6"/>
        <w:shd w:val="clear" w:color="auto" w:fill="FFFFFF"/>
        <w:spacing w:line="360" w:lineRule="auto"/>
        <w:ind w:firstLine="640" w:firstLineChars="200"/>
        <w:rPr>
          <w:rFonts w:hint="eastAsia" w:ascii="楷体" w:hAnsi="楷体" w:eastAsia="楷体" w:cs="楷体"/>
          <w:color w:val="000000"/>
          <w:kern w:val="2"/>
          <w:sz w:val="32"/>
          <w:szCs w:val="32"/>
        </w:rPr>
      </w:pPr>
      <w:r>
        <w:rPr>
          <w:rFonts w:ascii="楷体" w:hAnsi="楷体" w:eastAsia="楷体" w:cs="楷体"/>
          <w:color w:val="000000"/>
          <w:kern w:val="2"/>
          <w:sz w:val="32"/>
          <w:szCs w:val="32"/>
        </w:rPr>
        <w:t>1、交易服务费按照成交价款的0.5%收取且不低于1000元人民币，由北交所收取。竞价成交后系统会按照公示费率计算交易服务费具体金额，买受人应</w:t>
      </w:r>
      <w:r>
        <w:rPr>
          <w:rFonts w:hint="eastAsia" w:ascii="楷体" w:hAnsi="楷体" w:eastAsia="楷体" w:cs="楷体"/>
          <w:color w:val="000000"/>
          <w:kern w:val="2"/>
          <w:sz w:val="32"/>
          <w:szCs w:val="32"/>
        </w:rPr>
        <w:t>在拍卖成交之日起7日内</w:t>
      </w:r>
      <w:r>
        <w:rPr>
          <w:rFonts w:ascii="楷体" w:hAnsi="楷体" w:eastAsia="楷体" w:cs="楷体"/>
          <w:color w:val="000000"/>
          <w:kern w:val="2"/>
          <w:sz w:val="32"/>
          <w:szCs w:val="32"/>
        </w:rPr>
        <w:t>在线支付该笔订单。</w:t>
      </w:r>
    </w:p>
    <w:p w14:paraId="63547FF4">
      <w:pPr>
        <w:pStyle w:val="6"/>
        <w:shd w:val="clear" w:color="auto" w:fill="FFFFFF"/>
        <w:spacing w:beforeAutospacing="0" w:afterAutospacing="0" w:line="360" w:lineRule="auto"/>
        <w:ind w:firstLine="640" w:firstLineChars="200"/>
        <w:rPr>
          <w:rFonts w:hint="eastAsia" w:ascii="楷体" w:hAnsi="楷体" w:eastAsia="楷体" w:cs="楷体"/>
          <w:color w:val="000000"/>
          <w:kern w:val="2"/>
          <w:sz w:val="32"/>
          <w:szCs w:val="32"/>
        </w:rPr>
      </w:pPr>
      <w:r>
        <w:rPr>
          <w:rFonts w:ascii="楷体" w:hAnsi="楷体" w:eastAsia="楷体" w:cs="楷体"/>
          <w:color w:val="000000"/>
          <w:kern w:val="2"/>
          <w:sz w:val="32"/>
          <w:szCs w:val="32"/>
        </w:rPr>
        <w:t>2、综合服务费按照成交价款的2%由辅助机构北京嘉运亨通拍卖有限公司收取，买受人</w:t>
      </w:r>
      <w:r>
        <w:rPr>
          <w:rFonts w:hint="eastAsia" w:ascii="楷体" w:hAnsi="楷体" w:eastAsia="楷体" w:cs="楷体"/>
          <w:color w:val="000000"/>
          <w:kern w:val="2"/>
          <w:sz w:val="32"/>
          <w:szCs w:val="32"/>
        </w:rPr>
        <w:t>应在拍卖成交之日起7日内</w:t>
      </w:r>
      <w:r>
        <w:rPr>
          <w:rFonts w:ascii="楷体" w:hAnsi="楷体" w:eastAsia="楷体" w:cs="楷体"/>
          <w:color w:val="000000"/>
          <w:kern w:val="2"/>
          <w:sz w:val="32"/>
          <w:szCs w:val="32"/>
        </w:rPr>
        <w:t>将综合服务费汇款至指定账户【户名：北京嘉运亨通拍卖有限公司；开户行：招商银行股份有限公司北京崇文门支行；账号：110945693810201；以到账时间为准】。</w:t>
      </w:r>
    </w:p>
    <w:p w14:paraId="3BBD8C82">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3、上述交易服务费和综合服务费，买受人逾期未全额缴纳的，北交所和拍卖辅助机构可对其进行依法追缴。买受人缴纳相关费用后如需索取发票的，买受人可与北交所、拍卖辅助机构联系开具。</w:t>
      </w:r>
    </w:p>
    <w:p w14:paraId="71C41B09">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十六、其他</w:t>
      </w:r>
      <w:r>
        <w:rPr>
          <w:rFonts w:ascii="楷体" w:hAnsi="楷体" w:eastAsia="楷体" w:cs="楷体"/>
          <w:color w:val="000000"/>
          <w:sz w:val="32"/>
          <w:szCs w:val="32"/>
        </w:rPr>
        <w:t>说明</w:t>
      </w:r>
    </w:p>
    <w:p w14:paraId="0B4E10DF">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参加竞买的人应当遵守竞买须知的规定，不得阻挠其他竞买人竞拍，不得操纵、垄断竞拍价格，严禁竞买人恶意串标，上述行为一经发现，将取消其竞买资格，并追究相关的法律责任。</w:t>
      </w:r>
    </w:p>
    <w:p w14:paraId="4CEA045E">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十七、暂缓、</w:t>
      </w:r>
      <w:r>
        <w:rPr>
          <w:rFonts w:ascii="楷体" w:hAnsi="楷体" w:eastAsia="楷体" w:cs="楷体"/>
          <w:color w:val="000000"/>
          <w:sz w:val="32"/>
          <w:szCs w:val="32"/>
        </w:rPr>
        <w:t>中止、撤回</w:t>
      </w:r>
    </w:p>
    <w:p w14:paraId="48B65D52">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r>
        <w:rPr>
          <w:rFonts w:hint="eastAsia" w:ascii="楷体" w:hAnsi="楷体" w:eastAsia="楷体" w:cs="楷体"/>
          <w:color w:val="000000"/>
          <w:sz w:val="32"/>
          <w:szCs w:val="32"/>
        </w:rPr>
        <w:t>管理人根据法律规定有权在竞价结束前暂缓</w:t>
      </w:r>
      <w:r>
        <w:rPr>
          <w:rFonts w:ascii="楷体" w:hAnsi="楷体" w:eastAsia="楷体" w:cs="楷体"/>
          <w:color w:val="000000"/>
          <w:sz w:val="32"/>
          <w:szCs w:val="32"/>
        </w:rPr>
        <w:t>、</w:t>
      </w:r>
      <w:r>
        <w:rPr>
          <w:rFonts w:hint="eastAsia" w:ascii="楷体" w:hAnsi="楷体" w:eastAsia="楷体" w:cs="楷体"/>
          <w:color w:val="000000"/>
          <w:sz w:val="32"/>
          <w:szCs w:val="32"/>
        </w:rPr>
        <w:t>中止或撤回拍卖。因网络或其他不可抗力导致拍卖无法正常进行的，待以上因素消除后视情况决定重新拍卖，并不承担因此造成的损失。</w:t>
      </w:r>
    </w:p>
    <w:p w14:paraId="1726DE18">
      <w:pPr>
        <w:widowControl/>
        <w:spacing w:before="100" w:beforeAutospacing="1" w:after="100" w:afterAutospacing="1" w:line="360" w:lineRule="auto"/>
        <w:ind w:firstLine="555"/>
        <w:jc w:val="left"/>
        <w:rPr>
          <w:rFonts w:hint="eastAsia" w:ascii="楷体" w:hAnsi="楷体" w:eastAsia="楷体" w:cs="楷体"/>
          <w:color w:val="000000"/>
          <w:sz w:val="32"/>
          <w:szCs w:val="32"/>
        </w:rPr>
      </w:pPr>
      <w:r>
        <w:rPr>
          <w:rFonts w:hint="eastAsia" w:ascii="楷体" w:hAnsi="楷体" w:eastAsia="楷体" w:cs="楷体"/>
          <w:color w:val="000000"/>
          <w:sz w:val="32"/>
          <w:szCs w:val="32"/>
        </w:rPr>
        <w:t>十八、有效</w:t>
      </w:r>
      <w:r>
        <w:rPr>
          <w:rFonts w:ascii="楷体" w:hAnsi="楷体" w:eastAsia="楷体" w:cs="楷体"/>
          <w:color w:val="000000"/>
          <w:sz w:val="32"/>
          <w:szCs w:val="32"/>
        </w:rPr>
        <w:t>地址</w:t>
      </w:r>
    </w:p>
    <w:p w14:paraId="49230740">
      <w:pPr>
        <w:widowControl/>
        <w:spacing w:before="100" w:beforeAutospacing="1" w:after="100" w:afterAutospacing="1" w:line="360" w:lineRule="auto"/>
        <w:ind w:firstLine="555"/>
        <w:jc w:val="left"/>
        <w:rPr>
          <w:rFonts w:hint="eastAsia" w:ascii="楷体" w:hAnsi="楷体" w:eastAsia="楷体" w:cs="楷体"/>
          <w:color w:val="000000"/>
          <w:sz w:val="32"/>
          <w:szCs w:val="32"/>
        </w:rPr>
      </w:pPr>
      <w:r>
        <w:rPr>
          <w:rFonts w:hint="eastAsia" w:ascii="楷体" w:hAnsi="楷体" w:eastAsia="楷体" w:cs="楷体"/>
          <w:color w:val="000000"/>
          <w:sz w:val="32"/>
          <w:szCs w:val="32"/>
        </w:rPr>
        <w:t>为便于买受人及时收到拍卖相关的文书，竞买人在拍卖竞价前如实向北交所提供确切的送达地址，上述地址确认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5FD9F57E">
      <w:pPr>
        <w:widowControl/>
        <w:spacing w:before="100" w:beforeAutospacing="1" w:after="100" w:afterAutospacing="1" w:line="360" w:lineRule="auto"/>
        <w:ind w:firstLine="555"/>
        <w:jc w:val="left"/>
        <w:rPr>
          <w:rFonts w:hint="eastAsia" w:ascii="楷体" w:hAnsi="楷体" w:eastAsia="楷体" w:cs="宋体"/>
          <w:color w:val="FF0000"/>
          <w:kern w:val="0"/>
          <w:sz w:val="32"/>
          <w:szCs w:val="32"/>
        </w:rPr>
      </w:pPr>
      <w:r>
        <w:rPr>
          <w:rFonts w:hint="eastAsia" w:ascii="楷体" w:hAnsi="楷体" w:eastAsia="楷体" w:cs="宋体"/>
          <w:color w:val="FF0000"/>
          <w:kern w:val="0"/>
          <w:sz w:val="32"/>
          <w:szCs w:val="32"/>
        </w:rPr>
        <w:t>本须知其他未尽事宜，请向管理人咨询。</w:t>
      </w:r>
    </w:p>
    <w:p w14:paraId="47ABDB68">
      <w:pPr>
        <w:pStyle w:val="6"/>
        <w:shd w:val="clear" w:color="auto" w:fill="FFFFFF"/>
        <w:spacing w:beforeAutospacing="0" w:afterAutospacing="0" w:line="360" w:lineRule="auto"/>
        <w:ind w:firstLine="640" w:firstLineChars="200"/>
        <w:rPr>
          <w:rFonts w:hint="eastAsia" w:ascii="楷体" w:hAnsi="楷体" w:eastAsia="楷体" w:cs="楷体"/>
          <w:color w:val="FF0000"/>
          <w:sz w:val="32"/>
          <w:szCs w:val="32"/>
        </w:rPr>
      </w:pPr>
      <w:r>
        <w:rPr>
          <w:rFonts w:hint="eastAsia" w:ascii="楷体" w:hAnsi="楷体" w:eastAsia="楷体" w:cs="楷体"/>
          <w:color w:val="FF0000"/>
          <w:sz w:val="32"/>
          <w:szCs w:val="32"/>
        </w:rPr>
        <w:t>拍卖辅助机构咨询联系电话：刘先生</w:t>
      </w:r>
      <w:r>
        <w:rPr>
          <w:rFonts w:ascii="楷体" w:hAnsi="楷体" w:eastAsia="楷体" w:cs="楷体"/>
          <w:color w:val="FF0000"/>
          <w:sz w:val="32"/>
          <w:szCs w:val="32"/>
        </w:rPr>
        <w:t xml:space="preserve"> </w:t>
      </w:r>
      <w:r>
        <w:rPr>
          <w:rFonts w:hint="eastAsia" w:ascii="楷体" w:hAnsi="楷体" w:eastAsia="楷体" w:cs="楷体"/>
          <w:color w:val="FF0000"/>
          <w:sz w:val="32"/>
          <w:szCs w:val="32"/>
        </w:rPr>
        <w:t>15901366440</w:t>
      </w:r>
      <w:r>
        <w:rPr>
          <w:rFonts w:ascii="楷体" w:hAnsi="楷体" w:eastAsia="楷体" w:cs="楷体"/>
          <w:color w:val="FF0000"/>
          <w:sz w:val="32"/>
          <w:szCs w:val="32"/>
        </w:rPr>
        <w:t>；李先生13552572522</w:t>
      </w:r>
      <w:r>
        <w:rPr>
          <w:rFonts w:hint="eastAsia" w:ascii="楷体" w:hAnsi="楷体" w:eastAsia="楷体" w:cs="楷体"/>
          <w:color w:val="FF0000"/>
          <w:sz w:val="32"/>
          <w:szCs w:val="32"/>
        </w:rPr>
        <w:t xml:space="preserve">           </w:t>
      </w:r>
    </w:p>
    <w:p w14:paraId="270D0F8E">
      <w:pPr>
        <w:pStyle w:val="6"/>
        <w:shd w:val="clear" w:color="auto" w:fill="FFFFFF"/>
        <w:spacing w:beforeAutospacing="0" w:afterAutospacing="0" w:line="360" w:lineRule="auto"/>
        <w:ind w:firstLine="640" w:firstLineChars="200"/>
        <w:rPr>
          <w:rFonts w:hint="eastAsia" w:ascii="楷体" w:hAnsi="楷体" w:eastAsia="楷体" w:cs="楷体"/>
          <w:color w:val="FF0000"/>
          <w:sz w:val="32"/>
          <w:szCs w:val="32"/>
        </w:rPr>
      </w:pPr>
      <w:r>
        <w:rPr>
          <w:rFonts w:hint="eastAsia" w:ascii="楷体" w:hAnsi="楷体" w:eastAsia="楷体" w:cs="楷体"/>
          <w:color w:val="FF0000"/>
          <w:sz w:val="32"/>
          <w:szCs w:val="32"/>
        </w:rPr>
        <w:t xml:space="preserve">北交所联系电话：张经理 </w:t>
      </w:r>
      <w:r>
        <w:rPr>
          <w:rFonts w:ascii="楷体" w:hAnsi="楷体" w:eastAsia="楷体" w:cs="楷体"/>
          <w:color w:val="FF0000"/>
          <w:sz w:val="32"/>
          <w:szCs w:val="32"/>
        </w:rPr>
        <w:t>010-83143102</w:t>
      </w:r>
    </w:p>
    <w:p w14:paraId="3B1A8E35">
      <w:pPr>
        <w:pStyle w:val="6"/>
        <w:shd w:val="clear" w:color="auto" w:fill="FFFFFF"/>
        <w:spacing w:beforeAutospacing="0" w:afterAutospacing="0" w:line="360" w:lineRule="auto"/>
        <w:ind w:firstLine="640" w:firstLineChars="200"/>
        <w:rPr>
          <w:rFonts w:hint="eastAsia" w:ascii="楷体" w:hAnsi="楷体" w:eastAsia="楷体" w:cs="楷体"/>
          <w:color w:val="FF0000"/>
          <w:sz w:val="32"/>
          <w:szCs w:val="32"/>
        </w:rPr>
      </w:pPr>
      <w:r>
        <w:rPr>
          <w:rFonts w:hint="eastAsia" w:ascii="楷体" w:hAnsi="楷体" w:eastAsia="楷体"/>
          <w:color w:val="FF0000"/>
          <w:sz w:val="32"/>
          <w:szCs w:val="32"/>
        </w:rPr>
        <w:t>北交所技术咨询：400-6</w:t>
      </w:r>
      <w:r>
        <w:rPr>
          <w:rFonts w:ascii="楷体" w:hAnsi="楷体" w:eastAsia="楷体"/>
          <w:color w:val="FF0000"/>
          <w:sz w:val="32"/>
          <w:szCs w:val="32"/>
        </w:rPr>
        <w:t>1</w:t>
      </w:r>
      <w:r>
        <w:rPr>
          <w:rFonts w:hint="eastAsia" w:ascii="楷体" w:hAnsi="楷体" w:eastAsia="楷体"/>
          <w:color w:val="FF0000"/>
          <w:sz w:val="32"/>
          <w:szCs w:val="32"/>
        </w:rPr>
        <w:t>2-</w:t>
      </w:r>
      <w:r>
        <w:rPr>
          <w:rFonts w:ascii="楷体" w:hAnsi="楷体" w:eastAsia="楷体"/>
          <w:color w:val="FF0000"/>
          <w:sz w:val="32"/>
          <w:szCs w:val="32"/>
        </w:rPr>
        <w:t>1717</w:t>
      </w:r>
      <w:r>
        <w:rPr>
          <w:rFonts w:hint="eastAsia" w:ascii="楷体" w:hAnsi="楷体" w:eastAsia="楷体"/>
          <w:color w:val="FF0000"/>
          <w:sz w:val="32"/>
          <w:szCs w:val="32"/>
        </w:rPr>
        <w:t>转3</w:t>
      </w:r>
      <w:r>
        <w:rPr>
          <w:rFonts w:hint="eastAsia" w:ascii="楷体" w:hAnsi="楷体" w:eastAsia="楷体" w:cs="楷体"/>
          <w:color w:val="FF0000"/>
          <w:sz w:val="32"/>
          <w:szCs w:val="32"/>
        </w:rPr>
        <w:t xml:space="preserve">              </w:t>
      </w:r>
    </w:p>
    <w:p w14:paraId="04CE5602">
      <w:pPr>
        <w:pStyle w:val="6"/>
        <w:shd w:val="clear" w:color="auto" w:fill="FFFFFF"/>
        <w:spacing w:beforeAutospacing="0" w:afterAutospacing="0" w:line="360" w:lineRule="auto"/>
        <w:ind w:firstLine="640" w:firstLineChars="200"/>
        <w:rPr>
          <w:rFonts w:hint="eastAsia" w:ascii="楷体" w:hAnsi="楷体" w:eastAsia="楷体" w:cs="楷体"/>
          <w:color w:val="FF0000"/>
          <w:sz w:val="32"/>
          <w:szCs w:val="32"/>
        </w:rPr>
      </w:pPr>
      <w:r>
        <w:rPr>
          <w:rFonts w:hint="eastAsia" w:ascii="楷体" w:hAnsi="楷体" w:eastAsia="楷体" w:cs="楷体"/>
          <w:color w:val="FF0000"/>
          <w:sz w:val="32"/>
          <w:szCs w:val="32"/>
        </w:rPr>
        <w:t>法院监督电话：</w:t>
      </w:r>
      <w:r>
        <w:rPr>
          <w:rFonts w:ascii="楷体" w:hAnsi="楷体" w:eastAsia="楷体" w:cs="楷体"/>
          <w:color w:val="FF0000"/>
          <w:sz w:val="32"/>
          <w:szCs w:val="32"/>
        </w:rPr>
        <w:t>010-68639038</w:t>
      </w:r>
      <w:r>
        <w:rPr>
          <w:rFonts w:hint="eastAsia" w:ascii="楷体" w:hAnsi="楷体" w:eastAsia="楷体" w:cs="楷体"/>
          <w:color w:val="FF0000"/>
          <w:sz w:val="32"/>
          <w:szCs w:val="32"/>
        </w:rPr>
        <w:t>。</w:t>
      </w:r>
    </w:p>
    <w:p w14:paraId="7AC63A87">
      <w:pPr>
        <w:pStyle w:val="6"/>
        <w:shd w:val="clear" w:color="auto" w:fill="FFFFFF"/>
        <w:spacing w:beforeAutospacing="0" w:afterAutospacing="0" w:line="360" w:lineRule="auto"/>
        <w:ind w:firstLine="643" w:firstLineChars="200"/>
        <w:rPr>
          <w:rFonts w:hint="eastAsia" w:ascii="楷体" w:hAnsi="楷体" w:eastAsia="楷体" w:cs="楷体"/>
          <w:b/>
          <w:bCs/>
          <w:color w:val="FF0000"/>
          <w:sz w:val="32"/>
          <w:szCs w:val="32"/>
        </w:rPr>
      </w:pPr>
      <w:r>
        <w:rPr>
          <w:rFonts w:hint="eastAsia" w:ascii="楷体" w:hAnsi="楷体" w:eastAsia="楷体" w:cs="楷体"/>
          <w:b/>
          <w:bCs/>
          <w:color w:val="FF0000"/>
          <w:sz w:val="32"/>
          <w:szCs w:val="32"/>
        </w:rPr>
        <w:t>本次拍卖活动最终解释权归北京诚通嘉业投资管理有限公司管理人</w:t>
      </w:r>
      <w:r>
        <w:rPr>
          <w:rFonts w:ascii="楷体" w:hAnsi="楷体" w:eastAsia="楷体" w:cs="楷体"/>
          <w:b/>
          <w:bCs/>
          <w:color w:val="FF0000"/>
          <w:sz w:val="32"/>
          <w:szCs w:val="32"/>
        </w:rPr>
        <w:t>所有。</w:t>
      </w:r>
    </w:p>
    <w:p w14:paraId="21C048E7">
      <w:pPr>
        <w:pStyle w:val="6"/>
        <w:shd w:val="clear" w:color="auto" w:fill="FFFFFF"/>
        <w:spacing w:beforeAutospacing="0" w:afterAutospacing="0" w:line="360" w:lineRule="auto"/>
        <w:ind w:firstLine="640" w:firstLineChars="200"/>
        <w:rPr>
          <w:rFonts w:hint="eastAsia" w:ascii="楷体" w:hAnsi="楷体" w:eastAsia="楷体" w:cs="楷体"/>
          <w:color w:val="000000"/>
          <w:sz w:val="32"/>
          <w:szCs w:val="32"/>
        </w:rPr>
      </w:pPr>
    </w:p>
    <w:p w14:paraId="68B98322">
      <w:pPr>
        <w:widowControl/>
        <w:shd w:val="clear" w:color="auto" w:fill="FFFFFF"/>
        <w:spacing w:line="360" w:lineRule="auto"/>
        <w:ind w:firstLine="640" w:firstLineChars="200"/>
        <w:jc w:val="righ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 xml:space="preserve">           北京诚通嘉业投资管理有限公司管理人                 二〇二五年七月二十一日</w:t>
      </w:r>
    </w:p>
    <w:p w14:paraId="2FE8988D">
      <w:pPr>
        <w:widowControl/>
        <w:shd w:val="clear" w:color="auto" w:fill="FFFFFF"/>
        <w:spacing w:line="360" w:lineRule="auto"/>
        <w:ind w:firstLine="640" w:firstLineChars="200"/>
        <w:jc w:val="right"/>
        <w:rPr>
          <w:rFonts w:hint="eastAsia" w:ascii="楷体" w:hAnsi="楷体" w:eastAsia="楷体" w:cs="楷体"/>
          <w:color w:val="000000"/>
          <w:kern w:val="0"/>
          <w:sz w:val="32"/>
          <w:szCs w:val="32"/>
        </w:rPr>
      </w:pPr>
    </w:p>
    <w:p w14:paraId="093133F7">
      <w:pPr>
        <w:widowControl/>
        <w:shd w:val="clear" w:color="auto" w:fill="FFFFFF"/>
        <w:spacing w:line="360" w:lineRule="auto"/>
        <w:ind w:firstLine="640" w:firstLineChars="200"/>
        <w:jc w:val="right"/>
        <w:rPr>
          <w:rFonts w:hint="eastAsia" w:ascii="楷体" w:hAnsi="楷体" w:eastAsia="楷体" w:cs="楷体"/>
          <w:color w:val="000000"/>
          <w:kern w:val="0"/>
          <w:sz w:val="32"/>
          <w:szCs w:val="32"/>
        </w:rPr>
      </w:pPr>
    </w:p>
    <w:p w14:paraId="3FA33CEF">
      <w:pPr>
        <w:widowControl/>
        <w:shd w:val="clear" w:color="auto" w:fill="FFFFFF"/>
        <w:spacing w:line="360" w:lineRule="auto"/>
        <w:ind w:firstLine="640" w:firstLineChars="200"/>
        <w:jc w:val="right"/>
        <w:rPr>
          <w:rFonts w:hint="eastAsia" w:ascii="楷体" w:hAnsi="楷体" w:eastAsia="楷体" w:cs="楷体"/>
          <w:color w:val="000000"/>
          <w:kern w:val="0"/>
          <w:sz w:val="32"/>
          <w:szCs w:val="32"/>
        </w:rPr>
      </w:pPr>
    </w:p>
    <w:p w14:paraId="74656B1F">
      <w:pPr>
        <w:widowControl/>
        <w:shd w:val="clear" w:color="auto" w:fill="FFFFFF"/>
        <w:spacing w:line="360" w:lineRule="auto"/>
        <w:ind w:firstLine="640" w:firstLineChars="200"/>
        <w:jc w:val="right"/>
        <w:rPr>
          <w:rFonts w:hint="eastAsia" w:ascii="楷体" w:hAnsi="楷体" w:eastAsia="楷体" w:cs="楷体"/>
          <w:color w:val="000000"/>
          <w:kern w:val="0"/>
          <w:sz w:val="32"/>
          <w:szCs w:val="32"/>
        </w:rPr>
      </w:pPr>
    </w:p>
    <w:p w14:paraId="71CB7D58">
      <w:pPr>
        <w:widowControl/>
        <w:shd w:val="clear" w:color="auto" w:fill="FFFFFF"/>
        <w:spacing w:line="360" w:lineRule="auto"/>
        <w:ind w:firstLine="640" w:firstLineChars="200"/>
        <w:jc w:val="right"/>
        <w:rPr>
          <w:rFonts w:hint="eastAsia" w:ascii="楷体" w:hAnsi="楷体" w:eastAsia="楷体" w:cs="楷体"/>
          <w:color w:val="000000"/>
          <w:kern w:val="0"/>
          <w:sz w:val="32"/>
          <w:szCs w:val="32"/>
        </w:rPr>
      </w:pPr>
    </w:p>
    <w:p w14:paraId="26948731">
      <w:pPr>
        <w:widowControl/>
        <w:spacing w:line="360" w:lineRule="auto"/>
        <w:rPr>
          <w:rFonts w:hint="eastAsia" w:ascii="楷体" w:hAnsi="楷体" w:eastAsia="楷体" w:cs="楷体"/>
          <w:b/>
          <w:bCs/>
          <w:color w:val="000000"/>
          <w:kern w:val="0"/>
          <w:sz w:val="32"/>
          <w:szCs w:val="32"/>
        </w:rPr>
      </w:pPr>
    </w:p>
    <w:p w14:paraId="2B131DC5">
      <w:pPr>
        <w:widowControl/>
        <w:spacing w:line="360" w:lineRule="auto"/>
        <w:rPr>
          <w:rFonts w:hint="eastAsia" w:ascii="楷体" w:hAnsi="楷体" w:eastAsia="楷体" w:cs="楷体"/>
          <w:b/>
          <w:bCs/>
          <w:color w:val="000000"/>
          <w:kern w:val="0"/>
          <w:sz w:val="32"/>
          <w:szCs w:val="32"/>
        </w:rPr>
      </w:pPr>
    </w:p>
    <w:tbl>
      <w:tblPr>
        <w:tblStyle w:val="8"/>
        <w:tblpPr w:leftFromText="180" w:rightFromText="180" w:vertAnchor="text" w:horzAnchor="margin" w:tblpY="46"/>
        <w:tblW w:w="9493" w:type="dxa"/>
        <w:tblInd w:w="0" w:type="dxa"/>
        <w:tblLayout w:type="autofit"/>
        <w:tblCellMar>
          <w:top w:w="0" w:type="dxa"/>
          <w:left w:w="108" w:type="dxa"/>
          <w:bottom w:w="0" w:type="dxa"/>
          <w:right w:w="108" w:type="dxa"/>
        </w:tblCellMar>
      </w:tblPr>
      <w:tblGrid>
        <w:gridCol w:w="1860"/>
        <w:gridCol w:w="2020"/>
        <w:gridCol w:w="5613"/>
      </w:tblGrid>
      <w:tr w14:paraId="54BDD2AF">
        <w:tblPrEx>
          <w:tblCellMar>
            <w:top w:w="0" w:type="dxa"/>
            <w:left w:w="108" w:type="dxa"/>
            <w:bottom w:w="0" w:type="dxa"/>
            <w:right w:w="108" w:type="dxa"/>
          </w:tblCellMar>
        </w:tblPrEx>
        <w:trPr>
          <w:trHeight w:val="315" w:hRule="atLeast"/>
        </w:trPr>
        <w:tc>
          <w:tcPr>
            <w:tcW w:w="9493"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14:paraId="1769E689">
            <w:pPr>
              <w:widowControl/>
              <w:spacing w:line="360" w:lineRule="auto"/>
              <w:ind w:firstLine="200"/>
              <w:jc w:val="center"/>
              <w:rPr>
                <w:rFonts w:hint="eastAsia" w:ascii="楷体" w:hAnsi="楷体" w:eastAsia="楷体" w:cs="楷体"/>
                <w:b/>
                <w:bCs/>
                <w:color w:val="000000"/>
                <w:kern w:val="0"/>
                <w:sz w:val="32"/>
                <w:szCs w:val="32"/>
              </w:rPr>
            </w:pPr>
            <w:r>
              <w:rPr>
                <w:rFonts w:hint="eastAsia" w:ascii="楷体" w:hAnsi="楷体" w:eastAsia="楷体" w:cs="楷体"/>
                <w:b/>
                <w:bCs/>
                <w:color w:val="000000"/>
                <w:kern w:val="0"/>
                <w:sz w:val="32"/>
                <w:szCs w:val="32"/>
              </w:rPr>
              <w:t>标的物调查情况表</w:t>
            </w:r>
          </w:p>
        </w:tc>
      </w:tr>
      <w:tr w14:paraId="3597DB61">
        <w:tblPrEx>
          <w:tblCellMar>
            <w:top w:w="0" w:type="dxa"/>
            <w:left w:w="108" w:type="dxa"/>
            <w:bottom w:w="0" w:type="dxa"/>
            <w:right w:w="108" w:type="dxa"/>
          </w:tblCellMar>
        </w:tblPrEx>
        <w:trPr>
          <w:trHeight w:val="315" w:hRule="atLeast"/>
        </w:trPr>
        <w:tc>
          <w:tcPr>
            <w:tcW w:w="1860" w:type="dxa"/>
            <w:tcBorders>
              <w:top w:val="nil"/>
              <w:left w:val="single" w:color="auto" w:sz="4" w:space="0"/>
              <w:bottom w:val="single" w:color="auto" w:sz="4" w:space="0"/>
              <w:right w:val="single" w:color="auto" w:sz="4" w:space="0"/>
            </w:tcBorders>
            <w:shd w:val="clear" w:color="auto" w:fill="auto"/>
            <w:vAlign w:val="center"/>
          </w:tcPr>
          <w:p w14:paraId="11487744">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标的物名称</w:t>
            </w:r>
          </w:p>
        </w:tc>
        <w:tc>
          <w:tcPr>
            <w:tcW w:w="7633" w:type="dxa"/>
            <w:gridSpan w:val="2"/>
            <w:tcBorders>
              <w:top w:val="single" w:color="auto" w:sz="4" w:space="0"/>
              <w:left w:val="nil"/>
              <w:bottom w:val="single" w:color="auto" w:sz="4" w:space="0"/>
              <w:right w:val="single" w:color="auto" w:sz="4" w:space="0"/>
            </w:tcBorders>
            <w:shd w:val="clear" w:color="auto" w:fill="auto"/>
            <w:vAlign w:val="center"/>
          </w:tcPr>
          <w:p w14:paraId="24143090">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北京诚通嘉业投资管理有限公司名下京MC1015汽车一辆（不带牌、不带指标）</w:t>
            </w:r>
          </w:p>
        </w:tc>
      </w:tr>
      <w:tr w14:paraId="7BD072DB">
        <w:tblPrEx>
          <w:tblCellMar>
            <w:top w:w="0" w:type="dxa"/>
            <w:left w:w="108" w:type="dxa"/>
            <w:bottom w:w="0" w:type="dxa"/>
            <w:right w:w="108" w:type="dxa"/>
          </w:tblCellMar>
        </w:tblPrEx>
        <w:trPr>
          <w:trHeight w:val="315" w:hRule="atLeast"/>
        </w:trPr>
        <w:tc>
          <w:tcPr>
            <w:tcW w:w="1860" w:type="dxa"/>
            <w:tcBorders>
              <w:top w:val="nil"/>
              <w:left w:val="single" w:color="auto" w:sz="4" w:space="0"/>
              <w:bottom w:val="single" w:color="auto" w:sz="4" w:space="0"/>
              <w:right w:val="single" w:color="auto" w:sz="4" w:space="0"/>
            </w:tcBorders>
            <w:shd w:val="clear" w:color="auto" w:fill="auto"/>
            <w:vAlign w:val="center"/>
          </w:tcPr>
          <w:p w14:paraId="1DC7F4A1">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标的物所有人</w:t>
            </w:r>
          </w:p>
        </w:tc>
        <w:tc>
          <w:tcPr>
            <w:tcW w:w="7633" w:type="dxa"/>
            <w:gridSpan w:val="2"/>
            <w:tcBorders>
              <w:top w:val="single" w:color="auto" w:sz="4" w:space="0"/>
              <w:left w:val="nil"/>
              <w:bottom w:val="single" w:color="auto" w:sz="4" w:space="0"/>
              <w:right w:val="single" w:color="auto" w:sz="4" w:space="0"/>
            </w:tcBorders>
            <w:shd w:val="clear" w:color="auto" w:fill="auto"/>
            <w:vAlign w:val="center"/>
          </w:tcPr>
          <w:p w14:paraId="1B00768B">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sz w:val="32"/>
                <w:szCs w:val="32"/>
              </w:rPr>
              <w:t>北京诚通嘉业投资管理有限公司</w:t>
            </w:r>
          </w:p>
        </w:tc>
      </w:tr>
      <w:tr w14:paraId="72BC4561">
        <w:tblPrEx>
          <w:tblCellMar>
            <w:top w:w="0" w:type="dxa"/>
            <w:left w:w="108" w:type="dxa"/>
            <w:bottom w:w="0" w:type="dxa"/>
            <w:right w:w="108" w:type="dxa"/>
          </w:tblCellMar>
        </w:tblPrEx>
        <w:trPr>
          <w:trHeight w:val="315" w:hRule="atLeast"/>
        </w:trPr>
        <w:tc>
          <w:tcPr>
            <w:tcW w:w="1860" w:type="dxa"/>
            <w:vMerge w:val="restart"/>
            <w:tcBorders>
              <w:top w:val="nil"/>
              <w:left w:val="single" w:color="auto" w:sz="4" w:space="0"/>
              <w:right w:val="single" w:color="auto" w:sz="4" w:space="0"/>
            </w:tcBorders>
            <w:shd w:val="clear" w:color="auto" w:fill="auto"/>
            <w:vAlign w:val="center"/>
          </w:tcPr>
          <w:p w14:paraId="06D33CE3">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标的物现状</w:t>
            </w:r>
          </w:p>
        </w:tc>
        <w:tc>
          <w:tcPr>
            <w:tcW w:w="2020" w:type="dxa"/>
            <w:tcBorders>
              <w:top w:val="nil"/>
              <w:left w:val="nil"/>
              <w:bottom w:val="single" w:color="auto" w:sz="4" w:space="0"/>
              <w:right w:val="single" w:color="auto" w:sz="4" w:space="0"/>
            </w:tcBorders>
            <w:shd w:val="clear" w:color="auto" w:fill="auto"/>
            <w:vAlign w:val="center"/>
          </w:tcPr>
          <w:p w14:paraId="70D397B8">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使用性质</w:t>
            </w:r>
          </w:p>
        </w:tc>
        <w:tc>
          <w:tcPr>
            <w:tcW w:w="5613" w:type="dxa"/>
            <w:tcBorders>
              <w:top w:val="single" w:color="auto" w:sz="4" w:space="0"/>
              <w:left w:val="nil"/>
              <w:bottom w:val="single" w:color="auto" w:sz="4" w:space="0"/>
              <w:right w:val="single" w:color="auto" w:sz="4" w:space="0"/>
            </w:tcBorders>
            <w:shd w:val="clear" w:color="auto" w:fill="auto"/>
            <w:vAlign w:val="center"/>
          </w:tcPr>
          <w:p w14:paraId="00706416">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营运/非营运</w:t>
            </w:r>
          </w:p>
        </w:tc>
      </w:tr>
      <w:tr w14:paraId="74E74574">
        <w:tblPrEx>
          <w:tblCellMar>
            <w:top w:w="0" w:type="dxa"/>
            <w:left w:w="108" w:type="dxa"/>
            <w:bottom w:w="0" w:type="dxa"/>
            <w:right w:w="108" w:type="dxa"/>
          </w:tblCellMar>
        </w:tblPrEx>
        <w:trPr>
          <w:trHeight w:val="315" w:hRule="atLeast"/>
        </w:trPr>
        <w:tc>
          <w:tcPr>
            <w:tcW w:w="1860" w:type="dxa"/>
            <w:vMerge w:val="continue"/>
            <w:tcBorders>
              <w:left w:val="single" w:color="auto" w:sz="4" w:space="0"/>
              <w:right w:val="single" w:color="auto" w:sz="4" w:space="0"/>
            </w:tcBorders>
            <w:vAlign w:val="center"/>
          </w:tcPr>
          <w:p w14:paraId="3BBE8C95">
            <w:pPr>
              <w:widowControl/>
              <w:spacing w:line="360" w:lineRule="auto"/>
              <w:ind w:firstLine="200"/>
              <w:jc w:val="left"/>
              <w:rPr>
                <w:rFonts w:hint="eastAsia" w:ascii="楷体" w:hAnsi="楷体" w:eastAsia="楷体" w:cs="楷体"/>
                <w:color w:val="000000"/>
                <w:kern w:val="0"/>
                <w:sz w:val="32"/>
                <w:szCs w:val="32"/>
              </w:rPr>
            </w:pPr>
          </w:p>
        </w:tc>
        <w:tc>
          <w:tcPr>
            <w:tcW w:w="2020" w:type="dxa"/>
            <w:tcBorders>
              <w:top w:val="nil"/>
              <w:left w:val="nil"/>
              <w:bottom w:val="single" w:color="auto" w:sz="4" w:space="0"/>
              <w:right w:val="single" w:color="auto" w:sz="4" w:space="0"/>
            </w:tcBorders>
            <w:shd w:val="clear" w:color="auto" w:fill="auto"/>
            <w:vAlign w:val="center"/>
          </w:tcPr>
          <w:p w14:paraId="1823F631">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钥匙</w:t>
            </w:r>
          </w:p>
        </w:tc>
        <w:tc>
          <w:tcPr>
            <w:tcW w:w="5613" w:type="dxa"/>
            <w:tcBorders>
              <w:top w:val="single" w:color="auto" w:sz="4" w:space="0"/>
              <w:left w:val="nil"/>
              <w:bottom w:val="single" w:color="auto" w:sz="4" w:space="0"/>
              <w:right w:val="single" w:color="auto" w:sz="4" w:space="0"/>
            </w:tcBorders>
            <w:shd w:val="clear" w:color="auto" w:fill="auto"/>
            <w:vAlign w:val="center"/>
          </w:tcPr>
          <w:p w14:paraId="36A862E9">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1把</w:t>
            </w:r>
          </w:p>
        </w:tc>
      </w:tr>
      <w:tr w14:paraId="2FE358D7">
        <w:tblPrEx>
          <w:tblCellMar>
            <w:top w:w="0" w:type="dxa"/>
            <w:left w:w="108" w:type="dxa"/>
            <w:bottom w:w="0" w:type="dxa"/>
            <w:right w:w="108" w:type="dxa"/>
          </w:tblCellMar>
        </w:tblPrEx>
        <w:trPr>
          <w:trHeight w:val="315" w:hRule="atLeast"/>
        </w:trPr>
        <w:tc>
          <w:tcPr>
            <w:tcW w:w="1860" w:type="dxa"/>
            <w:vMerge w:val="continue"/>
            <w:tcBorders>
              <w:left w:val="single" w:color="auto" w:sz="4" w:space="0"/>
              <w:right w:val="single" w:color="auto" w:sz="4" w:space="0"/>
            </w:tcBorders>
            <w:vAlign w:val="center"/>
          </w:tcPr>
          <w:p w14:paraId="676077E9">
            <w:pPr>
              <w:widowControl/>
              <w:spacing w:line="360" w:lineRule="auto"/>
              <w:ind w:firstLine="200"/>
              <w:jc w:val="left"/>
              <w:rPr>
                <w:rFonts w:hint="eastAsia" w:ascii="楷体" w:hAnsi="楷体" w:eastAsia="楷体" w:cs="楷体"/>
                <w:color w:val="000000"/>
                <w:kern w:val="0"/>
                <w:sz w:val="32"/>
                <w:szCs w:val="32"/>
              </w:rPr>
            </w:pPr>
          </w:p>
        </w:tc>
        <w:tc>
          <w:tcPr>
            <w:tcW w:w="2020" w:type="dxa"/>
            <w:tcBorders>
              <w:top w:val="nil"/>
              <w:left w:val="nil"/>
              <w:bottom w:val="single" w:color="auto" w:sz="4" w:space="0"/>
              <w:right w:val="single" w:color="auto" w:sz="4" w:space="0"/>
            </w:tcBorders>
            <w:shd w:val="clear" w:color="auto" w:fill="auto"/>
            <w:vAlign w:val="center"/>
          </w:tcPr>
          <w:p w14:paraId="7AE520C0">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注册日期</w:t>
            </w:r>
          </w:p>
        </w:tc>
        <w:tc>
          <w:tcPr>
            <w:tcW w:w="5613" w:type="dxa"/>
            <w:tcBorders>
              <w:top w:val="single" w:color="auto" w:sz="4" w:space="0"/>
              <w:left w:val="nil"/>
              <w:bottom w:val="single" w:color="auto" w:sz="4" w:space="0"/>
              <w:right w:val="single" w:color="auto" w:sz="4" w:space="0"/>
            </w:tcBorders>
            <w:shd w:val="clear" w:color="auto" w:fill="auto"/>
            <w:vAlign w:val="center"/>
          </w:tcPr>
          <w:p w14:paraId="4326504C">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2008-07-01</w:t>
            </w:r>
          </w:p>
        </w:tc>
      </w:tr>
      <w:tr w14:paraId="4C6FAEAC">
        <w:tblPrEx>
          <w:tblCellMar>
            <w:top w:w="0" w:type="dxa"/>
            <w:left w:w="108" w:type="dxa"/>
            <w:bottom w:w="0" w:type="dxa"/>
            <w:right w:w="108" w:type="dxa"/>
          </w:tblCellMar>
        </w:tblPrEx>
        <w:trPr>
          <w:trHeight w:val="315" w:hRule="atLeast"/>
        </w:trPr>
        <w:tc>
          <w:tcPr>
            <w:tcW w:w="1860" w:type="dxa"/>
            <w:vMerge w:val="continue"/>
            <w:tcBorders>
              <w:left w:val="single" w:color="auto" w:sz="4" w:space="0"/>
              <w:right w:val="single" w:color="auto" w:sz="4" w:space="0"/>
            </w:tcBorders>
            <w:vAlign w:val="center"/>
          </w:tcPr>
          <w:p w14:paraId="3FD3F2CB">
            <w:pPr>
              <w:widowControl/>
              <w:spacing w:line="360" w:lineRule="auto"/>
              <w:ind w:firstLine="200"/>
              <w:jc w:val="left"/>
              <w:rPr>
                <w:rFonts w:hint="eastAsia" w:ascii="楷体" w:hAnsi="楷体" w:eastAsia="楷体" w:cs="楷体"/>
                <w:color w:val="000000"/>
                <w:kern w:val="0"/>
                <w:sz w:val="32"/>
                <w:szCs w:val="32"/>
              </w:rPr>
            </w:pPr>
          </w:p>
        </w:tc>
        <w:tc>
          <w:tcPr>
            <w:tcW w:w="2020" w:type="dxa"/>
            <w:tcBorders>
              <w:top w:val="nil"/>
              <w:left w:val="nil"/>
              <w:bottom w:val="single" w:color="auto" w:sz="4" w:space="0"/>
              <w:right w:val="single" w:color="auto" w:sz="4" w:space="0"/>
            </w:tcBorders>
            <w:shd w:val="clear" w:color="auto" w:fill="auto"/>
            <w:vAlign w:val="center"/>
          </w:tcPr>
          <w:p w14:paraId="4116228C">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存放地</w:t>
            </w:r>
          </w:p>
        </w:tc>
        <w:tc>
          <w:tcPr>
            <w:tcW w:w="5613" w:type="dxa"/>
            <w:tcBorders>
              <w:top w:val="single" w:color="auto" w:sz="4" w:space="0"/>
              <w:left w:val="nil"/>
              <w:bottom w:val="single" w:color="auto" w:sz="4" w:space="0"/>
              <w:right w:val="single" w:color="auto" w:sz="4" w:space="0"/>
            </w:tcBorders>
            <w:shd w:val="clear" w:color="auto" w:fill="auto"/>
            <w:vAlign w:val="center"/>
          </w:tcPr>
          <w:p w14:paraId="093835AC">
            <w:pPr>
              <w:widowControl/>
              <w:spacing w:line="360" w:lineRule="auto"/>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北京市朝阳区</w:t>
            </w:r>
          </w:p>
        </w:tc>
      </w:tr>
      <w:tr w14:paraId="267DD2F7">
        <w:tblPrEx>
          <w:tblCellMar>
            <w:top w:w="0" w:type="dxa"/>
            <w:left w:w="108" w:type="dxa"/>
            <w:bottom w:w="0" w:type="dxa"/>
            <w:right w:w="108" w:type="dxa"/>
          </w:tblCellMar>
        </w:tblPrEx>
        <w:trPr>
          <w:trHeight w:val="420" w:hRule="atLeast"/>
        </w:trPr>
        <w:tc>
          <w:tcPr>
            <w:tcW w:w="1860" w:type="dxa"/>
            <w:vMerge w:val="continue"/>
            <w:tcBorders>
              <w:left w:val="single" w:color="auto" w:sz="4" w:space="0"/>
              <w:right w:val="single" w:color="auto" w:sz="4" w:space="0"/>
            </w:tcBorders>
            <w:vAlign w:val="center"/>
          </w:tcPr>
          <w:p w14:paraId="738CD63F">
            <w:pPr>
              <w:widowControl/>
              <w:spacing w:line="360" w:lineRule="auto"/>
              <w:ind w:firstLine="200"/>
              <w:jc w:val="left"/>
              <w:rPr>
                <w:rFonts w:hint="eastAsia" w:ascii="楷体" w:hAnsi="楷体" w:eastAsia="楷体" w:cs="楷体"/>
                <w:color w:val="000000"/>
                <w:kern w:val="0"/>
                <w:sz w:val="32"/>
                <w:szCs w:val="32"/>
              </w:rPr>
            </w:pPr>
          </w:p>
        </w:tc>
        <w:tc>
          <w:tcPr>
            <w:tcW w:w="2020" w:type="dxa"/>
            <w:tcBorders>
              <w:top w:val="nil"/>
              <w:left w:val="nil"/>
              <w:bottom w:val="single" w:color="auto" w:sz="4" w:space="0"/>
              <w:right w:val="single" w:color="auto" w:sz="4" w:space="0"/>
            </w:tcBorders>
            <w:shd w:val="clear" w:color="auto" w:fill="auto"/>
            <w:vAlign w:val="center"/>
          </w:tcPr>
          <w:p w14:paraId="7D041FF3">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年审有效期</w:t>
            </w:r>
          </w:p>
        </w:tc>
        <w:tc>
          <w:tcPr>
            <w:tcW w:w="5613" w:type="dxa"/>
            <w:tcBorders>
              <w:top w:val="nil"/>
              <w:left w:val="nil"/>
              <w:bottom w:val="single" w:color="auto" w:sz="4" w:space="0"/>
              <w:right w:val="single" w:color="auto" w:sz="4" w:space="0"/>
            </w:tcBorders>
            <w:shd w:val="clear" w:color="auto" w:fill="auto"/>
            <w:vAlign w:val="center"/>
          </w:tcPr>
          <w:p w14:paraId="224AB13A">
            <w:pPr>
              <w:widowControl/>
              <w:spacing w:line="360" w:lineRule="auto"/>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2024年7月31日</w:t>
            </w:r>
          </w:p>
        </w:tc>
      </w:tr>
      <w:tr w14:paraId="53B63781">
        <w:tblPrEx>
          <w:tblCellMar>
            <w:top w:w="0" w:type="dxa"/>
            <w:left w:w="108" w:type="dxa"/>
            <w:bottom w:w="0" w:type="dxa"/>
            <w:right w:w="108" w:type="dxa"/>
          </w:tblCellMar>
        </w:tblPrEx>
        <w:trPr>
          <w:trHeight w:val="315" w:hRule="atLeast"/>
        </w:trPr>
        <w:tc>
          <w:tcPr>
            <w:tcW w:w="1860" w:type="dxa"/>
            <w:vMerge w:val="continue"/>
            <w:tcBorders>
              <w:left w:val="single" w:color="auto" w:sz="4" w:space="0"/>
              <w:right w:val="single" w:color="auto" w:sz="4" w:space="0"/>
            </w:tcBorders>
            <w:vAlign w:val="center"/>
          </w:tcPr>
          <w:p w14:paraId="296CB3F7">
            <w:pPr>
              <w:widowControl/>
              <w:spacing w:line="360" w:lineRule="auto"/>
              <w:ind w:firstLine="200"/>
              <w:jc w:val="left"/>
              <w:rPr>
                <w:rFonts w:hint="eastAsia" w:ascii="楷体" w:hAnsi="楷体" w:eastAsia="楷体" w:cs="楷体"/>
                <w:color w:val="000000"/>
                <w:kern w:val="0"/>
                <w:sz w:val="32"/>
                <w:szCs w:val="32"/>
              </w:rPr>
            </w:pPr>
          </w:p>
        </w:tc>
        <w:tc>
          <w:tcPr>
            <w:tcW w:w="2020" w:type="dxa"/>
            <w:tcBorders>
              <w:top w:val="nil"/>
              <w:left w:val="nil"/>
              <w:bottom w:val="single" w:color="auto" w:sz="4" w:space="0"/>
              <w:right w:val="single" w:color="auto" w:sz="4" w:space="0"/>
            </w:tcBorders>
            <w:shd w:val="clear" w:color="auto" w:fill="auto"/>
            <w:vAlign w:val="center"/>
          </w:tcPr>
          <w:p w14:paraId="4A40C3AD">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品牌车型</w:t>
            </w:r>
          </w:p>
        </w:tc>
        <w:tc>
          <w:tcPr>
            <w:tcW w:w="5613" w:type="dxa"/>
            <w:tcBorders>
              <w:top w:val="nil"/>
              <w:left w:val="nil"/>
              <w:bottom w:val="single" w:color="auto" w:sz="4" w:space="0"/>
              <w:right w:val="single" w:color="auto" w:sz="4" w:space="0"/>
            </w:tcBorders>
            <w:shd w:val="clear" w:color="auto" w:fill="auto"/>
            <w:vAlign w:val="center"/>
          </w:tcPr>
          <w:p w14:paraId="319F9F7C">
            <w:pPr>
              <w:widowControl/>
              <w:spacing w:line="360" w:lineRule="auto"/>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宝马</w:t>
            </w:r>
          </w:p>
        </w:tc>
      </w:tr>
      <w:tr w14:paraId="2D2476B3">
        <w:tblPrEx>
          <w:tblCellMar>
            <w:top w:w="0" w:type="dxa"/>
            <w:left w:w="108" w:type="dxa"/>
            <w:bottom w:w="0" w:type="dxa"/>
            <w:right w:w="108" w:type="dxa"/>
          </w:tblCellMar>
        </w:tblPrEx>
        <w:trPr>
          <w:trHeight w:val="315" w:hRule="atLeast"/>
        </w:trPr>
        <w:tc>
          <w:tcPr>
            <w:tcW w:w="1860" w:type="dxa"/>
            <w:vMerge w:val="continue"/>
            <w:tcBorders>
              <w:left w:val="single" w:color="auto" w:sz="4" w:space="0"/>
              <w:right w:val="single" w:color="auto" w:sz="4" w:space="0"/>
            </w:tcBorders>
            <w:vAlign w:val="center"/>
          </w:tcPr>
          <w:p w14:paraId="107C3971">
            <w:pPr>
              <w:widowControl/>
              <w:spacing w:line="360" w:lineRule="auto"/>
              <w:ind w:firstLine="200"/>
              <w:jc w:val="left"/>
              <w:rPr>
                <w:rFonts w:hint="eastAsia" w:ascii="楷体" w:hAnsi="楷体" w:eastAsia="楷体" w:cs="楷体"/>
                <w:color w:val="000000"/>
                <w:kern w:val="0"/>
                <w:sz w:val="32"/>
                <w:szCs w:val="32"/>
              </w:rPr>
            </w:pPr>
          </w:p>
        </w:tc>
        <w:tc>
          <w:tcPr>
            <w:tcW w:w="2020" w:type="dxa"/>
            <w:tcBorders>
              <w:top w:val="nil"/>
              <w:left w:val="nil"/>
              <w:bottom w:val="single" w:color="auto" w:sz="4" w:space="0"/>
              <w:right w:val="single" w:color="auto" w:sz="4" w:space="0"/>
            </w:tcBorders>
            <w:shd w:val="clear" w:color="auto" w:fill="auto"/>
            <w:vAlign w:val="center"/>
          </w:tcPr>
          <w:p w14:paraId="08B454E8">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车辆型号</w:t>
            </w:r>
          </w:p>
        </w:tc>
        <w:tc>
          <w:tcPr>
            <w:tcW w:w="5613" w:type="dxa"/>
            <w:tcBorders>
              <w:top w:val="nil"/>
              <w:left w:val="nil"/>
              <w:bottom w:val="single" w:color="auto" w:sz="4" w:space="0"/>
              <w:right w:val="single" w:color="auto" w:sz="4" w:space="0"/>
            </w:tcBorders>
            <w:shd w:val="clear" w:color="auto" w:fill="auto"/>
            <w:vAlign w:val="center"/>
          </w:tcPr>
          <w:p w14:paraId="092A0C3F">
            <w:pPr>
              <w:widowControl/>
              <w:spacing w:line="360" w:lineRule="auto"/>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WBAHN21048D</w:t>
            </w:r>
          </w:p>
        </w:tc>
      </w:tr>
      <w:tr w14:paraId="45D9FF06">
        <w:tblPrEx>
          <w:tblCellMar>
            <w:top w:w="0" w:type="dxa"/>
            <w:left w:w="108" w:type="dxa"/>
            <w:bottom w:w="0" w:type="dxa"/>
            <w:right w:w="108" w:type="dxa"/>
          </w:tblCellMar>
        </w:tblPrEx>
        <w:trPr>
          <w:trHeight w:val="315" w:hRule="atLeast"/>
        </w:trPr>
        <w:tc>
          <w:tcPr>
            <w:tcW w:w="1860" w:type="dxa"/>
            <w:vMerge w:val="continue"/>
            <w:tcBorders>
              <w:left w:val="single" w:color="auto" w:sz="4" w:space="0"/>
              <w:right w:val="single" w:color="auto" w:sz="4" w:space="0"/>
            </w:tcBorders>
            <w:vAlign w:val="center"/>
          </w:tcPr>
          <w:p w14:paraId="6AEA7223">
            <w:pPr>
              <w:widowControl/>
              <w:spacing w:line="360" w:lineRule="auto"/>
              <w:ind w:firstLine="200"/>
              <w:jc w:val="left"/>
              <w:rPr>
                <w:rFonts w:hint="eastAsia" w:ascii="楷体" w:hAnsi="楷体" w:eastAsia="楷体" w:cs="楷体"/>
                <w:color w:val="000000"/>
                <w:kern w:val="0"/>
                <w:sz w:val="32"/>
                <w:szCs w:val="32"/>
              </w:rPr>
            </w:pPr>
          </w:p>
        </w:tc>
        <w:tc>
          <w:tcPr>
            <w:tcW w:w="2020" w:type="dxa"/>
            <w:tcBorders>
              <w:top w:val="nil"/>
              <w:left w:val="nil"/>
              <w:bottom w:val="single" w:color="auto" w:sz="4" w:space="0"/>
              <w:right w:val="single" w:color="auto" w:sz="4" w:space="0"/>
            </w:tcBorders>
            <w:shd w:val="clear" w:color="auto" w:fill="auto"/>
            <w:vAlign w:val="center"/>
          </w:tcPr>
          <w:p w14:paraId="3F29A300">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行驶证</w:t>
            </w:r>
          </w:p>
        </w:tc>
        <w:tc>
          <w:tcPr>
            <w:tcW w:w="5613" w:type="dxa"/>
            <w:tcBorders>
              <w:top w:val="nil"/>
              <w:left w:val="nil"/>
              <w:bottom w:val="single" w:color="auto" w:sz="4" w:space="0"/>
              <w:right w:val="single" w:color="auto" w:sz="4" w:space="0"/>
            </w:tcBorders>
            <w:shd w:val="clear" w:color="auto" w:fill="auto"/>
            <w:vAlign w:val="center"/>
          </w:tcPr>
          <w:p w14:paraId="3B5EFB43">
            <w:pPr>
              <w:widowControl/>
              <w:spacing w:line="360" w:lineRule="auto"/>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无</w:t>
            </w:r>
          </w:p>
        </w:tc>
      </w:tr>
      <w:tr w14:paraId="3AD32AFE">
        <w:tblPrEx>
          <w:tblCellMar>
            <w:top w:w="0" w:type="dxa"/>
            <w:left w:w="108" w:type="dxa"/>
            <w:bottom w:w="0" w:type="dxa"/>
            <w:right w:w="108" w:type="dxa"/>
          </w:tblCellMar>
        </w:tblPrEx>
        <w:trPr>
          <w:trHeight w:val="315" w:hRule="atLeast"/>
        </w:trPr>
        <w:tc>
          <w:tcPr>
            <w:tcW w:w="1860" w:type="dxa"/>
            <w:vMerge w:val="continue"/>
            <w:tcBorders>
              <w:left w:val="single" w:color="auto" w:sz="4" w:space="0"/>
              <w:bottom w:val="single" w:color="auto" w:sz="4" w:space="0"/>
              <w:right w:val="single" w:color="auto" w:sz="4" w:space="0"/>
            </w:tcBorders>
            <w:vAlign w:val="center"/>
          </w:tcPr>
          <w:p w14:paraId="5719602C">
            <w:pPr>
              <w:widowControl/>
              <w:spacing w:line="360" w:lineRule="auto"/>
              <w:ind w:firstLine="200"/>
              <w:jc w:val="left"/>
              <w:rPr>
                <w:rFonts w:hint="eastAsia" w:ascii="楷体" w:hAnsi="楷体" w:eastAsia="楷体" w:cs="楷体"/>
                <w:color w:val="000000"/>
                <w:kern w:val="0"/>
                <w:sz w:val="32"/>
                <w:szCs w:val="32"/>
              </w:rPr>
            </w:pPr>
          </w:p>
        </w:tc>
        <w:tc>
          <w:tcPr>
            <w:tcW w:w="2020" w:type="dxa"/>
            <w:tcBorders>
              <w:top w:val="nil"/>
              <w:left w:val="nil"/>
              <w:bottom w:val="single" w:color="auto" w:sz="4" w:space="0"/>
              <w:right w:val="single" w:color="auto" w:sz="4" w:space="0"/>
            </w:tcBorders>
            <w:shd w:val="clear" w:color="auto" w:fill="auto"/>
            <w:vAlign w:val="center"/>
          </w:tcPr>
          <w:p w14:paraId="038B4D68">
            <w:pPr>
              <w:widowControl/>
              <w:spacing w:line="360" w:lineRule="auto"/>
              <w:ind w:firstLine="200"/>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登记证</w:t>
            </w:r>
          </w:p>
        </w:tc>
        <w:tc>
          <w:tcPr>
            <w:tcW w:w="5613" w:type="dxa"/>
            <w:tcBorders>
              <w:top w:val="nil"/>
              <w:left w:val="nil"/>
              <w:bottom w:val="single" w:color="auto" w:sz="4" w:space="0"/>
              <w:right w:val="single" w:color="auto" w:sz="4" w:space="0"/>
            </w:tcBorders>
            <w:shd w:val="clear" w:color="auto" w:fill="auto"/>
            <w:vAlign w:val="center"/>
          </w:tcPr>
          <w:p w14:paraId="122544F5">
            <w:pPr>
              <w:widowControl/>
              <w:spacing w:line="360" w:lineRule="auto"/>
              <w:jc w:val="left"/>
              <w:rPr>
                <w:rFonts w:hint="eastAsia" w:ascii="楷体" w:hAnsi="楷体" w:eastAsia="楷体" w:cs="楷体"/>
                <w:color w:val="000000"/>
                <w:kern w:val="0"/>
                <w:sz w:val="32"/>
                <w:szCs w:val="32"/>
              </w:rPr>
            </w:pPr>
            <w:r>
              <w:rPr>
                <w:rFonts w:hint="eastAsia" w:ascii="楷体" w:hAnsi="楷体" w:eastAsia="楷体" w:cs="楷体"/>
                <w:color w:val="000000"/>
                <w:kern w:val="0"/>
                <w:sz w:val="32"/>
                <w:szCs w:val="32"/>
              </w:rPr>
              <w:t>有</w:t>
            </w:r>
          </w:p>
        </w:tc>
      </w:tr>
      <w:tr w14:paraId="0A840633">
        <w:tblPrEx>
          <w:tblCellMar>
            <w:top w:w="0" w:type="dxa"/>
            <w:left w:w="108" w:type="dxa"/>
            <w:bottom w:w="0" w:type="dxa"/>
            <w:right w:w="108" w:type="dxa"/>
          </w:tblCellMar>
        </w:tblPrEx>
        <w:trPr>
          <w:trHeight w:val="315" w:hRule="atLeast"/>
        </w:trPr>
        <w:tc>
          <w:tcPr>
            <w:tcW w:w="94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BB7C371">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1、车辆违章情况（包括罚款及扣分）需由买受人自行查询并核实。若存在相关罚款或扣分，均由买受人负责缴纳罚款及承担相应处罚。</w:t>
            </w:r>
          </w:p>
          <w:p w14:paraId="23D16EF7">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2、本次拍卖车辆存在停车费、拖车费等。停车费自2025年2月24日起至车辆开出停车场止，每天收费16元；拖车费：881元。拍卖成交后由买受人承担。</w:t>
            </w:r>
          </w:p>
          <w:p w14:paraId="349AB3F3">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3、该车辆存在事故，需要在过户前完成维修，修车产生的全部费用由买受人负责。维修完成办理车辆过户手续后，买受人方可提车。</w:t>
            </w:r>
          </w:p>
          <w:p w14:paraId="2DF6504A">
            <w:pPr>
              <w:widowControl/>
              <w:shd w:val="clear" w:color="auto" w:fill="FFFFFF"/>
              <w:spacing w:line="360" w:lineRule="auto"/>
              <w:ind w:firstLine="643" w:firstLineChars="200"/>
              <w:jc w:val="left"/>
              <w:rPr>
                <w:rFonts w:hint="eastAsia" w:ascii="楷体" w:hAnsi="楷体" w:eastAsia="楷体" w:cs="楷体"/>
                <w:b/>
                <w:bCs/>
                <w:color w:val="FF0000"/>
                <w:kern w:val="0"/>
                <w:sz w:val="32"/>
                <w:szCs w:val="32"/>
              </w:rPr>
            </w:pPr>
            <w:r>
              <w:rPr>
                <w:rFonts w:hint="eastAsia" w:ascii="楷体" w:hAnsi="楷体" w:eastAsia="楷体" w:cs="楷体"/>
                <w:b/>
                <w:bCs/>
                <w:color w:val="FF0000"/>
                <w:kern w:val="0"/>
                <w:sz w:val="32"/>
                <w:szCs w:val="32"/>
              </w:rPr>
              <w:t>4、拍卖成交后，买受人在支付全部拍卖款项的基础上，需另行支付成交金额30%的“过户保证金”至管理人账户，以确保履行过户义务。管理人将协助买受人在15个工作日内完成过户手续。过户完成后，买受人方可将车辆提走。若买受人未遵守规定要求或未在规定时间内完成过户，管理人有权按照悔拍处理，</w:t>
            </w:r>
            <w:r>
              <w:rPr>
                <w:rFonts w:hint="eastAsia" w:ascii="楷体" w:hAnsi="楷体" w:eastAsia="楷体" w:cs="楷体"/>
                <w:b/>
                <w:bCs/>
                <w:color w:val="FF0000"/>
                <w:kern w:val="0"/>
                <w:sz w:val="32"/>
                <w:szCs w:val="32"/>
                <w:lang w:val="en-US" w:eastAsia="zh-CN"/>
              </w:rPr>
              <w:t>且</w:t>
            </w:r>
            <w:bookmarkStart w:id="3" w:name="_GoBack"/>
            <w:bookmarkEnd w:id="3"/>
            <w:r>
              <w:rPr>
                <w:rFonts w:hint="eastAsia" w:ascii="楷体" w:hAnsi="楷体" w:eastAsia="楷体" w:cs="楷体"/>
                <w:b/>
                <w:bCs/>
                <w:color w:val="FF0000"/>
                <w:kern w:val="0"/>
                <w:sz w:val="32"/>
                <w:szCs w:val="32"/>
              </w:rPr>
              <w:t>该“过户保证金”不予退还；反之，若买受人顺利办理完成车辆过户，该“过户保证金”将在3个工作日内全额无息退还。</w:t>
            </w:r>
          </w:p>
          <w:p w14:paraId="7FC02CCF">
            <w:pPr>
              <w:widowControl/>
              <w:spacing w:line="360" w:lineRule="auto"/>
              <w:ind w:firstLine="200"/>
              <w:jc w:val="left"/>
              <w:rPr>
                <w:rFonts w:hint="eastAsia" w:ascii="楷体" w:hAnsi="楷体" w:eastAsia="楷体" w:cs="楷体"/>
                <w:b/>
                <w:bCs/>
                <w:color w:val="FF0000"/>
                <w:kern w:val="0"/>
                <w:sz w:val="32"/>
                <w:szCs w:val="32"/>
              </w:rPr>
            </w:pPr>
          </w:p>
        </w:tc>
      </w:tr>
      <w:tr w14:paraId="2CF90A9F">
        <w:tblPrEx>
          <w:tblCellMar>
            <w:top w:w="0" w:type="dxa"/>
            <w:left w:w="108" w:type="dxa"/>
            <w:bottom w:w="0" w:type="dxa"/>
            <w:right w:w="108" w:type="dxa"/>
          </w:tblCellMar>
        </w:tblPrEx>
        <w:trPr>
          <w:trHeight w:val="315" w:hRule="atLeast"/>
        </w:trPr>
        <w:tc>
          <w:tcPr>
            <w:tcW w:w="949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5EE95E4">
            <w:pPr>
              <w:widowControl/>
              <w:spacing w:line="360" w:lineRule="auto"/>
              <w:ind w:firstLine="200"/>
              <w:jc w:val="center"/>
              <w:rPr>
                <w:rFonts w:hint="eastAsia" w:ascii="楷体" w:hAnsi="楷体" w:eastAsia="楷体" w:cs="楷体"/>
                <w:color w:val="000000"/>
                <w:kern w:val="0"/>
                <w:sz w:val="32"/>
                <w:szCs w:val="32"/>
              </w:rPr>
            </w:pPr>
            <w:r>
              <w:rPr>
                <w:rFonts w:hint="eastAsia" w:ascii="楷体" w:hAnsi="楷体" w:eastAsia="楷体" w:cs="楷体"/>
                <w:b/>
                <w:bCs/>
                <w:color w:val="FF0000"/>
                <w:kern w:val="0"/>
                <w:sz w:val="32"/>
                <w:szCs w:val="32"/>
              </w:rPr>
              <w:t>管理人所展示的拍卖文件仅作参考，具体以实物现状为准，请竞买人自行前往看样。</w:t>
            </w:r>
          </w:p>
        </w:tc>
      </w:tr>
    </w:tbl>
    <w:p w14:paraId="6919317A">
      <w:pPr>
        <w:spacing w:line="360" w:lineRule="auto"/>
        <w:jc w:val="left"/>
        <w:rPr>
          <w:rFonts w:hint="eastAsia" w:ascii="楷体" w:hAnsi="楷体" w:eastAsia="楷体" w:cs="楷体"/>
          <w:sz w:val="32"/>
          <w:szCs w:val="32"/>
        </w:rPr>
      </w:pPr>
    </w:p>
    <w:p w14:paraId="068C0C9C">
      <w:pPr>
        <w:spacing w:line="360" w:lineRule="auto"/>
        <w:ind w:firstLine="640" w:firstLineChars="200"/>
        <w:jc w:val="right"/>
        <w:rPr>
          <w:rFonts w:hint="eastAsia" w:ascii="楷体" w:hAnsi="楷体" w:eastAsia="楷体" w:cs="楷体"/>
          <w:sz w:val="32"/>
          <w:szCs w:val="32"/>
        </w:rPr>
      </w:pPr>
    </w:p>
    <w:p w14:paraId="45CC76BE">
      <w:pPr>
        <w:spacing w:line="360" w:lineRule="auto"/>
        <w:ind w:firstLine="640" w:firstLineChars="200"/>
        <w:jc w:val="right"/>
        <w:rPr>
          <w:rFonts w:hint="eastAsia" w:ascii="楷体" w:hAnsi="楷体" w:eastAsia="楷体" w:cs="楷体"/>
          <w:sz w:val="32"/>
          <w:szCs w:val="32"/>
        </w:rPr>
      </w:pPr>
    </w:p>
    <w:p w14:paraId="4FF42818">
      <w:pPr>
        <w:tabs>
          <w:tab w:val="left" w:pos="7513"/>
        </w:tabs>
        <w:rPr>
          <w:rFonts w:hint="eastAsia" w:ascii="楷体" w:hAnsi="楷体" w:eastAsia="楷体" w:cs="楷体"/>
          <w:sz w:val="40"/>
          <w:szCs w:val="40"/>
        </w:rPr>
      </w:pPr>
      <w:r>
        <w:rPr>
          <w:rFonts w:hint="eastAsia" w:ascii="楷体" w:hAnsi="楷体" w:eastAsia="楷体" w:cs="楷体"/>
          <w:sz w:val="32"/>
          <w:szCs w:val="32"/>
        </w:rPr>
        <w:t>照片：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21ACCE"/>
    <w:multiLevelType w:val="singleLevel"/>
    <w:tmpl w:val="5321ACC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wYTE3N2NjM2RkMjg4ZDViZTM5MDViNzU1NDVjN2IifQ=="/>
  </w:docVars>
  <w:rsids>
    <w:rsidRoot w:val="008013FF"/>
    <w:rsid w:val="000523F2"/>
    <w:rsid w:val="000562BF"/>
    <w:rsid w:val="00065DEC"/>
    <w:rsid w:val="000B0D2E"/>
    <w:rsid w:val="000C7D60"/>
    <w:rsid w:val="00121381"/>
    <w:rsid w:val="001627B0"/>
    <w:rsid w:val="001666AE"/>
    <w:rsid w:val="00191861"/>
    <w:rsid w:val="00194607"/>
    <w:rsid w:val="001C4FBB"/>
    <w:rsid w:val="001C5F33"/>
    <w:rsid w:val="001E2867"/>
    <w:rsid w:val="001E4333"/>
    <w:rsid w:val="002260E5"/>
    <w:rsid w:val="00240756"/>
    <w:rsid w:val="002657EE"/>
    <w:rsid w:val="002A038C"/>
    <w:rsid w:val="002B3397"/>
    <w:rsid w:val="002C10D1"/>
    <w:rsid w:val="002C1F97"/>
    <w:rsid w:val="002E267C"/>
    <w:rsid w:val="002F6D34"/>
    <w:rsid w:val="003276FB"/>
    <w:rsid w:val="00343444"/>
    <w:rsid w:val="00354FD4"/>
    <w:rsid w:val="00363D2C"/>
    <w:rsid w:val="003823A5"/>
    <w:rsid w:val="003A4D58"/>
    <w:rsid w:val="003B630F"/>
    <w:rsid w:val="003D7E5A"/>
    <w:rsid w:val="003E03A1"/>
    <w:rsid w:val="003E27C2"/>
    <w:rsid w:val="00406F03"/>
    <w:rsid w:val="004240BF"/>
    <w:rsid w:val="004337E2"/>
    <w:rsid w:val="0044163F"/>
    <w:rsid w:val="00444399"/>
    <w:rsid w:val="004558B4"/>
    <w:rsid w:val="00490A07"/>
    <w:rsid w:val="0049534F"/>
    <w:rsid w:val="004A1FEE"/>
    <w:rsid w:val="004A30C6"/>
    <w:rsid w:val="004D03EE"/>
    <w:rsid w:val="004D347D"/>
    <w:rsid w:val="004E25F6"/>
    <w:rsid w:val="004E4CC1"/>
    <w:rsid w:val="0051122E"/>
    <w:rsid w:val="00571C5C"/>
    <w:rsid w:val="005816CD"/>
    <w:rsid w:val="005A524C"/>
    <w:rsid w:val="005A7322"/>
    <w:rsid w:val="005B2979"/>
    <w:rsid w:val="005B2A70"/>
    <w:rsid w:val="005B3776"/>
    <w:rsid w:val="005B3947"/>
    <w:rsid w:val="0060472E"/>
    <w:rsid w:val="00642A50"/>
    <w:rsid w:val="0064513D"/>
    <w:rsid w:val="00655A7D"/>
    <w:rsid w:val="006668CF"/>
    <w:rsid w:val="00673CEB"/>
    <w:rsid w:val="0069452A"/>
    <w:rsid w:val="006C6206"/>
    <w:rsid w:val="007016D6"/>
    <w:rsid w:val="00713535"/>
    <w:rsid w:val="0074087B"/>
    <w:rsid w:val="00745180"/>
    <w:rsid w:val="00753D95"/>
    <w:rsid w:val="0075436A"/>
    <w:rsid w:val="00783FBF"/>
    <w:rsid w:val="00793E6F"/>
    <w:rsid w:val="007B34DE"/>
    <w:rsid w:val="008013FF"/>
    <w:rsid w:val="00843C34"/>
    <w:rsid w:val="008450C2"/>
    <w:rsid w:val="00851494"/>
    <w:rsid w:val="00876786"/>
    <w:rsid w:val="008821E9"/>
    <w:rsid w:val="00886242"/>
    <w:rsid w:val="0089784A"/>
    <w:rsid w:val="008A1CC5"/>
    <w:rsid w:val="008A6A87"/>
    <w:rsid w:val="008C4399"/>
    <w:rsid w:val="008D5CBD"/>
    <w:rsid w:val="009033E3"/>
    <w:rsid w:val="00931717"/>
    <w:rsid w:val="009437B5"/>
    <w:rsid w:val="00990665"/>
    <w:rsid w:val="00997301"/>
    <w:rsid w:val="009B3AB8"/>
    <w:rsid w:val="009D1D02"/>
    <w:rsid w:val="009E7995"/>
    <w:rsid w:val="009F4436"/>
    <w:rsid w:val="00A03F11"/>
    <w:rsid w:val="00A35D92"/>
    <w:rsid w:val="00A36117"/>
    <w:rsid w:val="00A3781E"/>
    <w:rsid w:val="00A61503"/>
    <w:rsid w:val="00A84EEA"/>
    <w:rsid w:val="00AA1003"/>
    <w:rsid w:val="00AC27D3"/>
    <w:rsid w:val="00AE28C7"/>
    <w:rsid w:val="00B02264"/>
    <w:rsid w:val="00B02EBC"/>
    <w:rsid w:val="00B042B8"/>
    <w:rsid w:val="00B2504D"/>
    <w:rsid w:val="00B72036"/>
    <w:rsid w:val="00B76861"/>
    <w:rsid w:val="00B90E39"/>
    <w:rsid w:val="00BB3197"/>
    <w:rsid w:val="00BC6DD1"/>
    <w:rsid w:val="00BE499E"/>
    <w:rsid w:val="00C67037"/>
    <w:rsid w:val="00CA30FA"/>
    <w:rsid w:val="00CC3937"/>
    <w:rsid w:val="00CC5B6C"/>
    <w:rsid w:val="00CC5EA2"/>
    <w:rsid w:val="00CD5E75"/>
    <w:rsid w:val="00D06D8F"/>
    <w:rsid w:val="00D227D3"/>
    <w:rsid w:val="00D31FAC"/>
    <w:rsid w:val="00D408D6"/>
    <w:rsid w:val="00D84E37"/>
    <w:rsid w:val="00D87B66"/>
    <w:rsid w:val="00D94A3D"/>
    <w:rsid w:val="00DA3238"/>
    <w:rsid w:val="00DB158F"/>
    <w:rsid w:val="00DE0118"/>
    <w:rsid w:val="00DF150B"/>
    <w:rsid w:val="00DF59D2"/>
    <w:rsid w:val="00E1221B"/>
    <w:rsid w:val="00E5217B"/>
    <w:rsid w:val="00E65865"/>
    <w:rsid w:val="00EA403B"/>
    <w:rsid w:val="00EA7877"/>
    <w:rsid w:val="00EB1764"/>
    <w:rsid w:val="00EC3B48"/>
    <w:rsid w:val="00EC7179"/>
    <w:rsid w:val="00EE7DFF"/>
    <w:rsid w:val="00EF2A06"/>
    <w:rsid w:val="00F02B67"/>
    <w:rsid w:val="00F45E7F"/>
    <w:rsid w:val="00F46388"/>
    <w:rsid w:val="00F56AF1"/>
    <w:rsid w:val="00F642D9"/>
    <w:rsid w:val="00F7225F"/>
    <w:rsid w:val="00F85EC6"/>
    <w:rsid w:val="00FA7728"/>
    <w:rsid w:val="00FB3ACD"/>
    <w:rsid w:val="00FB50B9"/>
    <w:rsid w:val="00FD56E0"/>
    <w:rsid w:val="05EC799C"/>
    <w:rsid w:val="0A8962B3"/>
    <w:rsid w:val="0CBD6B55"/>
    <w:rsid w:val="0D6A6D0E"/>
    <w:rsid w:val="12AF3B29"/>
    <w:rsid w:val="137D32AB"/>
    <w:rsid w:val="16591877"/>
    <w:rsid w:val="1A3366A8"/>
    <w:rsid w:val="1A3F470D"/>
    <w:rsid w:val="1CA02348"/>
    <w:rsid w:val="1D7E04F4"/>
    <w:rsid w:val="1EBF7FB0"/>
    <w:rsid w:val="213C4209"/>
    <w:rsid w:val="21CA04BC"/>
    <w:rsid w:val="22F664C5"/>
    <w:rsid w:val="23A114E3"/>
    <w:rsid w:val="25D97760"/>
    <w:rsid w:val="27906EE8"/>
    <w:rsid w:val="2D4673E2"/>
    <w:rsid w:val="2DA07CD7"/>
    <w:rsid w:val="2F1158A1"/>
    <w:rsid w:val="2FD645D6"/>
    <w:rsid w:val="327C7141"/>
    <w:rsid w:val="385775AE"/>
    <w:rsid w:val="3F95733A"/>
    <w:rsid w:val="3FFB2F15"/>
    <w:rsid w:val="434347EB"/>
    <w:rsid w:val="43E725CC"/>
    <w:rsid w:val="46412598"/>
    <w:rsid w:val="47444AB5"/>
    <w:rsid w:val="480D7C89"/>
    <w:rsid w:val="48EC4F4F"/>
    <w:rsid w:val="492E1B91"/>
    <w:rsid w:val="49BD157A"/>
    <w:rsid w:val="4A083ABF"/>
    <w:rsid w:val="4C963529"/>
    <w:rsid w:val="4F0A10D5"/>
    <w:rsid w:val="4FE43D11"/>
    <w:rsid w:val="51474A6D"/>
    <w:rsid w:val="55A30EBE"/>
    <w:rsid w:val="561E2DF7"/>
    <w:rsid w:val="58924BF0"/>
    <w:rsid w:val="5AB82DD7"/>
    <w:rsid w:val="5B345801"/>
    <w:rsid w:val="5D4D0C02"/>
    <w:rsid w:val="5DC0337C"/>
    <w:rsid w:val="62571DD5"/>
    <w:rsid w:val="625A257A"/>
    <w:rsid w:val="64D4595F"/>
    <w:rsid w:val="64F920B1"/>
    <w:rsid w:val="6579677E"/>
    <w:rsid w:val="67861FD1"/>
    <w:rsid w:val="6C2860DD"/>
    <w:rsid w:val="6CE801F9"/>
    <w:rsid w:val="71263CC4"/>
    <w:rsid w:val="71BC13E6"/>
    <w:rsid w:val="73A04CFA"/>
    <w:rsid w:val="73D509D0"/>
    <w:rsid w:val="75234C96"/>
    <w:rsid w:val="79B617AB"/>
    <w:rsid w:val="7AF20082"/>
    <w:rsid w:val="7B5A2CAD"/>
    <w:rsid w:val="7B705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9"/>
    <w:unhideWhenUsed/>
    <w:qFormat/>
    <w:uiPriority w:val="99"/>
    <w:pPr>
      <w:tabs>
        <w:tab w:val="center" w:pos="4153"/>
        <w:tab w:val="right" w:pos="8306"/>
      </w:tabs>
      <w:snapToGrid w:val="0"/>
      <w:jc w:val="left"/>
    </w:pPr>
    <w:rPr>
      <w:sz w:val="18"/>
      <w:szCs w:val="18"/>
    </w:rPr>
  </w:style>
  <w:style w:type="paragraph" w:styleId="5">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7"/>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annotation reference"/>
    <w:basedOn w:val="10"/>
    <w:semiHidden/>
    <w:unhideWhenUsed/>
    <w:qFormat/>
    <w:uiPriority w:val="99"/>
    <w:rPr>
      <w:sz w:val="21"/>
      <w:szCs w:val="21"/>
    </w:rPr>
  </w:style>
  <w:style w:type="character" w:customStyle="1" w:styleId="13">
    <w:name w:val="apple-converted-space"/>
    <w:basedOn w:val="10"/>
    <w:qFormat/>
    <w:uiPriority w:val="0"/>
  </w:style>
  <w:style w:type="paragraph" w:customStyle="1" w:styleId="14">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5">
    <w:name w:val="批注框文本 字符"/>
    <w:basedOn w:val="10"/>
    <w:link w:val="3"/>
    <w:semiHidden/>
    <w:qFormat/>
    <w:uiPriority w:val="99"/>
    <w:rPr>
      <w:sz w:val="18"/>
      <w:szCs w:val="18"/>
    </w:rPr>
  </w:style>
  <w:style w:type="character" w:customStyle="1" w:styleId="16">
    <w:name w:val="批注文字 字符"/>
    <w:basedOn w:val="10"/>
    <w:link w:val="2"/>
    <w:semiHidden/>
    <w:qFormat/>
    <w:uiPriority w:val="99"/>
  </w:style>
  <w:style w:type="character" w:customStyle="1" w:styleId="17">
    <w:name w:val="批注主题 字符"/>
    <w:basedOn w:val="16"/>
    <w:link w:val="7"/>
    <w:semiHidden/>
    <w:qFormat/>
    <w:uiPriority w:val="99"/>
    <w:rPr>
      <w:b/>
      <w:bCs/>
    </w:rPr>
  </w:style>
  <w:style w:type="character" w:customStyle="1" w:styleId="18">
    <w:name w:val="页眉 字符"/>
    <w:basedOn w:val="10"/>
    <w:link w:val="5"/>
    <w:qFormat/>
    <w:uiPriority w:val="99"/>
    <w:rPr>
      <w:sz w:val="18"/>
      <w:szCs w:val="18"/>
    </w:rPr>
  </w:style>
  <w:style w:type="character" w:customStyle="1" w:styleId="19">
    <w:name w:val="页脚 字符"/>
    <w:basedOn w:val="10"/>
    <w:link w:val="4"/>
    <w:qFormat/>
    <w:uiPriority w:val="99"/>
    <w:rPr>
      <w:sz w:val="18"/>
      <w:szCs w:val="18"/>
    </w:rPr>
  </w:style>
  <w:style w:type="paragraph" w:customStyle="1" w:styleId="20">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1">
    <w:name w:val="fs1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2">
    <w:name w:val="修订3"/>
    <w:hidden/>
    <w:semiHidden/>
    <w:uiPriority w:val="99"/>
    <w:rPr>
      <w:rFonts w:asciiTheme="minorHAnsi" w:hAnsiTheme="minorHAnsi" w:eastAsiaTheme="minorEastAsia" w:cstheme="minorBidi"/>
      <w:kern w:val="2"/>
      <w:sz w:val="21"/>
      <w:szCs w:val="22"/>
      <w:lang w:val="en-US" w:eastAsia="zh-CN" w:bidi="ar-SA"/>
    </w:rPr>
  </w:style>
  <w:style w:type="paragraph" w:styleId="23">
    <w:name w:val="List Paragraph"/>
    <w:basedOn w:val="1"/>
    <w:qFormat/>
    <w:uiPriority w:val="99"/>
    <w:pPr>
      <w:ind w:firstLine="420" w:firstLineChars="200"/>
    </w:pPr>
  </w:style>
  <w:style w:type="paragraph" w:customStyle="1" w:styleId="24">
    <w:name w:val="修订4"/>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5">
    <w:name w:val="修订5"/>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8215</Words>
  <Characters>8595</Characters>
  <Lines>239</Lines>
  <Paragraphs>141</Paragraphs>
  <TotalTime>17</TotalTime>
  <ScaleCrop>false</ScaleCrop>
  <LinksUpToDate>false</LinksUpToDate>
  <CharactersWithSpaces>8730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2023-07-10T19:09:00Z</dcterms:created>
  <dc:creator>刘紫薇</dc:creator>
  <cp:lastModifiedBy>朱玉火律师</cp:lastModifiedBy>
  <dcterms:modified xsi:type="dcterms:W3CDTF">2025-07-21T08:59:22Z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A58D1A34CBCD401A815608F20488B014</vt:lpwstr>
  </property>
  <property fmtid="{D5CDD505-2E9C-101B-9397-08002B2CF9AE}" pid="4" name="KSOTemplateDocerSaveRecord">
    <vt:lpwstr>eyJoZGlkIjoiNzBlNGZjOTViNTFmZjA2NjgzN2QwYTYxMDYxNDdhNGMiLCJ1c2VySWQiOiI0MjMyOTExOTkifQ==</vt:lpwstr>
  </property>
</Properties>
</file>