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48683">
      <w:pPr>
        <w:keepNext w:val="0"/>
        <w:keepLines w:val="0"/>
        <w:pageBreakBefore w:val="0"/>
        <w:widowControl/>
        <w:numPr>
          <w:ilvl w:val="-1"/>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黑体" w:hAnsi="黑体" w:eastAsia="黑体" w:cs="黑体"/>
          <w:b w:val="0"/>
          <w:bCs w:val="0"/>
          <w:sz w:val="36"/>
          <w:szCs w:val="36"/>
        </w:rPr>
        <w:t>申报债权通知书</w:t>
      </w:r>
    </w:p>
    <w:p w14:paraId="4CD0675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4"/>
          <w:szCs w:val="24"/>
        </w:rPr>
      </w:pPr>
      <w:r>
        <w:rPr>
          <w:rFonts w:hint="eastAsia" w:ascii="仿宋" w:hAnsi="仿宋" w:eastAsia="仿宋" w:cs="仿宋"/>
          <w:color w:val="000000" w:themeColor="text1"/>
          <w:kern w:val="0"/>
          <w:sz w:val="24"/>
          <w:szCs w:val="24"/>
          <w14:textFill>
            <w14:solidFill>
              <w14:schemeClr w14:val="tx1"/>
            </w14:solidFill>
          </w14:textFill>
        </w:rPr>
        <w:t>（202</w:t>
      </w: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）顺通破管字第</w:t>
      </w: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sz w:val="24"/>
          <w:szCs w:val="24"/>
        </w:rPr>
        <w:t>号</w:t>
      </w:r>
    </w:p>
    <w:p w14:paraId="38B6E6C4">
      <w:pPr>
        <w:keepNext w:val="0"/>
        <w:keepLines w:val="0"/>
        <w:pageBreakBefore w:val="0"/>
        <w:widowControl w:val="0"/>
        <w:kinsoku/>
        <w:wordWrap w:val="0"/>
        <w:overflowPunct/>
        <w:topLinePunct w:val="0"/>
        <w:autoSpaceDE/>
        <w:autoSpaceDN/>
        <w:bidi w:val="0"/>
        <w:adjustRightInd/>
        <w:snapToGrid/>
        <w:spacing w:before="313" w:beforeLines="100" w:line="500" w:lineRule="exac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广州市顺通快递物流有限公司各债权人</w:t>
      </w:r>
      <w:r>
        <w:rPr>
          <w:rFonts w:hint="eastAsia" w:ascii="仿宋" w:hAnsi="仿宋" w:eastAsia="仿宋" w:cs="仿宋"/>
          <w:sz w:val="28"/>
          <w:szCs w:val="28"/>
        </w:rPr>
        <w:t>：</w:t>
      </w:r>
    </w:p>
    <w:p w14:paraId="0932B410">
      <w:pPr>
        <w:widowControl/>
        <w:spacing w:beforeLines="0" w:line="500" w:lineRule="exact"/>
        <w:ind w:firstLine="560" w:firstLineChars="200"/>
        <w:rPr>
          <w:rFonts w:hint="eastAsia" w:ascii="仿宋" w:hAnsi="仿宋" w:eastAsia="仿宋" w:cs="仿宋"/>
          <w:color w:val="000000"/>
          <w:sz w:val="28"/>
          <w:szCs w:val="28"/>
          <w:highlight w:val="none"/>
          <w:lang w:val="en-US" w:eastAsia="zh-CN" w:bidi="ar"/>
        </w:rPr>
      </w:pPr>
      <w:r>
        <w:rPr>
          <w:rFonts w:hint="eastAsia" w:ascii="仿宋" w:hAnsi="仿宋" w:eastAsia="仿宋" w:cs="仿宋"/>
          <w:color w:val="000000"/>
          <w:sz w:val="28"/>
          <w:szCs w:val="28"/>
          <w:highlight w:val="none"/>
          <w:lang w:val="en-US" w:eastAsia="zh-CN" w:bidi="ar"/>
        </w:rPr>
        <w:t>广州市花都区人民法院于2025年7月2日依法作出（2025）粤0114破申3号《民事裁定书》，裁定受理纪晓朋对广州市顺通快递物流有限公司的破产清算申请，并于2025年7月10日作出（2025）粤0114破1-1号《指定管理人决定书》，指定广东东方昆仑律师事务所担任广州市顺通快递物流有限公司管理人，负责人为余关宝。</w:t>
      </w:r>
    </w:p>
    <w:p w14:paraId="477EF5D9">
      <w:pPr>
        <w:keepNext w:val="0"/>
        <w:keepLines w:val="0"/>
        <w:pageBreakBefore w:val="0"/>
        <w:widowControl w:val="0"/>
        <w:kinsoku/>
        <w:overflowPunct/>
        <w:topLinePunct w:val="0"/>
        <w:autoSpaceDE/>
        <w:autoSpaceDN/>
        <w:bidi w:val="0"/>
        <w:adjustRightInd/>
        <w:snapToGrid/>
        <w:spacing w:line="50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lang w:eastAsia="zh-CN"/>
        </w:rPr>
        <w:t>管理人</w:t>
      </w:r>
      <w:r>
        <w:rPr>
          <w:rFonts w:hint="eastAsia" w:ascii="仿宋" w:hAnsi="仿宋" w:eastAsia="仿宋" w:cs="仿宋"/>
          <w:sz w:val="28"/>
          <w:szCs w:val="28"/>
        </w:rPr>
        <w:t>依法负责</w:t>
      </w:r>
      <w:r>
        <w:rPr>
          <w:rFonts w:hint="eastAsia" w:ascii="仿宋" w:hAnsi="仿宋" w:eastAsia="仿宋" w:cs="仿宋"/>
          <w:sz w:val="28"/>
          <w:szCs w:val="28"/>
          <w:lang w:eastAsia="zh-CN"/>
        </w:rPr>
        <w:t>广州市顺通快递物流有限公司</w:t>
      </w:r>
      <w:r>
        <w:rPr>
          <w:rFonts w:hint="eastAsia" w:ascii="仿宋" w:hAnsi="仿宋" w:eastAsia="仿宋" w:cs="仿宋"/>
          <w:sz w:val="28"/>
          <w:szCs w:val="28"/>
        </w:rPr>
        <w:t>债权登记、审核等清算工作，现将有关事宜通知如下：</w:t>
      </w:r>
    </w:p>
    <w:p w14:paraId="2F3A99CC">
      <w:pPr>
        <w:keepNext w:val="0"/>
        <w:keepLines w:val="0"/>
        <w:pageBreakBefore w:val="0"/>
        <w:widowControl w:val="0"/>
        <w:kinsoku/>
        <w:overflowPunct/>
        <w:topLinePunct w:val="0"/>
        <w:autoSpaceDE/>
        <w:autoSpaceDN/>
        <w:bidi w:val="0"/>
        <w:adjustRightInd/>
        <w:snapToGrid/>
        <w:spacing w:line="500" w:lineRule="exact"/>
        <w:ind w:firstLine="480"/>
        <w:textAlignment w:val="auto"/>
        <w:rPr>
          <w:rFonts w:hint="eastAsia" w:ascii="仿宋" w:hAnsi="仿宋" w:eastAsia="仿宋" w:cs="仿宋"/>
          <w:sz w:val="28"/>
          <w:szCs w:val="28"/>
        </w:rPr>
      </w:pPr>
      <w:r>
        <w:rPr>
          <w:rFonts w:hint="eastAsia" w:ascii="仿宋" w:hAnsi="仿宋" w:eastAsia="仿宋" w:cs="仿宋"/>
          <w:b/>
          <w:bCs/>
          <w:color w:val="000000" w:themeColor="text1"/>
          <w:sz w:val="28"/>
          <w:szCs w:val="28"/>
          <w:lang w:val="en-US" w:eastAsia="zh-CN"/>
          <w14:textFill>
            <w14:solidFill>
              <w14:schemeClr w14:val="tx1"/>
            </w14:solidFill>
          </w14:textFill>
        </w:rPr>
        <w:t>一、</w:t>
      </w:r>
      <w:r>
        <w:rPr>
          <w:rFonts w:hint="eastAsia" w:ascii="仿宋" w:hAnsi="仿宋" w:eastAsia="仿宋" w:cs="仿宋"/>
          <w:color w:val="000000"/>
          <w:sz w:val="28"/>
          <w:szCs w:val="28"/>
          <w:lang w:bidi="ar"/>
        </w:rPr>
        <w:t>债权人应在</w:t>
      </w:r>
      <w:r>
        <w:rPr>
          <w:rFonts w:hint="eastAsia" w:ascii="仿宋" w:hAnsi="仿宋" w:eastAsia="仿宋" w:cs="仿宋"/>
          <w:b/>
          <w:bCs/>
          <w:color w:val="000000"/>
          <w:sz w:val="28"/>
          <w:szCs w:val="28"/>
          <w:u w:val="single"/>
          <w:lang w:val="en-US" w:eastAsia="zh-CN" w:bidi="ar"/>
        </w:rPr>
        <w:t>2025年8月17日</w:t>
      </w:r>
      <w:r>
        <w:rPr>
          <w:rFonts w:hint="eastAsia" w:ascii="仿宋" w:hAnsi="仿宋" w:eastAsia="仿宋" w:cs="仿宋"/>
          <w:b/>
          <w:bCs/>
          <w:color w:val="000000"/>
          <w:sz w:val="28"/>
          <w:szCs w:val="28"/>
          <w:lang w:bidi="ar"/>
        </w:rPr>
        <w:t>前</w:t>
      </w:r>
      <w:r>
        <w:rPr>
          <w:rFonts w:hint="eastAsia" w:ascii="仿宋" w:hAnsi="仿宋" w:eastAsia="仿宋" w:cs="仿宋"/>
          <w:color w:val="000000"/>
          <w:sz w:val="28"/>
          <w:szCs w:val="28"/>
          <w:lang w:bidi="ar"/>
        </w:rPr>
        <w:t>向管理人</w:t>
      </w:r>
      <w:r>
        <w:rPr>
          <w:rFonts w:hint="eastAsia" w:ascii="仿宋" w:hAnsi="仿宋" w:eastAsia="仿宋" w:cs="仿宋"/>
          <w:color w:val="000000"/>
          <w:sz w:val="28"/>
          <w:szCs w:val="28"/>
          <w:lang w:val="en-US" w:eastAsia="zh-CN" w:bidi="ar"/>
        </w:rPr>
        <w:t>申报债权。</w:t>
      </w:r>
      <w:r>
        <w:rPr>
          <w:rFonts w:hint="eastAsia" w:ascii="仿宋" w:hAnsi="仿宋" w:eastAsia="仿宋" w:cs="仿宋"/>
          <w:sz w:val="28"/>
          <w:szCs w:val="28"/>
        </w:rPr>
        <w:t>未在上述期限内申报债权的，</w:t>
      </w:r>
      <w:r>
        <w:rPr>
          <w:rFonts w:hint="eastAsia" w:ascii="仿宋" w:hAnsi="仿宋" w:eastAsia="仿宋" w:cs="仿宋"/>
          <w:color w:val="000000"/>
          <w:sz w:val="28"/>
          <w:szCs w:val="28"/>
          <w:lang w:bidi="ar"/>
        </w:rPr>
        <w:t>可以在破产财产分配方案提交债权人会议讨论前补充申报</w:t>
      </w:r>
      <w:r>
        <w:rPr>
          <w:rFonts w:hint="eastAsia" w:ascii="仿宋" w:hAnsi="仿宋" w:eastAsia="仿宋" w:cs="仿宋"/>
          <w:sz w:val="28"/>
          <w:szCs w:val="28"/>
        </w:rPr>
        <w:t>，但对此前已进行的分配无权要求补充分配，同时要承担为审查和确认补充申报债权所产生的费用。未申报债权的，不得依照《中华人民共和国</w:t>
      </w:r>
      <w:r>
        <w:rPr>
          <w:rFonts w:hint="eastAsia" w:ascii="仿宋" w:hAnsi="仿宋" w:eastAsia="仿宋" w:cs="仿宋"/>
          <w:sz w:val="28"/>
          <w:szCs w:val="28"/>
          <w:lang w:val="en-US" w:eastAsia="zh-CN"/>
        </w:rPr>
        <w:t>企业破产</w:t>
      </w:r>
      <w:r>
        <w:rPr>
          <w:rFonts w:hint="eastAsia" w:ascii="仿宋" w:hAnsi="仿宋" w:eastAsia="仿宋" w:cs="仿宋"/>
          <w:sz w:val="28"/>
          <w:szCs w:val="28"/>
        </w:rPr>
        <w:t>法》规定的程序行使权利。</w:t>
      </w:r>
    </w:p>
    <w:p w14:paraId="532E793B">
      <w:pPr>
        <w:keepNext w:val="0"/>
        <w:keepLines w:val="0"/>
        <w:pageBreakBefore w:val="0"/>
        <w:widowControl w:val="0"/>
        <w:numPr>
          <w:ilvl w:val="-1"/>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根据《</w:t>
      </w:r>
      <w:r>
        <w:rPr>
          <w:rFonts w:hint="eastAsia" w:ascii="仿宋" w:hAnsi="仿宋" w:eastAsia="仿宋" w:cs="仿宋"/>
          <w:sz w:val="28"/>
          <w:szCs w:val="28"/>
        </w:rPr>
        <w:t>广州市破产管理人协会关于补充申报债权收取审核费用的指引（试行）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第七条规定，</w:t>
      </w:r>
      <w:r>
        <w:rPr>
          <w:rFonts w:hint="eastAsia" w:ascii="仿宋" w:hAnsi="仿宋" w:eastAsia="仿宋" w:cs="仿宋"/>
          <w:sz w:val="28"/>
          <w:szCs w:val="28"/>
        </w:rPr>
        <w:t>为审查和确认补充申报债权的费用由</w:t>
      </w:r>
      <w:r>
        <w:rPr>
          <w:rFonts w:hint="eastAsia" w:ascii="仿宋" w:hAnsi="仿宋" w:eastAsia="仿宋" w:cs="仿宋"/>
          <w:sz w:val="28"/>
          <w:szCs w:val="28"/>
          <w:lang w:val="en-US" w:eastAsia="zh-CN"/>
        </w:rPr>
        <w:t>清算组</w:t>
      </w:r>
      <w:r>
        <w:rPr>
          <w:rFonts w:hint="eastAsia" w:ascii="仿宋" w:hAnsi="仿宋" w:eastAsia="仿宋" w:cs="仿宋"/>
          <w:sz w:val="28"/>
          <w:szCs w:val="28"/>
        </w:rPr>
        <w:t>参照人民法院的《诉讼费用交纳办法》规定的财产类案件诉讼费标准减半收取。具体如下：</w:t>
      </w:r>
    </w:p>
    <w:p w14:paraId="33412751">
      <w:pPr>
        <w:keepNext w:val="0"/>
        <w:keepLines w:val="0"/>
        <w:pageBreakBefore w:val="0"/>
        <w:widowControl w:val="0"/>
        <w:numPr>
          <w:ilvl w:val="-1"/>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（一）不满 10000 元的，每件25元；</w:t>
      </w:r>
    </w:p>
    <w:p w14:paraId="1341FC8A">
      <w:pPr>
        <w:keepNext w:val="0"/>
        <w:keepLines w:val="0"/>
        <w:pageBreakBefore w:val="0"/>
        <w:widowControl w:val="0"/>
        <w:numPr>
          <w:ilvl w:val="-1"/>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（二）超过 1 万元至 10 万元的部分，按 1.25%；</w:t>
      </w:r>
    </w:p>
    <w:p w14:paraId="31814440">
      <w:pPr>
        <w:keepNext w:val="0"/>
        <w:keepLines w:val="0"/>
        <w:pageBreakBefore w:val="0"/>
        <w:widowControl w:val="0"/>
        <w:numPr>
          <w:ilvl w:val="-1"/>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（三）超过 10 万元至 20 万元的部分，按 1.0%；</w:t>
      </w:r>
    </w:p>
    <w:p w14:paraId="79E0CB40">
      <w:pPr>
        <w:keepNext w:val="0"/>
        <w:keepLines w:val="0"/>
        <w:pageBreakBefore w:val="0"/>
        <w:widowControl w:val="0"/>
        <w:numPr>
          <w:ilvl w:val="-1"/>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（四）超过 20 万元至 50 万元的部分，按 0.75%；</w:t>
      </w:r>
    </w:p>
    <w:p w14:paraId="41F75240">
      <w:pPr>
        <w:keepNext w:val="0"/>
        <w:keepLines w:val="0"/>
        <w:pageBreakBefore w:val="0"/>
        <w:widowControl w:val="0"/>
        <w:numPr>
          <w:ilvl w:val="-1"/>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（五）超过 50 万元至 100 万元的部分，按 0.5%；</w:t>
      </w:r>
    </w:p>
    <w:p w14:paraId="37F1FA47">
      <w:pPr>
        <w:keepNext w:val="0"/>
        <w:keepLines w:val="0"/>
        <w:pageBreakBefore w:val="0"/>
        <w:widowControl w:val="0"/>
        <w:numPr>
          <w:ilvl w:val="-1"/>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（六）超过 100 万元至 200 万元的部分，按 0.45%；</w:t>
      </w:r>
    </w:p>
    <w:p w14:paraId="6BEBE6BF">
      <w:pPr>
        <w:keepNext w:val="0"/>
        <w:keepLines w:val="0"/>
        <w:pageBreakBefore w:val="0"/>
        <w:widowControl w:val="0"/>
        <w:numPr>
          <w:ilvl w:val="-1"/>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（七）超过 200 万元至 500 万元的部分，按 0.4%；</w:t>
      </w:r>
    </w:p>
    <w:p w14:paraId="06A0732B">
      <w:pPr>
        <w:keepNext w:val="0"/>
        <w:keepLines w:val="0"/>
        <w:pageBreakBefore w:val="0"/>
        <w:widowControl w:val="0"/>
        <w:numPr>
          <w:ilvl w:val="-1"/>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（八）超过 500 万元至 1000 万元的部分，按 0.35%；</w:t>
      </w:r>
    </w:p>
    <w:p w14:paraId="521169E6">
      <w:pPr>
        <w:keepNext w:val="0"/>
        <w:keepLines w:val="0"/>
        <w:pageBreakBefore w:val="0"/>
        <w:widowControl w:val="0"/>
        <w:numPr>
          <w:ilvl w:val="-1"/>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（九）超过 1000 万元至 2000 万元的部分，按 0.3%；</w:t>
      </w:r>
    </w:p>
    <w:p w14:paraId="19FD97AF">
      <w:pPr>
        <w:keepNext w:val="0"/>
        <w:keepLines w:val="0"/>
        <w:pageBreakBefore w:val="0"/>
        <w:widowControl w:val="0"/>
        <w:numPr>
          <w:ilvl w:val="-1"/>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（十）超过 2000 万元的部分，按 0.25%。</w:t>
      </w:r>
    </w:p>
    <w:p w14:paraId="50CAD255">
      <w:pPr>
        <w:keepNext w:val="0"/>
        <w:keepLines w:val="0"/>
        <w:pageBreakBefore w:val="0"/>
        <w:widowControl w:val="0"/>
        <w:numPr>
          <w:ilvl w:val="0"/>
          <w:numId w:val="0"/>
        </w:numPr>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补充申报人每笔债权申报缴纳的补充申报费用超过五万元的，以五万元为限，但综合审查确认难易程度、逾期时间、逾期申报对于</w:t>
      </w:r>
      <w:r>
        <w:rPr>
          <w:rFonts w:hint="eastAsia" w:ascii="仿宋" w:hAnsi="仿宋" w:eastAsia="仿宋" w:cs="仿宋"/>
          <w:sz w:val="28"/>
          <w:szCs w:val="28"/>
          <w:lang w:val="en-US" w:eastAsia="zh-CN"/>
        </w:rPr>
        <w:t>清算</w:t>
      </w:r>
      <w:r>
        <w:rPr>
          <w:rFonts w:hint="eastAsia" w:ascii="仿宋" w:hAnsi="仿宋" w:eastAsia="仿宋" w:cs="仿宋"/>
          <w:sz w:val="28"/>
          <w:szCs w:val="28"/>
        </w:rPr>
        <w:t>工作的影响等因素，可以在五万元以上适当增加费用。</w:t>
      </w:r>
    </w:p>
    <w:p w14:paraId="06F3B72C">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lang w:eastAsia="zh-CN" w:bidi="ar"/>
        </w:rPr>
      </w:pPr>
      <w:r>
        <w:rPr>
          <w:rFonts w:hint="eastAsia" w:ascii="仿宋" w:hAnsi="仿宋" w:eastAsia="仿宋" w:cs="仿宋"/>
          <w:color w:val="000000"/>
          <w:sz w:val="28"/>
          <w:szCs w:val="28"/>
          <w:lang w:val="en-US" w:eastAsia="zh-CN" w:bidi="ar"/>
        </w:rPr>
        <w:t>二、债权申报方式：申报材料可</w:t>
      </w:r>
      <w:r>
        <w:rPr>
          <w:rFonts w:hint="eastAsia" w:ascii="仿宋" w:hAnsi="仿宋" w:eastAsia="仿宋"/>
          <w:sz w:val="28"/>
          <w:szCs w:val="28"/>
          <w:lang w:val="en-US" w:eastAsia="zh-CN"/>
        </w:rPr>
        <w:t>现场提交管理人或邮寄至管理人处。</w:t>
      </w:r>
      <w:r>
        <w:rPr>
          <w:rFonts w:hint="eastAsia" w:ascii="仿宋" w:hAnsi="仿宋" w:eastAsia="仿宋"/>
          <w:b/>
          <w:bCs/>
          <w:sz w:val="28"/>
          <w:szCs w:val="28"/>
          <w:lang w:val="en-US" w:eastAsia="zh-CN"/>
        </w:rPr>
        <w:t>管理人</w:t>
      </w:r>
      <w:r>
        <w:rPr>
          <w:rFonts w:hint="eastAsia" w:ascii="仿宋" w:hAnsi="仿宋" w:eastAsia="仿宋" w:cs="仿宋"/>
          <w:b/>
          <w:bCs/>
          <w:color w:val="000000"/>
          <w:sz w:val="28"/>
          <w:szCs w:val="28"/>
          <w:lang w:bidi="ar"/>
        </w:rPr>
        <w:t>通信</w:t>
      </w:r>
      <w:r>
        <w:rPr>
          <w:rFonts w:hint="eastAsia" w:ascii="仿宋" w:hAnsi="仿宋" w:eastAsia="仿宋" w:cs="仿宋"/>
          <w:b/>
          <w:bCs/>
          <w:color w:val="000000"/>
          <w:sz w:val="28"/>
          <w:szCs w:val="28"/>
          <w:lang w:eastAsia="zh-CN" w:bidi="ar"/>
        </w:rPr>
        <w:t>（</w:t>
      </w:r>
      <w:r>
        <w:rPr>
          <w:rFonts w:hint="eastAsia" w:ascii="仿宋" w:hAnsi="仿宋" w:eastAsia="仿宋" w:cs="仿宋"/>
          <w:b/>
          <w:bCs/>
          <w:color w:val="000000"/>
          <w:sz w:val="28"/>
          <w:szCs w:val="28"/>
          <w:lang w:val="en-US" w:eastAsia="zh-CN" w:bidi="ar"/>
        </w:rPr>
        <w:t>邮寄</w:t>
      </w:r>
      <w:r>
        <w:rPr>
          <w:rFonts w:hint="eastAsia" w:ascii="仿宋" w:hAnsi="仿宋" w:eastAsia="仿宋" w:cs="仿宋"/>
          <w:b/>
          <w:bCs/>
          <w:color w:val="000000"/>
          <w:sz w:val="28"/>
          <w:szCs w:val="28"/>
          <w:lang w:eastAsia="zh-CN" w:bidi="ar"/>
        </w:rPr>
        <w:t>）</w:t>
      </w:r>
      <w:r>
        <w:rPr>
          <w:rFonts w:hint="eastAsia" w:ascii="仿宋" w:hAnsi="仿宋" w:eastAsia="仿宋" w:cs="仿宋"/>
          <w:b/>
          <w:bCs/>
          <w:color w:val="000000"/>
          <w:sz w:val="28"/>
          <w:szCs w:val="28"/>
          <w:lang w:bidi="ar"/>
        </w:rPr>
        <w:t>地址:广州市</w:t>
      </w:r>
      <w:r>
        <w:rPr>
          <w:rFonts w:hint="eastAsia" w:ascii="仿宋" w:hAnsi="仿宋" w:eastAsia="仿宋" w:cs="仿宋"/>
          <w:b/>
          <w:bCs/>
          <w:color w:val="000000"/>
          <w:sz w:val="28"/>
          <w:szCs w:val="28"/>
          <w:lang w:val="en-US" w:eastAsia="zh-CN" w:bidi="ar"/>
        </w:rPr>
        <w:t>天河区</w:t>
      </w:r>
      <w:r>
        <w:rPr>
          <w:rFonts w:hint="eastAsia" w:ascii="仿宋" w:hAnsi="仿宋" w:eastAsia="仿宋" w:cs="仿宋"/>
          <w:b/>
          <w:bCs/>
          <w:color w:val="000000"/>
          <w:sz w:val="28"/>
          <w:szCs w:val="28"/>
          <w:lang w:bidi="ar"/>
        </w:rPr>
        <w:t>天河北路189号中国市长大厦</w:t>
      </w:r>
      <w:r>
        <w:rPr>
          <w:rFonts w:hint="eastAsia" w:ascii="仿宋" w:hAnsi="仿宋" w:eastAsia="仿宋" w:cs="仿宋"/>
          <w:b/>
          <w:bCs/>
          <w:color w:val="000000"/>
          <w:sz w:val="28"/>
          <w:szCs w:val="28"/>
          <w:lang w:val="en-US" w:eastAsia="zh-CN" w:bidi="ar"/>
        </w:rPr>
        <w:t>19</w:t>
      </w:r>
      <w:r>
        <w:rPr>
          <w:rFonts w:hint="eastAsia" w:ascii="仿宋" w:hAnsi="仿宋" w:eastAsia="仿宋" w:cs="仿宋"/>
          <w:b/>
          <w:bCs/>
          <w:color w:val="000000"/>
          <w:sz w:val="28"/>
          <w:szCs w:val="28"/>
          <w:lang w:bidi="ar"/>
        </w:rPr>
        <w:t>层，广东东方昆仑律师事务所；联系人：</w:t>
      </w:r>
      <w:r>
        <w:rPr>
          <w:rFonts w:hint="eastAsia" w:ascii="仿宋" w:hAnsi="仿宋" w:eastAsia="仿宋" w:cs="仿宋"/>
          <w:b/>
          <w:bCs/>
          <w:color w:val="000000"/>
          <w:sz w:val="28"/>
          <w:szCs w:val="28"/>
          <w:lang w:val="en-US" w:eastAsia="zh-CN" w:bidi="ar"/>
        </w:rPr>
        <w:t>石律师</w:t>
      </w:r>
      <w:r>
        <w:rPr>
          <w:rFonts w:hint="eastAsia" w:ascii="仿宋" w:hAnsi="仿宋" w:eastAsia="仿宋" w:cs="仿宋"/>
          <w:b/>
          <w:bCs/>
          <w:color w:val="000000"/>
          <w:sz w:val="28"/>
          <w:szCs w:val="28"/>
          <w:lang w:bidi="ar"/>
        </w:rPr>
        <w:t>；联系电话：</w:t>
      </w:r>
      <w:r>
        <w:rPr>
          <w:rFonts w:hint="eastAsia" w:ascii="仿宋" w:hAnsi="仿宋" w:eastAsia="仿宋" w:cs="仿宋"/>
          <w:b/>
          <w:bCs/>
          <w:color w:val="000000"/>
          <w:sz w:val="28"/>
          <w:szCs w:val="28"/>
          <w:lang w:val="en-US" w:eastAsia="zh-CN" w:bidi="ar"/>
        </w:rPr>
        <w:t>18026276204（不接受到付）</w:t>
      </w:r>
      <w:r>
        <w:rPr>
          <w:rFonts w:hint="eastAsia" w:ascii="仿宋" w:hAnsi="仿宋" w:eastAsia="仿宋" w:cs="仿宋"/>
          <w:b/>
          <w:bCs/>
          <w:color w:val="000000"/>
          <w:sz w:val="28"/>
          <w:szCs w:val="28"/>
          <w:lang w:eastAsia="zh-CN" w:bidi="ar"/>
        </w:rPr>
        <w:t>。</w:t>
      </w:r>
    </w:p>
    <w:p w14:paraId="48A9A6E3">
      <w:pPr>
        <w:keepNext w:val="0"/>
        <w:keepLines w:val="0"/>
        <w:pageBreakBefore w:val="0"/>
        <w:widowControl w:val="0"/>
        <w:kinsoku/>
        <w:overflowPunct/>
        <w:topLinePunct w:val="0"/>
        <w:autoSpaceDE/>
        <w:autoSpaceDN/>
        <w:bidi w:val="0"/>
        <w:adjustRightInd/>
        <w:snapToGrid/>
        <w:spacing w:line="500" w:lineRule="exact"/>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申报债权时应提交以下材料</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请扫描二维码获取电子版文件，并按要求进行填写</w:t>
      </w:r>
      <w:r>
        <w:rPr>
          <w:rFonts w:hint="eastAsia" w:ascii="仿宋" w:hAnsi="仿宋" w:eastAsia="仿宋" w:cs="仿宋"/>
          <w:b/>
          <w:bCs/>
          <w:sz w:val="28"/>
          <w:szCs w:val="28"/>
        </w:rPr>
        <w:t>）：</w:t>
      </w:r>
    </w:p>
    <w:p w14:paraId="0BDC9827">
      <w:pPr>
        <w:keepNext w:val="0"/>
        <w:keepLines w:val="0"/>
        <w:pageBreakBefore w:val="0"/>
        <w:widowControl w:val="0"/>
        <w:kinsoku/>
        <w:overflowPunct/>
        <w:topLinePunct w:val="0"/>
        <w:autoSpaceDE/>
        <w:autoSpaceDN/>
        <w:bidi w:val="0"/>
        <w:adjustRightInd/>
        <w:snapToGrid/>
        <w:spacing w:line="50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b w:val="0"/>
          <w:bCs w:val="0"/>
          <w:sz w:val="28"/>
          <w:szCs w:val="28"/>
          <w:lang w:val="en-US" w:eastAsia="zh-CN"/>
        </w:rPr>
        <w:t>主体材料</w:t>
      </w:r>
      <w:r>
        <w:rPr>
          <w:rFonts w:hint="eastAsia" w:ascii="仿宋" w:hAnsi="仿宋" w:eastAsia="仿宋" w:cs="仿宋"/>
          <w:sz w:val="28"/>
          <w:szCs w:val="28"/>
          <w:lang w:val="en-US" w:eastAsia="zh-CN"/>
        </w:rPr>
        <w:t>：</w:t>
      </w:r>
    </w:p>
    <w:p w14:paraId="11C60284">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债权人</w:t>
      </w:r>
      <w:r>
        <w:rPr>
          <w:rFonts w:hint="eastAsia" w:ascii="仿宋" w:hAnsi="仿宋" w:eastAsia="仿宋" w:cs="仿宋"/>
          <w:sz w:val="28"/>
          <w:szCs w:val="28"/>
          <w:lang w:val="en-US" w:eastAsia="zh-CN"/>
        </w:rPr>
        <w:t>为法人及其他组织的：需提供</w:t>
      </w:r>
      <w:r>
        <w:rPr>
          <w:rFonts w:hint="eastAsia" w:ascii="仿宋" w:hAnsi="仿宋" w:eastAsia="仿宋" w:cs="仿宋"/>
          <w:sz w:val="28"/>
          <w:szCs w:val="28"/>
        </w:rPr>
        <w:t>营业执照(副本)复印件、法定代表人或负责人身份证明书原件和身份证</w:t>
      </w:r>
      <w:r>
        <w:rPr>
          <w:rFonts w:hint="eastAsia" w:ascii="仿宋" w:hAnsi="仿宋" w:eastAsia="仿宋" w:cs="仿宋"/>
          <w:sz w:val="28"/>
          <w:szCs w:val="28"/>
          <w:lang w:val="en-US" w:eastAsia="zh-CN"/>
        </w:rPr>
        <w:t>正反面</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上述材料均需加盖单位公章</w:t>
      </w:r>
      <w:r>
        <w:rPr>
          <w:rFonts w:hint="eastAsia" w:ascii="仿宋" w:hAnsi="仿宋" w:eastAsia="仿宋" w:cs="仿宋"/>
          <w:sz w:val="28"/>
          <w:szCs w:val="28"/>
        </w:rPr>
        <w:t>；债权人</w:t>
      </w:r>
      <w:r>
        <w:rPr>
          <w:rFonts w:hint="eastAsia" w:ascii="仿宋" w:hAnsi="仿宋" w:eastAsia="仿宋" w:cs="仿宋"/>
          <w:sz w:val="28"/>
          <w:szCs w:val="28"/>
          <w:lang w:val="en-US" w:eastAsia="zh-CN"/>
        </w:rPr>
        <w:t>为自然人的：需提供身份证正反面复印件。</w:t>
      </w:r>
    </w:p>
    <w:p w14:paraId="555F1E96">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债权人委托他人代为申报的，应提供债权人的授权委托书及代理申报人的身份证</w:t>
      </w:r>
      <w:r>
        <w:rPr>
          <w:rFonts w:hint="eastAsia" w:ascii="仿宋" w:hAnsi="仿宋" w:eastAsia="仿宋" w:cs="仿宋"/>
          <w:sz w:val="28"/>
          <w:szCs w:val="28"/>
          <w:lang w:val="en-US" w:eastAsia="zh-CN"/>
        </w:rPr>
        <w:t>正反面</w:t>
      </w:r>
      <w:r>
        <w:rPr>
          <w:rFonts w:hint="eastAsia" w:ascii="仿宋" w:hAnsi="仿宋" w:eastAsia="仿宋" w:cs="仿宋"/>
          <w:sz w:val="28"/>
          <w:szCs w:val="28"/>
        </w:rPr>
        <w:t>复印件（需加盖单位公章），</w:t>
      </w:r>
      <w:r>
        <w:rPr>
          <w:rFonts w:hint="eastAsia" w:ascii="仿宋" w:hAnsi="仿宋" w:eastAsia="仿宋" w:cs="仿宋"/>
          <w:b/>
          <w:bCs/>
          <w:sz w:val="28"/>
          <w:szCs w:val="28"/>
        </w:rPr>
        <w:t>委托代理人是律师的还应提交律师执业证和律师事务所的指派函，委托代理人是职工的还需提供劳动合同复印件</w:t>
      </w:r>
      <w:r>
        <w:rPr>
          <w:rFonts w:hint="eastAsia" w:ascii="仿宋" w:hAnsi="仿宋" w:eastAsia="仿宋" w:cs="仿宋"/>
          <w:b/>
          <w:bCs/>
          <w:sz w:val="28"/>
          <w:szCs w:val="28"/>
          <w:lang w:val="en-US" w:eastAsia="zh-CN"/>
        </w:rPr>
        <w:t>或社保证明</w:t>
      </w:r>
      <w:r>
        <w:rPr>
          <w:rFonts w:hint="eastAsia" w:ascii="仿宋" w:hAnsi="仿宋" w:eastAsia="仿宋" w:cs="仿宋"/>
          <w:b/>
          <w:bCs/>
          <w:sz w:val="28"/>
          <w:szCs w:val="28"/>
        </w:rPr>
        <w:t>（加盖单位公章）</w:t>
      </w:r>
      <w:r>
        <w:rPr>
          <w:rFonts w:hint="eastAsia" w:ascii="仿宋" w:hAnsi="仿宋" w:eastAsia="仿宋" w:cs="仿宋"/>
          <w:b/>
          <w:bCs/>
          <w:sz w:val="28"/>
          <w:szCs w:val="28"/>
          <w:lang w:eastAsia="zh-CN"/>
        </w:rPr>
        <w:t>，委托代理人是债权人近亲属（如父母、配偶、子女）的还需户口本、结婚证复印件等身份证明材料。</w:t>
      </w:r>
    </w:p>
    <w:p w14:paraId="4783DEF9">
      <w:pPr>
        <w:keepNext w:val="0"/>
        <w:keepLines w:val="0"/>
        <w:pageBreakBefore w:val="0"/>
        <w:widowControl w:val="0"/>
        <w:kinsoku/>
        <w:overflowPunct/>
        <w:topLinePunct w:val="0"/>
        <w:autoSpaceDE/>
        <w:autoSpaceDN/>
        <w:bidi w:val="0"/>
        <w:adjustRightInd/>
        <w:snapToGrid/>
        <w:spacing w:line="500" w:lineRule="exact"/>
        <w:ind w:firstLine="480"/>
        <w:textAlignment w:val="auto"/>
        <w:rPr>
          <w:rFonts w:hint="eastAsia" w:ascii="仿宋" w:hAnsi="仿宋" w:eastAsia="仿宋" w:cs="仿宋"/>
          <w:sz w:val="28"/>
          <w:szCs w:val="28"/>
          <w:u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法定代表人（负责人）身份证明书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适用于机构债权人</w:t>
      </w:r>
      <w:r>
        <w:rPr>
          <w:rFonts w:hint="eastAsia" w:ascii="仿宋" w:hAnsi="仿宋" w:eastAsia="仿宋" w:cs="仿宋"/>
          <w:sz w:val="28"/>
          <w:szCs w:val="28"/>
          <w:lang w:eastAsia="zh-CN"/>
        </w:rPr>
        <w:t>）》、《</w:t>
      </w:r>
      <w:r>
        <w:rPr>
          <w:rFonts w:hint="eastAsia" w:ascii="仿宋" w:hAnsi="仿宋" w:eastAsia="仿宋" w:cs="仿宋"/>
          <w:b w:val="0"/>
          <w:bCs w:val="0"/>
          <w:sz w:val="28"/>
          <w:szCs w:val="28"/>
        </w:rPr>
        <w:t>授权委托书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适用于有代理人</w:t>
      </w:r>
      <w:r>
        <w:rPr>
          <w:rFonts w:hint="eastAsia" w:ascii="仿宋" w:hAnsi="仿宋" w:eastAsia="仿宋" w:cs="仿宋"/>
          <w:b w:val="0"/>
          <w:bCs w:val="0"/>
          <w:sz w:val="28"/>
          <w:szCs w:val="28"/>
          <w:lang w:eastAsia="zh-CN"/>
        </w:rPr>
        <w:t>）</w:t>
      </w:r>
      <w:r>
        <w:rPr>
          <w:rFonts w:hint="eastAsia" w:ascii="仿宋" w:hAnsi="仿宋" w:eastAsia="仿宋" w:cs="仿宋"/>
          <w:sz w:val="28"/>
          <w:szCs w:val="28"/>
          <w:lang w:eastAsia="zh-CN"/>
        </w:rPr>
        <w:t>》、</w:t>
      </w:r>
      <w:r>
        <w:rPr>
          <w:rFonts w:hint="eastAsia" w:ascii="仿宋" w:hAnsi="仿宋" w:eastAsia="仿宋" w:cs="仿宋"/>
          <w:sz w:val="28"/>
          <w:szCs w:val="28"/>
          <w:u w:val="none"/>
        </w:rPr>
        <w:t>《债权登记申报表》、《债权申报书》、《申报债权承诺函》</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债权人送达信息确认书</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《同意通过非现场形式召开债权人会议、以默认方式进行表决/发表意见的确认书》</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债权申报材料清单</w:t>
      </w:r>
      <w:r>
        <w:rPr>
          <w:rFonts w:hint="eastAsia" w:ascii="仿宋" w:hAnsi="仿宋" w:eastAsia="仿宋" w:cs="仿宋"/>
          <w:sz w:val="28"/>
          <w:szCs w:val="28"/>
          <w:u w:val="none"/>
          <w:lang w:eastAsia="zh-CN"/>
        </w:rPr>
        <w:t>》；</w:t>
      </w:r>
    </w:p>
    <w:p w14:paraId="0A556433">
      <w:pPr>
        <w:keepNext w:val="0"/>
        <w:keepLines w:val="0"/>
        <w:pageBreakBefore w:val="0"/>
        <w:widowControl w:val="0"/>
        <w:kinsoku/>
        <w:overflowPunct/>
        <w:topLinePunct w:val="0"/>
        <w:autoSpaceDE/>
        <w:autoSpaceDN/>
        <w:bidi w:val="0"/>
        <w:adjustRightInd/>
        <w:snapToGrid/>
        <w:spacing w:line="50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）证明申报债权存在的证据</w:t>
      </w:r>
      <w:r>
        <w:rPr>
          <w:rFonts w:hint="eastAsia" w:ascii="仿宋" w:hAnsi="仿宋" w:eastAsia="仿宋" w:cs="仿宋"/>
          <w:sz w:val="28"/>
          <w:szCs w:val="28"/>
          <w:lang w:val="en-US" w:eastAsia="zh-CN"/>
        </w:rPr>
        <w:t>材料</w:t>
      </w:r>
      <w:r>
        <w:rPr>
          <w:rFonts w:hint="eastAsia" w:ascii="仿宋" w:hAnsi="仿宋" w:eastAsia="仿宋" w:cs="仿宋"/>
          <w:sz w:val="28"/>
          <w:szCs w:val="28"/>
        </w:rPr>
        <w:t>，如合同、收货单、对账单、还款协议、欠据等。</w:t>
      </w:r>
      <w:r>
        <w:rPr>
          <w:rFonts w:hint="eastAsia" w:ascii="仿宋" w:hAnsi="仿宋" w:eastAsia="仿宋" w:cs="仿宋"/>
          <w:b w:val="0"/>
          <w:bCs w:val="0"/>
          <w:sz w:val="28"/>
          <w:szCs w:val="28"/>
        </w:rPr>
        <w:t>若已经人民法院判决或仲裁机构裁决的，需提交相关裁判文书及其生效证明书等文件；若已申请执行的，还需提交受理执行通知书、执行裁定书等文件</w:t>
      </w:r>
      <w:r>
        <w:rPr>
          <w:rFonts w:hint="eastAsia" w:ascii="仿宋" w:hAnsi="仿宋" w:eastAsia="仿宋" w:cs="仿宋"/>
          <w:b w:val="0"/>
          <w:bCs w:val="0"/>
          <w:sz w:val="28"/>
          <w:szCs w:val="28"/>
          <w:lang w:eastAsia="zh-CN"/>
        </w:rPr>
        <w:t>；如申报迟延履行期间的加倍债务利息的，务必提交生效证明或送达证明</w:t>
      </w:r>
      <w:r>
        <w:rPr>
          <w:rFonts w:hint="eastAsia" w:ascii="仿宋" w:hAnsi="仿宋" w:eastAsia="仿宋" w:cs="仿宋"/>
          <w:b w:val="0"/>
          <w:bCs w:val="0"/>
          <w:sz w:val="28"/>
          <w:szCs w:val="28"/>
        </w:rPr>
        <w:t>。</w:t>
      </w:r>
    </w:p>
    <w:p w14:paraId="294DC8BE">
      <w:pPr>
        <w:keepNext w:val="0"/>
        <w:keepLines w:val="0"/>
        <w:pageBreakBefore w:val="0"/>
        <w:widowControl w:val="0"/>
        <w:kinsoku/>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请将上述材料整理成册</w:t>
      </w:r>
      <w:r>
        <w:rPr>
          <w:rFonts w:hint="eastAsia" w:ascii="仿宋" w:hAnsi="仿宋" w:eastAsia="仿宋" w:cs="仿宋"/>
          <w:b/>
          <w:bCs/>
          <w:sz w:val="28"/>
          <w:szCs w:val="28"/>
          <w:lang w:val="en-US" w:eastAsia="zh-CN"/>
        </w:rPr>
        <w:t>、编制页码</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无</w:t>
      </w:r>
      <w:r>
        <w:rPr>
          <w:rFonts w:hint="eastAsia" w:ascii="仿宋" w:hAnsi="仿宋" w:eastAsia="仿宋" w:cs="仿宋"/>
          <w:b/>
          <w:bCs/>
          <w:sz w:val="28"/>
          <w:szCs w:val="28"/>
        </w:rPr>
        <w:t>需装订），</w:t>
      </w:r>
      <w:r>
        <w:rPr>
          <w:rFonts w:hint="eastAsia" w:ascii="仿宋" w:hAnsi="仿宋" w:eastAsia="仿宋" w:cs="仿宋"/>
          <w:b/>
          <w:bCs/>
          <w:sz w:val="28"/>
          <w:szCs w:val="28"/>
          <w:lang w:val="en-US" w:eastAsia="zh-CN"/>
        </w:rPr>
        <w:t>并</w:t>
      </w:r>
      <w:r>
        <w:rPr>
          <w:rFonts w:hint="eastAsia" w:ascii="仿宋" w:hAnsi="仿宋" w:eastAsia="仿宋" w:cs="仿宋"/>
          <w:b/>
          <w:bCs/>
          <w:sz w:val="28"/>
          <w:szCs w:val="28"/>
        </w:rPr>
        <w:t>填写《债权申报文件清单》</w:t>
      </w:r>
      <w:r>
        <w:rPr>
          <w:rFonts w:hint="eastAsia" w:ascii="仿宋" w:hAnsi="仿宋" w:eastAsia="仿宋" w:cs="仿宋"/>
          <w:b/>
          <w:bCs/>
          <w:sz w:val="28"/>
          <w:szCs w:val="28"/>
          <w:lang w:eastAsia="zh-CN"/>
        </w:rPr>
        <w:t>，</w:t>
      </w:r>
      <w:r>
        <w:rPr>
          <w:rFonts w:hint="eastAsia" w:ascii="仿宋" w:hAnsi="仿宋" w:eastAsia="仿宋"/>
          <w:b/>
          <w:bCs/>
          <w:sz w:val="28"/>
          <w:szCs w:val="28"/>
        </w:rPr>
        <w:t>一式</w:t>
      </w:r>
      <w:r>
        <w:rPr>
          <w:rFonts w:hint="eastAsia" w:ascii="仿宋" w:hAnsi="仿宋" w:eastAsia="仿宋"/>
          <w:b/>
          <w:bCs/>
          <w:sz w:val="28"/>
          <w:szCs w:val="28"/>
          <w:lang w:val="en-US" w:eastAsia="zh-CN"/>
        </w:rPr>
        <w:t>一</w:t>
      </w:r>
      <w:r>
        <w:rPr>
          <w:rFonts w:hint="eastAsia" w:ascii="仿宋" w:hAnsi="仿宋" w:eastAsia="仿宋"/>
          <w:b/>
          <w:bCs/>
          <w:sz w:val="28"/>
          <w:szCs w:val="28"/>
        </w:rPr>
        <w:t>份</w:t>
      </w:r>
      <w:r>
        <w:rPr>
          <w:rFonts w:hint="eastAsia" w:ascii="仿宋" w:hAnsi="仿宋" w:eastAsia="仿宋"/>
          <w:b/>
          <w:bCs/>
          <w:sz w:val="28"/>
          <w:szCs w:val="28"/>
          <w:lang w:val="en-US" w:eastAsia="zh-CN"/>
        </w:rPr>
        <w:t>现场交管理人或邮寄至管理人处</w:t>
      </w:r>
      <w:r>
        <w:rPr>
          <w:rFonts w:hint="eastAsia" w:ascii="仿宋" w:hAnsi="仿宋" w:eastAsia="仿宋"/>
          <w:sz w:val="28"/>
          <w:szCs w:val="28"/>
          <w:lang w:val="en-US" w:eastAsia="zh-CN"/>
        </w:rPr>
        <w:t>，必要</w:t>
      </w:r>
      <w:r>
        <w:rPr>
          <w:rFonts w:hint="eastAsia" w:ascii="仿宋" w:hAnsi="仿宋" w:eastAsia="仿宋"/>
          <w:sz w:val="28"/>
          <w:szCs w:val="28"/>
        </w:rPr>
        <w:t>时请携带上述材料的全部原件给</w:t>
      </w:r>
      <w:r>
        <w:rPr>
          <w:rFonts w:hint="eastAsia" w:ascii="仿宋" w:hAnsi="仿宋" w:eastAsia="仿宋"/>
          <w:sz w:val="28"/>
          <w:szCs w:val="28"/>
          <w:lang w:val="en-US" w:eastAsia="zh-CN"/>
        </w:rPr>
        <w:t>管理人</w:t>
      </w:r>
      <w:r>
        <w:rPr>
          <w:rFonts w:hint="eastAsia" w:ascii="仿宋" w:hAnsi="仿宋" w:eastAsia="仿宋"/>
          <w:sz w:val="28"/>
          <w:szCs w:val="28"/>
        </w:rPr>
        <w:t>核对</w:t>
      </w:r>
      <w:r>
        <w:rPr>
          <w:rFonts w:hint="eastAsia" w:ascii="仿宋" w:hAnsi="仿宋" w:eastAsia="仿宋"/>
          <w:sz w:val="28"/>
          <w:szCs w:val="28"/>
          <w:lang w:eastAsia="zh-CN"/>
        </w:rPr>
        <w:t>，</w:t>
      </w:r>
      <w:r>
        <w:rPr>
          <w:rFonts w:hint="eastAsia" w:ascii="仿宋" w:hAnsi="仿宋" w:eastAsia="仿宋"/>
          <w:sz w:val="28"/>
          <w:szCs w:val="28"/>
        </w:rPr>
        <w:t>并携带</w:t>
      </w:r>
      <w:r>
        <w:rPr>
          <w:rFonts w:hint="eastAsia" w:ascii="仿宋" w:hAnsi="仿宋" w:eastAsia="仿宋"/>
          <w:sz w:val="28"/>
          <w:szCs w:val="28"/>
          <w:lang w:val="en-US" w:eastAsia="zh-CN"/>
        </w:rPr>
        <w:t>相关证件供管理人</w:t>
      </w:r>
      <w:r>
        <w:rPr>
          <w:rFonts w:hint="eastAsia" w:ascii="仿宋" w:hAnsi="仿宋" w:eastAsia="仿宋"/>
          <w:sz w:val="28"/>
          <w:szCs w:val="28"/>
        </w:rPr>
        <w:t>确认有关事项</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注：债权人现场提交的请提前与管理人预约）</w:t>
      </w:r>
      <w:r>
        <w:rPr>
          <w:rFonts w:hint="eastAsia" w:ascii="仿宋" w:hAnsi="仿宋" w:eastAsia="仿宋"/>
          <w:sz w:val="28"/>
          <w:szCs w:val="28"/>
        </w:rPr>
        <w:t>。</w:t>
      </w:r>
    </w:p>
    <w:p w14:paraId="42BE2330">
      <w:pPr>
        <w:keepNext w:val="0"/>
        <w:keepLines w:val="0"/>
        <w:pageBreakBefore w:val="0"/>
        <w:widowControl w:val="0"/>
        <w:kinsoku/>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rPr>
      </w:pPr>
      <w:r>
        <w:rPr>
          <w:rFonts w:hint="eastAsia" w:ascii="仿宋" w:hAnsi="仿宋" w:eastAsia="仿宋"/>
          <w:b/>
          <w:bCs/>
          <w:sz w:val="28"/>
          <w:szCs w:val="28"/>
          <w:lang w:val="en-US" w:eastAsia="zh-CN"/>
        </w:rPr>
        <w:t>四、本案第一次债权人会议将于2025年8月20日上午10时30分在广州市花都区人民法院（广州市花都区新华街新华路26号）二号法庭召开，</w:t>
      </w:r>
      <w:r>
        <w:rPr>
          <w:rFonts w:hint="eastAsia" w:ascii="仿宋" w:hAnsi="仿宋" w:eastAsia="仿宋" w:cs="仿宋"/>
          <w:b/>
          <w:bCs/>
          <w:kern w:val="2"/>
          <w:sz w:val="28"/>
          <w:szCs w:val="28"/>
          <w:lang w:val="en-US" w:eastAsia="zh-CN" w:bidi="ar"/>
        </w:rPr>
        <w:t>请准时参加</w:t>
      </w:r>
      <w:r>
        <w:rPr>
          <w:rFonts w:hint="eastAsia" w:ascii="仿宋" w:hAnsi="仿宋" w:eastAsia="仿宋" w:cs="仿宋"/>
          <w:b/>
          <w:bCs/>
          <w:kern w:val="2"/>
          <w:sz w:val="28"/>
          <w:szCs w:val="28"/>
          <w:u w:val="single"/>
          <w:lang w:val="en-US" w:eastAsia="zh-CN" w:bidi="ar"/>
        </w:rPr>
        <w:t>（请提前30分钟到现场办理签到及领取债权人会议资料）</w:t>
      </w:r>
      <w:r>
        <w:rPr>
          <w:rFonts w:hint="eastAsia" w:ascii="仿宋" w:hAnsi="仿宋" w:eastAsia="仿宋" w:cs="仿宋"/>
          <w:b/>
          <w:bCs/>
          <w:kern w:val="2"/>
          <w:sz w:val="28"/>
          <w:szCs w:val="28"/>
          <w:lang w:val="en-US" w:eastAsia="zh-CN" w:bidi="ar"/>
        </w:rPr>
        <w:t>。</w:t>
      </w:r>
    </w:p>
    <w:p w14:paraId="0B1FE3BF">
      <w:pPr>
        <w:keepNext w:val="0"/>
        <w:keepLines w:val="0"/>
        <w:pageBreakBefore w:val="0"/>
        <w:widowControl w:val="0"/>
        <w:kinsoku/>
        <w:overflowPunct/>
        <w:topLinePunct w:val="0"/>
        <w:autoSpaceDE/>
        <w:autoSpaceDN/>
        <w:bidi w:val="0"/>
        <w:adjustRightInd/>
        <w:snapToGrid/>
        <w:spacing w:line="50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特此通知。</w:t>
      </w:r>
    </w:p>
    <w:p w14:paraId="0B468E03">
      <w:pPr>
        <w:keepNext w:val="0"/>
        <w:keepLines w:val="0"/>
        <w:pageBreakBefore w:val="0"/>
        <w:widowControl w:val="0"/>
        <w:kinsoku/>
        <w:overflowPunct/>
        <w:topLinePunct w:val="0"/>
        <w:autoSpaceDE/>
        <w:autoSpaceDN/>
        <w:bidi w:val="0"/>
        <w:adjustRightInd/>
        <w:snapToGrid/>
        <w:spacing w:line="500" w:lineRule="exact"/>
        <w:ind w:firstLine="480"/>
        <w:jc w:val="righ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广州市顺通快递物流有限公司管理人</w:t>
      </w:r>
      <w:r>
        <w:rPr>
          <w:rFonts w:hint="eastAsia" w:ascii="仿宋" w:hAnsi="仿宋" w:eastAsia="仿宋" w:cs="仿宋"/>
          <w:sz w:val="28"/>
          <w:szCs w:val="28"/>
        </w:rPr>
        <w:t xml:space="preserve"> </w:t>
      </w:r>
    </w:p>
    <w:p w14:paraId="69081E2F">
      <w:pPr>
        <w:keepNext w:val="0"/>
        <w:keepLines w:val="0"/>
        <w:pageBreakBefore w:val="0"/>
        <w:widowControl w:val="0"/>
        <w:kinsoku/>
        <w:overflowPunct/>
        <w:topLinePunct w:val="0"/>
        <w:autoSpaceDE/>
        <w:autoSpaceDN/>
        <w:bidi w:val="0"/>
        <w:adjustRightInd/>
        <w:snapToGrid/>
        <w:spacing w:line="5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 xml:space="preserve">                                           负责人：余关宝                         </w:t>
      </w:r>
    </w:p>
    <w:p w14:paraId="233AC9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00" w:lineRule="exact"/>
        <w:ind w:right="0"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2025年7月16日</w:t>
      </w:r>
    </w:p>
    <w:p w14:paraId="4DCF64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sz w:val="24"/>
          <w:szCs w:val="24"/>
          <w:lang w:val="en-US" w:eastAsia="zh-CN"/>
        </w:rPr>
      </w:pPr>
    </w:p>
    <w:p w14:paraId="29CAC38A">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债权申报附件</w:t>
      </w:r>
      <w:r>
        <w:rPr>
          <w:rFonts w:hint="eastAsia" w:ascii="仿宋" w:hAnsi="仿宋" w:eastAsia="仿宋" w:cs="仿宋"/>
          <w:sz w:val="24"/>
          <w:szCs w:val="24"/>
          <w:lang w:val="en-US" w:eastAsia="zh-CN"/>
        </w:rPr>
        <w:t>材料</w:t>
      </w:r>
      <w:r>
        <w:rPr>
          <w:rFonts w:hint="eastAsia" w:ascii="仿宋" w:hAnsi="仿宋" w:eastAsia="仿宋" w:cs="仿宋"/>
          <w:sz w:val="24"/>
          <w:szCs w:val="24"/>
        </w:rPr>
        <w:t>：</w:t>
      </w:r>
    </w:p>
    <w:p w14:paraId="48270ED3">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1.法定代表人（负责人）身份证明书</w:t>
      </w:r>
    </w:p>
    <w:p w14:paraId="099BA979">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授权委托书</w:t>
      </w:r>
    </w:p>
    <w:p w14:paraId="0706C9FC">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债权登记申报表</w:t>
      </w:r>
    </w:p>
    <w:p w14:paraId="62260E8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.债权申报书</w:t>
      </w:r>
    </w:p>
    <w:p w14:paraId="3EB18C98">
      <w:pPr>
        <w:spacing w:line="4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诚信</w:t>
      </w:r>
      <w:r>
        <w:rPr>
          <w:rFonts w:hint="eastAsia" w:ascii="仿宋" w:hAnsi="仿宋" w:eastAsia="仿宋" w:cs="仿宋"/>
          <w:sz w:val="24"/>
          <w:szCs w:val="24"/>
        </w:rPr>
        <w:t>申报承诺</w:t>
      </w:r>
      <w:r>
        <w:rPr>
          <w:rFonts w:hint="eastAsia" w:ascii="仿宋" w:hAnsi="仿宋" w:eastAsia="仿宋" w:cs="仿宋"/>
          <w:sz w:val="24"/>
          <w:szCs w:val="24"/>
          <w:lang w:val="en-US" w:eastAsia="zh-CN"/>
        </w:rPr>
        <w:t>书</w:t>
      </w:r>
    </w:p>
    <w:p w14:paraId="215BA1F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.债权人送达</w:t>
      </w:r>
      <w:r>
        <w:rPr>
          <w:rFonts w:hint="eastAsia" w:ascii="仿宋" w:hAnsi="仿宋" w:eastAsia="仿宋" w:cs="仿宋"/>
          <w:sz w:val="24"/>
          <w:szCs w:val="24"/>
          <w:lang w:val="en-US" w:eastAsia="zh-CN"/>
        </w:rPr>
        <w:t>信息</w:t>
      </w:r>
      <w:r>
        <w:rPr>
          <w:rFonts w:hint="eastAsia" w:ascii="仿宋" w:hAnsi="仿宋" w:eastAsia="仿宋" w:cs="仿宋"/>
          <w:sz w:val="24"/>
          <w:szCs w:val="24"/>
        </w:rPr>
        <w:t>确认书</w:t>
      </w:r>
    </w:p>
    <w:p w14:paraId="47D7CA3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7.同意通过非现场形式召开债权人会议、以默认方式进行表决/发表意见的确认书</w:t>
      </w:r>
    </w:p>
    <w:p w14:paraId="3E0E7DED">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8.债权申报文件清单                                                       </w:t>
      </w:r>
    </w:p>
    <w:p w14:paraId="264E6729">
      <w:pPr>
        <w:spacing w:line="4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9.受理裁定书</w:t>
      </w:r>
    </w:p>
    <w:p w14:paraId="1C0BC321">
      <w:pPr>
        <w:spacing w:line="4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10.指定管理人决定书</w:t>
      </w:r>
    </w:p>
    <w:p w14:paraId="3E058907">
      <w:pPr>
        <w:spacing w:line="4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11.公告</w:t>
      </w:r>
    </w:p>
    <w:p w14:paraId="19B47A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b/>
          <w:bCs/>
          <w:kern w:val="2"/>
          <w:sz w:val="24"/>
          <w:szCs w:val="24"/>
          <w:lang w:val="en-US" w:eastAsia="zh-CN" w:bidi="ar"/>
        </w:rPr>
      </w:pPr>
      <w:r>
        <w:rPr>
          <w:rFonts w:hint="eastAsia" w:ascii="仿宋" w:hAnsi="仿宋" w:eastAsia="仿宋" w:cs="仿宋"/>
          <w:sz w:val="24"/>
          <w:szCs w:val="24"/>
        </w:rPr>
        <w:t xml:space="preserve">                   </w:t>
      </w:r>
    </w:p>
    <w:p w14:paraId="29892818">
      <w:pPr>
        <w:keepNext w:val="0"/>
        <w:keepLines w:val="0"/>
        <w:widowControl w:val="0"/>
        <w:suppressLineNumbers w:val="0"/>
        <w:autoSpaceDE w:val="0"/>
        <w:autoSpaceDN/>
        <w:spacing w:before="0" w:beforeAutospacing="0" w:after="0" w:afterAutospacing="0" w:line="500" w:lineRule="exact"/>
        <w:ind w:right="0" w:firstLine="48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广州市花都区人民法院作出的相关法律文书及上述需填写文件的电子版可通过全国企业破产重整案件信息网搜索“广州市顺通快递物流有限公司”</w:t>
      </w:r>
      <w:r>
        <w:rPr>
          <w:rFonts w:hint="eastAsia" w:ascii="仿宋" w:hAnsi="仿宋" w:eastAsia="仿宋" w:cs="仿宋"/>
          <w:b/>
          <w:bCs/>
          <w:kern w:val="2"/>
          <w:sz w:val="24"/>
          <w:szCs w:val="24"/>
          <w:lang w:val="en-US" w:eastAsia="zh-CN" w:bidi="ar"/>
        </w:rPr>
        <w:fldChar w:fldCharType="begin"/>
      </w:r>
      <w:r>
        <w:rPr>
          <w:rFonts w:hint="eastAsia" w:ascii="仿宋" w:hAnsi="仿宋" w:eastAsia="仿宋" w:cs="仿宋"/>
          <w:b/>
          <w:bCs/>
          <w:kern w:val="2"/>
          <w:sz w:val="24"/>
          <w:szCs w:val="24"/>
          <w:lang w:val="en-US" w:eastAsia="zh-CN" w:bidi="ar"/>
        </w:rPr>
        <w:instrText xml:space="preserve"> HYPERLINK "https://pccz.court.gov.cn/pcajxxw/index/xxwsy）或微信扫码获取。" </w:instrText>
      </w:r>
      <w:r>
        <w:rPr>
          <w:rFonts w:hint="eastAsia" w:ascii="仿宋" w:hAnsi="仿宋" w:eastAsia="仿宋" w:cs="仿宋"/>
          <w:b/>
          <w:bCs/>
          <w:kern w:val="2"/>
          <w:sz w:val="24"/>
          <w:szCs w:val="24"/>
          <w:lang w:val="en-US" w:eastAsia="zh-CN" w:bidi="ar"/>
        </w:rPr>
        <w:fldChar w:fldCharType="separate"/>
      </w:r>
      <w:r>
        <w:rPr>
          <w:rFonts w:hint="eastAsia" w:ascii="仿宋" w:hAnsi="仿宋" w:eastAsia="仿宋" w:cs="仿宋"/>
          <w:b/>
          <w:bCs/>
          <w:kern w:val="2"/>
          <w:sz w:val="24"/>
          <w:szCs w:val="24"/>
          <w:lang w:val="en-US" w:eastAsia="zh-CN" w:bidi="ar"/>
        </w:rPr>
        <w:t>或微信扫码获取。</w:t>
      </w:r>
      <w:r>
        <w:rPr>
          <w:rFonts w:hint="eastAsia" w:ascii="仿宋" w:hAnsi="仿宋" w:eastAsia="仿宋" w:cs="仿宋"/>
          <w:b/>
          <w:bCs/>
          <w:kern w:val="2"/>
          <w:sz w:val="24"/>
          <w:szCs w:val="24"/>
          <w:lang w:val="en-US" w:eastAsia="zh-CN" w:bidi="ar"/>
        </w:rPr>
        <w:fldChar w:fldCharType="end"/>
      </w:r>
    </w:p>
    <w:p w14:paraId="1B758451">
      <w:pPr>
        <w:keepNext w:val="0"/>
        <w:keepLines w:val="0"/>
        <w:widowControl w:val="0"/>
        <w:suppressLineNumbers w:val="0"/>
        <w:autoSpaceDE w:val="0"/>
        <w:autoSpaceDN/>
        <w:spacing w:before="0" w:beforeAutospacing="0" w:after="0" w:afterAutospacing="0" w:line="240" w:lineRule="auto"/>
        <w:ind w:right="0" w:firstLine="0"/>
        <w:jc w:val="center"/>
        <w:rPr>
          <w:rFonts w:hint="eastAsia" w:ascii="仿宋" w:hAnsi="仿宋" w:eastAsia="仿宋" w:cs="仿宋"/>
          <w:b/>
          <w:bCs/>
          <w:kern w:val="2"/>
          <w:sz w:val="24"/>
          <w:szCs w:val="24"/>
          <w:lang w:val="en-US" w:eastAsia="zh-CN" w:bidi="ar"/>
        </w:rPr>
      </w:pPr>
      <w:r>
        <w:drawing>
          <wp:anchor distT="0" distB="0" distL="114300" distR="114300" simplePos="0" relativeHeight="251659264" behindDoc="1" locked="0" layoutInCell="1" allowOverlap="1">
            <wp:simplePos x="0" y="0"/>
            <wp:positionH relativeFrom="column">
              <wp:posOffset>992505</wp:posOffset>
            </wp:positionH>
            <wp:positionV relativeFrom="paragraph">
              <wp:posOffset>168275</wp:posOffset>
            </wp:positionV>
            <wp:extent cx="2619375" cy="2590800"/>
            <wp:effectExtent l="0" t="0" r="9525"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a:stretch>
                      <a:fillRect/>
                    </a:stretch>
                  </pic:blipFill>
                  <pic:spPr>
                    <a:xfrm>
                      <a:off x="0" y="0"/>
                      <a:ext cx="2619375" cy="2590800"/>
                    </a:xfrm>
                    <a:prstGeom prst="rect">
                      <a:avLst/>
                    </a:prstGeom>
                    <a:noFill/>
                    <a:ln>
                      <a:noFill/>
                    </a:ln>
                  </pic:spPr>
                </pic:pic>
              </a:graphicData>
            </a:graphic>
          </wp:anchor>
        </w:drawing>
      </w:r>
    </w:p>
    <w:p w14:paraId="76C3DE46">
      <w:pPr>
        <w:keepNext w:val="0"/>
        <w:keepLines w:val="0"/>
        <w:widowControl w:val="0"/>
        <w:suppressLineNumbers w:val="0"/>
        <w:autoSpaceDE w:val="0"/>
        <w:autoSpaceDN/>
        <w:spacing w:before="0" w:beforeAutospacing="0" w:after="0" w:afterAutospacing="0" w:line="500" w:lineRule="exact"/>
        <w:ind w:right="0" w:firstLine="480"/>
        <w:jc w:val="both"/>
        <w:rPr>
          <w:rFonts w:hint="eastAsia" w:ascii="仿宋" w:hAnsi="仿宋" w:eastAsia="仿宋" w:cs="仿宋"/>
          <w:b/>
          <w:bCs/>
          <w:kern w:val="2"/>
          <w:sz w:val="24"/>
          <w:szCs w:val="24"/>
          <w:lang w:val="en-US" w:eastAsia="zh-CN" w:bidi="ar"/>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8F1F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5FD9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A5FD9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yNTllN2MzZGNkNjI1ZmZiZDljOTYyZTg0ZTExYTAifQ=="/>
  </w:docVars>
  <w:rsids>
    <w:rsidRoot w:val="00905FB9"/>
    <w:rsid w:val="00416851"/>
    <w:rsid w:val="00504086"/>
    <w:rsid w:val="006A1AD2"/>
    <w:rsid w:val="008947F5"/>
    <w:rsid w:val="00905FB9"/>
    <w:rsid w:val="00962022"/>
    <w:rsid w:val="00A30446"/>
    <w:rsid w:val="00F84976"/>
    <w:rsid w:val="027D5E15"/>
    <w:rsid w:val="03595ACF"/>
    <w:rsid w:val="03A84061"/>
    <w:rsid w:val="03AA0D2F"/>
    <w:rsid w:val="04A171B4"/>
    <w:rsid w:val="04B626B6"/>
    <w:rsid w:val="05DD06BF"/>
    <w:rsid w:val="06A05601"/>
    <w:rsid w:val="07203070"/>
    <w:rsid w:val="07882F78"/>
    <w:rsid w:val="079C22F2"/>
    <w:rsid w:val="07BD209A"/>
    <w:rsid w:val="080A5A98"/>
    <w:rsid w:val="09130D88"/>
    <w:rsid w:val="095C7B4D"/>
    <w:rsid w:val="09D0600C"/>
    <w:rsid w:val="0B3808CD"/>
    <w:rsid w:val="0B8415DD"/>
    <w:rsid w:val="0BC8515C"/>
    <w:rsid w:val="0D2645EE"/>
    <w:rsid w:val="0DA27EB0"/>
    <w:rsid w:val="0E0D1416"/>
    <w:rsid w:val="0E925DBF"/>
    <w:rsid w:val="0EF32171"/>
    <w:rsid w:val="0FFE5298"/>
    <w:rsid w:val="11FC6034"/>
    <w:rsid w:val="1269550A"/>
    <w:rsid w:val="12A3059B"/>
    <w:rsid w:val="13394A5B"/>
    <w:rsid w:val="13A7230D"/>
    <w:rsid w:val="14C36CD2"/>
    <w:rsid w:val="14F8576B"/>
    <w:rsid w:val="15C5350C"/>
    <w:rsid w:val="15E74C42"/>
    <w:rsid w:val="17283764"/>
    <w:rsid w:val="181030D1"/>
    <w:rsid w:val="1A184885"/>
    <w:rsid w:val="1B0309F3"/>
    <w:rsid w:val="1B0D3B79"/>
    <w:rsid w:val="1D0E6B3E"/>
    <w:rsid w:val="1E1A4EFA"/>
    <w:rsid w:val="1E693380"/>
    <w:rsid w:val="1F46055D"/>
    <w:rsid w:val="1F8F2D42"/>
    <w:rsid w:val="20B76FAD"/>
    <w:rsid w:val="22295E3B"/>
    <w:rsid w:val="23F549CE"/>
    <w:rsid w:val="24F66C50"/>
    <w:rsid w:val="26867B60"/>
    <w:rsid w:val="26903ABE"/>
    <w:rsid w:val="26B609DB"/>
    <w:rsid w:val="28074CD0"/>
    <w:rsid w:val="285729EC"/>
    <w:rsid w:val="2A693A20"/>
    <w:rsid w:val="2BC96E4F"/>
    <w:rsid w:val="2CB869D6"/>
    <w:rsid w:val="2E9B2554"/>
    <w:rsid w:val="303D1BD7"/>
    <w:rsid w:val="304C3C6C"/>
    <w:rsid w:val="31D71BB7"/>
    <w:rsid w:val="34D025DC"/>
    <w:rsid w:val="34D157EF"/>
    <w:rsid w:val="36B526A4"/>
    <w:rsid w:val="371B42F4"/>
    <w:rsid w:val="378645E4"/>
    <w:rsid w:val="388B7FAF"/>
    <w:rsid w:val="39D323D5"/>
    <w:rsid w:val="3C34052D"/>
    <w:rsid w:val="3C5C33E5"/>
    <w:rsid w:val="3C8F249B"/>
    <w:rsid w:val="3D725D07"/>
    <w:rsid w:val="3E90381A"/>
    <w:rsid w:val="3EA03A5D"/>
    <w:rsid w:val="3F4168C2"/>
    <w:rsid w:val="3F4D34B9"/>
    <w:rsid w:val="3F791342"/>
    <w:rsid w:val="40293EBE"/>
    <w:rsid w:val="41A11D06"/>
    <w:rsid w:val="420434E3"/>
    <w:rsid w:val="43557A6C"/>
    <w:rsid w:val="437555EE"/>
    <w:rsid w:val="43A15B81"/>
    <w:rsid w:val="43DF2681"/>
    <w:rsid w:val="43FE4B64"/>
    <w:rsid w:val="45A831F7"/>
    <w:rsid w:val="461E4A11"/>
    <w:rsid w:val="47080B5C"/>
    <w:rsid w:val="47AA223E"/>
    <w:rsid w:val="48F826E7"/>
    <w:rsid w:val="49F70E6B"/>
    <w:rsid w:val="4B2652EA"/>
    <w:rsid w:val="4B4F0BA2"/>
    <w:rsid w:val="4BFB7EDE"/>
    <w:rsid w:val="4DCE14E3"/>
    <w:rsid w:val="4DF420C2"/>
    <w:rsid w:val="4E6A1991"/>
    <w:rsid w:val="4E6A7AE1"/>
    <w:rsid w:val="4E8A3A4B"/>
    <w:rsid w:val="4FFA458D"/>
    <w:rsid w:val="508F74D1"/>
    <w:rsid w:val="522B1438"/>
    <w:rsid w:val="52405776"/>
    <w:rsid w:val="532B15AF"/>
    <w:rsid w:val="54A54FA9"/>
    <w:rsid w:val="55AF05D2"/>
    <w:rsid w:val="56553221"/>
    <w:rsid w:val="56807D20"/>
    <w:rsid w:val="572823EA"/>
    <w:rsid w:val="580E175E"/>
    <w:rsid w:val="582A3F3F"/>
    <w:rsid w:val="58582E30"/>
    <w:rsid w:val="5957467F"/>
    <w:rsid w:val="5A2A0227"/>
    <w:rsid w:val="5AB0102B"/>
    <w:rsid w:val="5ADD68F1"/>
    <w:rsid w:val="5B945D00"/>
    <w:rsid w:val="5C462471"/>
    <w:rsid w:val="5C6746A8"/>
    <w:rsid w:val="5CC606DB"/>
    <w:rsid w:val="5D997B9D"/>
    <w:rsid w:val="5E6128B2"/>
    <w:rsid w:val="5EB5631C"/>
    <w:rsid w:val="5F28048D"/>
    <w:rsid w:val="5FB837E1"/>
    <w:rsid w:val="60456D24"/>
    <w:rsid w:val="62A43A6F"/>
    <w:rsid w:val="62AE5E99"/>
    <w:rsid w:val="62E278F0"/>
    <w:rsid w:val="640725A7"/>
    <w:rsid w:val="648669A1"/>
    <w:rsid w:val="64A97426"/>
    <w:rsid w:val="64B13A1E"/>
    <w:rsid w:val="65383EE6"/>
    <w:rsid w:val="65E02A87"/>
    <w:rsid w:val="66477250"/>
    <w:rsid w:val="66C82001"/>
    <w:rsid w:val="66F70A11"/>
    <w:rsid w:val="67E70AEB"/>
    <w:rsid w:val="68672FAC"/>
    <w:rsid w:val="68694610"/>
    <w:rsid w:val="6C6E6699"/>
    <w:rsid w:val="6D5A5A18"/>
    <w:rsid w:val="6E7D4A10"/>
    <w:rsid w:val="6EC12450"/>
    <w:rsid w:val="6F5A2F04"/>
    <w:rsid w:val="6FA81EC2"/>
    <w:rsid w:val="6FF40D21"/>
    <w:rsid w:val="701A2AAC"/>
    <w:rsid w:val="70957162"/>
    <w:rsid w:val="70F52EE5"/>
    <w:rsid w:val="7113780F"/>
    <w:rsid w:val="72985AA5"/>
    <w:rsid w:val="72F86CBC"/>
    <w:rsid w:val="74D55507"/>
    <w:rsid w:val="75505B61"/>
    <w:rsid w:val="75E34603"/>
    <w:rsid w:val="78AC0654"/>
    <w:rsid w:val="7A6E290E"/>
    <w:rsid w:val="7BF63744"/>
    <w:rsid w:val="7CB73744"/>
    <w:rsid w:val="7CE1785B"/>
    <w:rsid w:val="7D4F3791"/>
    <w:rsid w:val="7E68509C"/>
    <w:rsid w:val="7E962210"/>
    <w:rsid w:val="7EF9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3"/>
    <w:autoRedefine/>
    <w:qFormat/>
    <w:uiPriority w:val="0"/>
    <w:pPr>
      <w:spacing w:line="415" w:lineRule="auto"/>
      <w:outlineLvl w:val="0"/>
    </w:pPr>
    <w:rPr>
      <w:rFonts w:ascii="Times New Roman" w:hAnsi="Times New Roman" w:eastAsia="宋体" w:cstheme="minorBidi"/>
      <w:b/>
      <w:sz w:val="44"/>
      <w:lang w:val="en-US" w:eastAsia="zh-CN" w:bidi="ar-SA"/>
    </w:rPr>
  </w:style>
  <w:style w:type="paragraph" w:styleId="3">
    <w:name w:val="heading 2"/>
    <w:basedOn w:val="1"/>
    <w:next w:val="1"/>
    <w:link w:val="15"/>
    <w:autoRedefine/>
    <w:semiHidden/>
    <w:unhideWhenUsed/>
    <w:qFormat/>
    <w:uiPriority w:val="0"/>
    <w:pPr>
      <w:spacing w:line="377" w:lineRule="auto"/>
      <w:outlineLvl w:val="1"/>
    </w:pPr>
    <w:rPr>
      <w:rFonts w:ascii="Times New Roman" w:hAnsi="Times New Roman" w:eastAsia="宋体" w:cs="Times New Roman"/>
      <w:b/>
      <w:sz w:val="32"/>
    </w:rPr>
  </w:style>
  <w:style w:type="paragraph" w:styleId="4">
    <w:name w:val="heading 3"/>
    <w:basedOn w:val="1"/>
    <w:next w:val="5"/>
    <w:link w:val="14"/>
    <w:autoRedefine/>
    <w:semiHidden/>
    <w:unhideWhenUsed/>
    <w:qFormat/>
    <w:uiPriority w:val="0"/>
    <w:pPr>
      <w:ind w:firstLine="480"/>
      <w:outlineLvl w:val="2"/>
    </w:pPr>
    <w:rPr>
      <w:rFonts w:ascii="Arial" w:hAnsi="Arial" w:eastAsia="黑体" w:cs="Times New Roman"/>
      <w:sz w:val="28"/>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footer"/>
    <w:basedOn w:val="1"/>
    <w:link w:val="16"/>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autoRedefine/>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character" w:styleId="11">
    <w:name w:val="Strong"/>
    <w:autoRedefine/>
    <w:qFormat/>
    <w:uiPriority w:val="0"/>
    <w:rPr>
      <w:rFonts w:ascii="Times New Roman" w:hAnsi="Times New Roman" w:eastAsia="宋体" w:cs="Times New Roman"/>
      <w:b/>
    </w:rPr>
  </w:style>
  <w:style w:type="character" w:styleId="12">
    <w:name w:val="Hyperlink"/>
    <w:autoRedefine/>
    <w:qFormat/>
    <w:uiPriority w:val="0"/>
    <w:rPr>
      <w:rFonts w:ascii="Times New Roman" w:hAnsi="Times New Roman" w:eastAsia="宋体" w:cs="Times New Roman"/>
      <w:color w:val="0000FF"/>
      <w:u w:val="single"/>
    </w:rPr>
  </w:style>
  <w:style w:type="character" w:customStyle="1" w:styleId="13">
    <w:name w:val="标题 1 字符"/>
    <w:link w:val="2"/>
    <w:autoRedefine/>
    <w:qFormat/>
    <w:uiPriority w:val="0"/>
    <w:rPr>
      <w:rFonts w:ascii="Times New Roman" w:hAnsi="Times New Roman" w:eastAsia="宋体"/>
      <w:b/>
      <w:sz w:val="44"/>
    </w:rPr>
  </w:style>
  <w:style w:type="character" w:customStyle="1" w:styleId="14">
    <w:name w:val="标题 3 字符"/>
    <w:link w:val="4"/>
    <w:autoRedefine/>
    <w:qFormat/>
    <w:uiPriority w:val="0"/>
    <w:rPr>
      <w:rFonts w:ascii="Arial" w:hAnsi="Arial" w:eastAsia="黑体" w:cs="Times New Roman"/>
      <w:sz w:val="28"/>
    </w:rPr>
  </w:style>
  <w:style w:type="character" w:customStyle="1" w:styleId="15">
    <w:name w:val="标题 2 字符"/>
    <w:link w:val="3"/>
    <w:autoRedefine/>
    <w:qFormat/>
    <w:uiPriority w:val="0"/>
    <w:rPr>
      <w:rFonts w:ascii="Times New Roman" w:hAnsi="Times New Roman" w:eastAsia="宋体" w:cs="Times New Roman"/>
      <w:b/>
      <w:sz w:val="32"/>
    </w:rPr>
  </w:style>
  <w:style w:type="character" w:customStyle="1" w:styleId="16">
    <w:name w:val="页脚 字符"/>
    <w:basedOn w:val="10"/>
    <w:link w:val="6"/>
    <w:autoRedefine/>
    <w:qFormat/>
    <w:uiPriority w:val="0"/>
    <w:rPr>
      <w:rFonts w:asciiTheme="minorHAnsi" w:hAnsiTheme="minorHAnsi" w:eastAsiaTheme="minorEastAsia" w:cstheme="minorBidi"/>
      <w:kern w:val="2"/>
      <w:sz w:val="18"/>
      <w:szCs w:val="18"/>
    </w:rPr>
  </w:style>
  <w:style w:type="paragraph" w:styleId="17">
    <w:name w:val="List Paragraph"/>
    <w:autoRedefine/>
    <w:qFormat/>
    <w:uiPriority w:val="34"/>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1829</Words>
  <Characters>1964</Characters>
  <Lines>1</Lines>
  <Paragraphs>1</Paragraphs>
  <TotalTime>6</TotalTime>
  <ScaleCrop>false</ScaleCrop>
  <LinksUpToDate>false</LinksUpToDate>
  <CharactersWithSpaces>2155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2019-06-26T09:56:00Z</dcterms:created>
  <dc:creator>昆仑律师事务所鲁尚君律师</dc:creator>
  <cp:lastModifiedBy>石春华</cp:lastModifiedBy>
  <cp:lastPrinted>2023-09-12T07:23:00Z</cp:lastPrinted>
  <dcterms:modified xsi:type="dcterms:W3CDTF">2025-07-15T12:09:05Z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EFB03CAB41A3491197D63C6FE079B0E8_13</vt:lpwstr>
  </property>
  <property fmtid="{D5CDD505-2E9C-101B-9397-08002B2CF9AE}" pid="4" name="KSOTemplateDocerSaveRecord">
    <vt:lpwstr>eyJoZGlkIjoiMTY4MjRjMDVhYmUxMDdjYWM3NzExNTBjNjIwYzMzMzQiLCJ1c2VySWQiOiI5MTYzNDgwNjIifQ==</vt:lpwstr>
  </property>
</Properties>
</file>