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6E6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auto"/>
        <w:ind w:firstLine="420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营口嘉利耐火制品有限公司破产清算案</w:t>
      </w:r>
    </w:p>
    <w:p w14:paraId="14066D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80" w:lineRule="auto"/>
        <w:ind w:firstLine="420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公开遴选审计机构评分表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522" w:tblpY="442"/>
        <w:tblOverlap w:val="never"/>
        <w:tblW w:w="140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2"/>
        <w:gridCol w:w="2063"/>
        <w:gridCol w:w="6730"/>
        <w:gridCol w:w="1557"/>
        <w:gridCol w:w="1927"/>
      </w:tblGrid>
      <w:tr w14:paraId="3AEC7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8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4161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B8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评分项目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A5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审查标准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58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得分情况</w:t>
            </w: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4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E7AD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1782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 w14:paraId="2F7BD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技术部分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（共52分）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9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拟派团队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" w:bidi="ar"/>
                <w:woUserID w:val="7"/>
              </w:rPr>
              <w:t>综合实力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FE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sz w:val="28"/>
                <w:szCs w:val="28"/>
                <w:lang w:val="en-US" w:eastAsia="zh-CN" w:bidi="ar"/>
              </w:rPr>
              <w:t>按拟派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项目的实际</w:t>
            </w:r>
            <w:r>
              <w:rPr>
                <w:rStyle w:val="10"/>
                <w:rFonts w:hint="eastAsia"/>
                <w:sz w:val="28"/>
                <w:szCs w:val="28"/>
                <w:lang w:val="en-US" w:eastAsia="zh-CN" w:bidi="ar"/>
              </w:rPr>
              <w:t>注册会计师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人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数</w:t>
            </w:r>
            <w:r>
              <w:rPr>
                <w:rStyle w:val="10"/>
                <w:rFonts w:hint="eastAsia" w:ascii="仿宋" w:eastAsia="仿宋"/>
                <w:sz w:val="28"/>
                <w:szCs w:val="28"/>
                <w:lang w:eastAsia="zh" w:bidi="ar"/>
                <w:woUserID w:val="7"/>
              </w:rPr>
              <w:t>、团队人数、团队成员的经验等综合考量，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由高到低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排次，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本项满分</w:t>
            </w:r>
            <w:r>
              <w:rPr>
                <w:rStyle w:val="10"/>
                <w:rFonts w:hint="eastAsia" w:ascii="仿宋"/>
                <w:sz w:val="28"/>
                <w:szCs w:val="28"/>
                <w:lang w:val="en-US" w:eastAsia="zh-CN" w:bidi="ar"/>
              </w:rPr>
              <w:t>6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40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85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</w:tr>
      <w:tr w14:paraId="24605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1782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 w14:paraId="04ABF1E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3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现场负责人资历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F5A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按拟派团队现场负责人（团队负责人）执业年限长短、相关项目业绩经历进行评分。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4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5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07AC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82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 w14:paraId="764122F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79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主要工作方案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EF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主要工作方案应符合本项目实际情况、全面具体、准确、科学合理并且具有可操作性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。本项满分1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DF9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8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20FB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1782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 w14:paraId="4EEE04AF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3182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重大事项及疑难点分析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159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重大事项及疑难点分析应符合项目实际，具体准确、科学合理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405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1EB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</w:pPr>
          </w:p>
        </w:tc>
      </w:tr>
      <w:tr w14:paraId="44CDB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782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 w14:paraId="0F4F3D5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D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进度安排措施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E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进度计划应具体、准确、可操作性强、安排科学高效、可以满足本项目合理进度需求。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3B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BD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A4D7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782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BADE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2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应急预案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8E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应急预案应科学合理、具有可操作性、可以满足项目可能突发情况的实际需求（包括但不限于赶工、资产丢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失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等）。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F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6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2DC7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782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91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商务部分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（共28分）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D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机构规模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EE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报名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机构规模进行评分，影响因素包括但不限于机构注册会计师人数、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机构荣誉、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主营业务收入、分支机构、机构内部规章制度等。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590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9A4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2867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6CAF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E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非金属矿物制品业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评估业绩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E3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按报名机构从事过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" w:bidi="ar"/>
                <w:woUserID w:val="2"/>
              </w:rPr>
              <w:t>石油化工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类等与本项目类似项目业绩进行评分。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每提供1项业绩为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分，本项满分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10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分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6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B7C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 w14:paraId="67830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ACC7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6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破产项目业绩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06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按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报名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机构从事过有关破产项目业绩进行评分。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每提供1项业绩为2分，本项满分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eastAsia="zh-CN" w:bidi="ar"/>
              </w:rPr>
              <w:t>分。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9A6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24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6FC0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82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8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价格部分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（共20分）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C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最终报价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8B4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sz w:val="28"/>
                <w:szCs w:val="28"/>
                <w:lang w:val="en-US" w:eastAsia="zh-CN" w:bidi="ar"/>
              </w:rPr>
              <w:t>1.报价基准价：满足资格的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报名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机构且最终报价最低的作为报价基准价，报价基准价为满分12分。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2.其他满足资格的</w:t>
            </w:r>
            <w:r>
              <w:rPr>
                <w:rStyle w:val="10"/>
                <w:rFonts w:hint="default" w:ascii="仿宋"/>
                <w:sz w:val="28"/>
                <w:szCs w:val="28"/>
                <w:lang w:eastAsia="zh-CN" w:bidi="ar"/>
              </w:rPr>
              <w:t>报名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机构且最终报价得分按照下列公式计算：最终报价得分＝（报价基准价／投标报价）×12。得分保留至小数点后两位（四舍五入）。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4D8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FA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</w:tr>
      <w:tr w14:paraId="28E2E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78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923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A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接受终结破产程序后支付费用的声明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CC1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10"/>
                <w:sz w:val="28"/>
                <w:szCs w:val="28"/>
                <w:lang w:val="en-US" w:eastAsia="zh-CN" w:bidi="ar"/>
              </w:rPr>
              <w:t>有接受终结破产程序后支付费用的相关声明者得</w:t>
            </w:r>
            <w:r>
              <w:rPr>
                <w:rStyle w:val="10"/>
                <w:rFonts w:hint="eastAsia"/>
                <w:sz w:val="28"/>
                <w:szCs w:val="28"/>
                <w:lang w:val="en-US" w:eastAsia="zh-CN" w:bidi="ar"/>
              </w:rPr>
              <w:t>8</w:t>
            </w:r>
            <w:r>
              <w:rPr>
                <w:rStyle w:val="10"/>
                <w:sz w:val="28"/>
                <w:szCs w:val="28"/>
                <w:lang w:val="en-US" w:eastAsia="zh-CN" w:bidi="ar"/>
              </w:rPr>
              <w:t>分；无则不得分。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CE2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8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0"/>
                <w:sz w:val="28"/>
                <w:szCs w:val="28"/>
                <w:lang w:val="en-US" w:eastAsia="zh-CN" w:bidi="ar"/>
              </w:rPr>
            </w:pPr>
          </w:p>
        </w:tc>
      </w:tr>
    </w:tbl>
    <w:p w14:paraId="71B47509">
      <w:pPr>
        <w:pStyle w:val="2"/>
        <w:jc w:val="center"/>
        <w:rPr>
          <w:rFonts w:hint="eastAsia"/>
          <w:b/>
          <w:bCs/>
          <w:sz w:val="28"/>
          <w:szCs w:val="28"/>
          <w:lang w:val="en-US" w:eastAsia="zh-CN"/>
        </w:rPr>
      </w:pPr>
    </w:p>
    <w:p w14:paraId="4367C5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"/>
          <w:woUserID w:val="7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" w:bidi="ar"/>
          <w:woUserID w:val="7"/>
        </w:rPr>
        <w:t>注：报名机构提供的业绩材料、资质类材料等均需为本机构自身业绩及资质，如提供总所、分所，或其他关联机构的业绩或资质，均不得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"/>
          <w:woUserID w:val="7"/>
        </w:rPr>
        <w:t xml:space="preserve">分；各评委仅就技术部分打分。 </w:t>
      </w:r>
    </w:p>
    <w:p w14:paraId="121C060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"/>
          <w:woUserID w:val="7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"/>
          <w:woUserID w:val="7"/>
        </w:rPr>
        <w:t xml:space="preserve">   </w:t>
      </w:r>
    </w:p>
    <w:p w14:paraId="482AA26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"/>
          <w:woUserID w:val="7"/>
        </w:rPr>
        <w:t>评委：（债权人代表/债务人代表/管理人）                签字/盖章：</w:t>
      </w:r>
    </w:p>
    <w:sectPr>
      <w:headerReference r:id="rId3" w:type="default"/>
      <w:footerReference r:id="rId4" w:type="default"/>
      <w:pgSz w:w="16838" w:h="11906" w:orient="landscape"/>
      <w:pgMar w:top="1134" w:right="1803" w:bottom="873" w:left="1803" w:header="850" w:footer="39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035E8">
    <w:pPr>
      <w:pStyle w:val="3"/>
      <w:tabs>
        <w:tab w:val="left" w:pos="6793"/>
        <w:tab w:val="clear" w:pos="4153"/>
      </w:tabs>
      <w:rPr>
        <w:rFonts w:hint="eastAsia" w:ascii="仿宋" w:hAnsi="仿宋" w:eastAsia="仿宋" w:cs="仿宋"/>
        <w:b/>
        <w:bCs/>
        <w:lang w:val="en-US" w:eastAsia="zh-CN"/>
      </w:rPr>
    </w:pPr>
    <w:r>
      <w:rPr>
        <w:rFonts w:hint="eastAsia" w:ascii="楷体" w:hAnsi="楷体" w:eastAsia="楷体" w:cs="楷体"/>
        <w:sz w:val="18"/>
      </w:rPr>
      <w:t>营口嘉利耐火制品有限公司破产清算</w: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4410710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3E103C">
                          <w:pPr>
                            <w:pStyle w:val="3"/>
                            <w:rPr>
                              <w:rFonts w:hint="eastAsia" w:ascii="楷体" w:hAnsi="楷体" w:eastAsia="楷体" w:cs="楷体"/>
                            </w:rPr>
                          </w:pPr>
                          <w:r>
                            <w:rPr>
                              <w:rFonts w:hint="eastAsia" w:ascii="楷体" w:hAnsi="楷体" w:eastAsia="楷体" w:cs="楷体"/>
                            </w:rPr>
                            <w:t>第</w:t>
                          </w:r>
                          <w:r>
                            <w:t xml:space="preserve"> </w: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t>1</w: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t xml:space="preserve"> 页 共 </w: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begin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separate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t>2</w:t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fldChar w:fldCharType="end"/>
                          </w:r>
                          <w:r>
                            <w:rPr>
                              <w:rFonts w:hint="eastAsia" w:ascii="楷体" w:hAnsi="楷体" w:eastAsia="楷体" w:cs="楷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47.3pt;margin-top:0pt;height:144pt;width:144pt;mso-position-horizontal-relative:margin;mso-wrap-style:none;z-index:251659264;mso-width-relative:page;mso-height-relative:page;" filled="f" stroked="f" coordsize="21600,21600" o:gfxdata="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MgRSfTFRiu0+3Zg&#10;sDfFGcSc6SfDW76pkXzLfHhgDqOAgvFYwj2WUhokMYNFSWXcl3+dx3h0CF5KGoxWTjVeEiXyvUbn&#10;ABhGw43GfjT0Ud0ZzCq6gVo6ExdckKNZOqM+4wWtYg64mObIlNMwmnehH2+8QC5Wqy7oaF19qPoL&#10;mDvLwlbvLI9ponrero4BYnYaR4F6VQbdMHldl4ZXEkf7z30X9fh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sTyjbNUAAAAIAQAADwAAAAAAAAABACAAAAAiAAAAZHJzL2Rvd25yZXYueG1sUEsB&#10;AhQAFAAAAAgAh07iQGuF+fsxAgAAYQQAAA4AAAAAAAAAAQAgAAAAJA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3E103C">
                    <w:pPr>
                      <w:pStyle w:val="3"/>
                      <w:rPr>
                        <w:rFonts w:hint="eastAsia" w:ascii="楷体" w:hAnsi="楷体" w:eastAsia="楷体" w:cs="楷体"/>
                      </w:rPr>
                    </w:pPr>
                    <w:r>
                      <w:rPr>
                        <w:rFonts w:hint="eastAsia" w:ascii="楷体" w:hAnsi="楷体" w:eastAsia="楷体" w:cs="楷体"/>
                      </w:rPr>
                      <w:t>第</w:t>
                    </w:r>
                    <w:r>
                      <w:t xml:space="preserve"> </w: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</w:rPr>
                      <w:instrText xml:space="preserve"> PAGE  \* MERGEFORMAT </w:instrTex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separate"/>
                    </w:r>
                    <w:r>
                      <w:rPr>
                        <w:rFonts w:hint="eastAsia" w:ascii="楷体" w:hAnsi="楷体" w:eastAsia="楷体" w:cs="楷体"/>
                      </w:rPr>
                      <w:t>1</w: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</w:rPr>
                      <w:t xml:space="preserve"> 页 共 </w: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begin"/>
                    </w:r>
                    <w:r>
                      <w:rPr>
                        <w:rFonts w:hint="eastAsia" w:ascii="楷体" w:hAnsi="楷体" w:eastAsia="楷体" w:cs="楷体"/>
                      </w:rPr>
                      <w:instrText xml:space="preserve"> NUMPAGES  \* MERGEFORMAT </w:instrTex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separate"/>
                    </w:r>
                    <w:r>
                      <w:rPr>
                        <w:rFonts w:hint="eastAsia" w:ascii="楷体" w:hAnsi="楷体" w:eastAsia="楷体" w:cs="楷体"/>
                      </w:rPr>
                      <w:t>2</w:t>
                    </w:r>
                    <w:r>
                      <w:rPr>
                        <w:rFonts w:hint="eastAsia" w:ascii="楷体" w:hAnsi="楷体" w:eastAsia="楷体" w:cs="楷体"/>
                      </w:rPr>
                      <w:fldChar w:fldCharType="end"/>
                    </w:r>
                    <w:r>
                      <w:rPr>
                        <w:rFonts w:hint="eastAsia" w:ascii="楷体" w:hAnsi="楷体" w:eastAsia="楷体" w:cs="楷体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楷体" w:hAnsi="楷体" w:eastAsia="楷体" w:cs="楷体"/>
        <w:b w:val="0"/>
        <w:bCs w:val="0"/>
        <w:lang w:val="en-US" w:eastAsia="zh-CN"/>
      </w:rPr>
      <w:t>案</w:t>
    </w:r>
  </w:p>
  <w:p w14:paraId="54CCCFB2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1BA95">
    <w:pPr>
      <w:widowControl/>
      <w:pBdr>
        <w:bottom w:val="single" w:color="auto" w:sz="4" w:space="0"/>
      </w:pBdr>
      <w:jc w:val="left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6194425</wp:posOffset>
          </wp:positionH>
          <wp:positionV relativeFrom="page">
            <wp:posOffset>81915</wp:posOffset>
          </wp:positionV>
          <wp:extent cx="2379980" cy="639445"/>
          <wp:effectExtent l="0" t="0" r="0" b="0"/>
          <wp:wrapTight wrapText="bothSides">
            <wp:wrapPolygon>
              <wp:start x="1936" y="4633"/>
              <wp:lineTo x="1245" y="8237"/>
              <wp:lineTo x="553" y="12355"/>
              <wp:lineTo x="2213" y="18018"/>
              <wp:lineTo x="2351" y="19047"/>
              <wp:lineTo x="10927" y="19047"/>
              <wp:lineTo x="13970" y="18018"/>
              <wp:lineTo x="18811" y="14929"/>
              <wp:lineTo x="18672" y="12870"/>
              <wp:lineTo x="21300" y="10811"/>
              <wp:lineTo x="20885" y="6692"/>
              <wp:lineTo x="2905" y="4633"/>
              <wp:lineTo x="1936" y="4633"/>
            </wp:wrapPolygon>
          </wp:wrapTight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9980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黑体" w:hAnsi="宋体" w:eastAsia="黑体" w:cs="黑体"/>
        <w:b/>
        <w:bCs/>
        <w:color w:val="BE8F00"/>
        <w:kern w:val="0"/>
        <w:szCs w:val="21"/>
        <w:lang w:bidi="ar"/>
      </w:rPr>
      <w:t>洞察 / 沟通 / 解决 / 良知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538"/>
    <w:rsid w:val="000D2538"/>
    <w:rsid w:val="001D7785"/>
    <w:rsid w:val="00575CC6"/>
    <w:rsid w:val="007B5AB1"/>
    <w:rsid w:val="008006E8"/>
    <w:rsid w:val="00980175"/>
    <w:rsid w:val="00B61442"/>
    <w:rsid w:val="02C64129"/>
    <w:rsid w:val="030546CC"/>
    <w:rsid w:val="03522419"/>
    <w:rsid w:val="06644EA3"/>
    <w:rsid w:val="10887AF2"/>
    <w:rsid w:val="13642DDD"/>
    <w:rsid w:val="1724750F"/>
    <w:rsid w:val="19BA36E2"/>
    <w:rsid w:val="21B9649F"/>
    <w:rsid w:val="2A7826B4"/>
    <w:rsid w:val="2F204FF5"/>
    <w:rsid w:val="3A0069F3"/>
    <w:rsid w:val="3D610670"/>
    <w:rsid w:val="444E45E8"/>
    <w:rsid w:val="453B0480"/>
    <w:rsid w:val="50454464"/>
    <w:rsid w:val="528C5FDC"/>
    <w:rsid w:val="639021D2"/>
    <w:rsid w:val="7AFB1AA2"/>
    <w:rsid w:val="7B682DB3"/>
    <w:rsid w:val="7E21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 w:eastAsia="宋体"/>
      <w:szCs w:val="20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customStyle="1" w:styleId="9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10">
    <w:name w:val="font11"/>
    <w:basedOn w:val="7"/>
    <w:autoRedefine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812</Words>
  <Characters>823</Characters>
  <Lines>2</Lines>
  <Paragraphs>1</Paragraphs>
  <TotalTime>17</TotalTime>
  <ScaleCrop>false</ScaleCrop>
  <LinksUpToDate>false</LinksUpToDate>
  <CharactersWithSpaces>843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2025-06-04T07:35:00Z</dcterms:created>
  <dc:creator>莫0小染</dc:creator>
  <cp:lastModifiedBy>WJdong</cp:lastModifiedBy>
  <dcterms:modified xsi:type="dcterms:W3CDTF">2025-07-30T07:25:57Z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eyJoZGlkIjoiMTE0MDIyMDBjM2E1YWIxYTk4NGZmMGZkYjU5MDljZjIiLCJ1c2VySWQiOiIzMDM0OTI2MzAifQ==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49A9ED4ED01F4A5CBCCC32B947A5400A_13</vt:lpwstr>
  </property>
</Properties>
</file>