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048BD">
      <w:pPr>
        <w:pStyle w:val="2"/>
        <w:rPr>
          <w:rFonts w:ascii="Times New Roman"/>
          <w:sz w:val="20"/>
        </w:rPr>
      </w:pPr>
      <w:bookmarkStart w:id="0" w:name="_GoBack"/>
      <w:bookmarkEnd w:id="0"/>
    </w:p>
    <w:p w14:paraId="61A5D36B">
      <w:pPr>
        <w:pStyle w:val="2"/>
        <w:spacing w:before="9"/>
        <w:rPr>
          <w:rFonts w:ascii="Times New Roman"/>
          <w:sz w:val="17"/>
        </w:rPr>
      </w:pPr>
    </w:p>
    <w:p w14:paraId="727CBA7D">
      <w:pPr>
        <w:tabs>
          <w:tab w:val="left" w:pos="659"/>
          <w:tab w:val="left" w:pos="1319"/>
          <w:tab w:val="left" w:pos="1979"/>
          <w:tab w:val="left" w:pos="2639"/>
          <w:tab w:val="left" w:pos="3299"/>
          <w:tab w:val="left" w:pos="3959"/>
          <w:tab w:val="left" w:pos="4619"/>
          <w:tab w:val="left" w:pos="5279"/>
          <w:tab w:val="left" w:pos="5939"/>
          <w:tab w:val="left" w:pos="6599"/>
          <w:tab w:val="left" w:pos="7259"/>
          <w:tab w:val="left" w:pos="7919"/>
        </w:tabs>
        <w:spacing w:before="38"/>
        <w:ind w:left="0" w:right="167" w:firstLine="0"/>
        <w:jc w:val="center"/>
        <w:rPr>
          <w:rFonts w:hint="eastAsia" w:ascii="宋体" w:eastAsia="宋体"/>
          <w:sz w:val="44"/>
        </w:rPr>
      </w:pPr>
      <w:r>
        <w:rPr>
          <w:rFonts w:hint="eastAsia" w:ascii="宋体" w:eastAsia="宋体"/>
          <w:sz w:val="44"/>
        </w:rPr>
        <w:t>福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建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省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泉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州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市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洛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江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区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人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民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法</w:t>
      </w:r>
      <w:r>
        <w:rPr>
          <w:rFonts w:hint="eastAsia" w:ascii="宋体" w:eastAsia="宋体"/>
          <w:sz w:val="44"/>
        </w:rPr>
        <w:tab/>
      </w:r>
      <w:r>
        <w:rPr>
          <w:rFonts w:hint="eastAsia" w:ascii="宋体" w:eastAsia="宋体"/>
          <w:sz w:val="44"/>
        </w:rPr>
        <w:t>院</w:t>
      </w:r>
    </w:p>
    <w:p w14:paraId="4CA0F855">
      <w:pPr>
        <w:pStyle w:val="2"/>
        <w:spacing w:before="12"/>
        <w:rPr>
          <w:rFonts w:ascii="宋体"/>
          <w:sz w:val="30"/>
        </w:rPr>
      </w:pPr>
    </w:p>
    <w:p w14:paraId="770234E3">
      <w:pPr>
        <w:spacing w:before="0"/>
        <w:ind w:left="0" w:right="168" w:firstLine="0"/>
        <w:jc w:val="center"/>
        <w:rPr>
          <w:rFonts w:hint="eastAsia" w:ascii="宋体" w:eastAsia="宋体"/>
          <w:b/>
          <w:sz w:val="52"/>
        </w:rPr>
      </w:pPr>
      <w:r>
        <w:rPr>
          <w:rFonts w:hint="eastAsia" w:ascii="宋体" w:eastAsia="宋体"/>
          <w:b/>
          <w:sz w:val="52"/>
        </w:rPr>
        <w:t>公 告</w:t>
      </w:r>
    </w:p>
    <w:p w14:paraId="73FF18AC">
      <w:pPr>
        <w:pStyle w:val="2"/>
        <w:rPr>
          <w:rFonts w:ascii="宋体"/>
          <w:b/>
          <w:sz w:val="42"/>
        </w:rPr>
      </w:pPr>
    </w:p>
    <w:p w14:paraId="42DF3CC2">
      <w:pPr>
        <w:pStyle w:val="2"/>
        <w:ind w:left="5510"/>
      </w:pPr>
      <w:r>
        <w:t>（</w:t>
      </w:r>
      <w:r>
        <w:rPr>
          <w:rFonts w:ascii="Times New Roman" w:eastAsia="Times New Roman"/>
        </w:rPr>
        <w:t>2025</w:t>
      </w:r>
      <w:r>
        <w:t>）</w:t>
      </w:r>
      <w:r>
        <w:rPr>
          <w:spacing w:val="-41"/>
        </w:rPr>
        <w:t xml:space="preserve">闽 </w:t>
      </w:r>
      <w:r>
        <w:rPr>
          <w:rFonts w:ascii="Times New Roman" w:eastAsia="Times New Roman"/>
        </w:rPr>
        <w:t>0504</w:t>
      </w:r>
      <w:r>
        <w:rPr>
          <w:rFonts w:ascii="Times New Roman" w:eastAsia="Times New Roman"/>
          <w:spacing w:val="-2"/>
        </w:rPr>
        <w:t xml:space="preserve"> </w:t>
      </w:r>
      <w:r>
        <w:rPr>
          <w:spacing w:val="-41"/>
        </w:rPr>
        <w:t xml:space="preserve">破 </w:t>
      </w:r>
      <w:r>
        <w:rPr>
          <w:rFonts w:ascii="Times New Roman" w:eastAsia="Times New Roman"/>
        </w:rPr>
        <w:t xml:space="preserve">6 </w:t>
      </w:r>
      <w:r>
        <w:t>号</w:t>
      </w:r>
    </w:p>
    <w:p w14:paraId="0809987B">
      <w:pPr>
        <w:pStyle w:val="2"/>
        <w:spacing w:before="2"/>
        <w:rPr>
          <w:sz w:val="46"/>
        </w:rPr>
      </w:pPr>
    </w:p>
    <w:p w14:paraId="6C555323">
      <w:pPr>
        <w:pStyle w:val="2"/>
        <w:spacing w:line="292" w:lineRule="auto"/>
        <w:ind w:left="105" w:right="262" w:firstLine="640"/>
        <w:jc w:val="both"/>
      </w:pPr>
      <w:r>
        <w:rPr>
          <w:spacing w:val="-10"/>
        </w:rPr>
        <w:t xml:space="preserve">泉州市中级人民法院于 </w:t>
      </w:r>
      <w:r>
        <w:rPr>
          <w:rFonts w:ascii="Times New Roman" w:eastAsia="Times New Roman"/>
        </w:rPr>
        <w:t>2025</w:t>
      </w:r>
      <w:r>
        <w:rPr>
          <w:rFonts w:ascii="Times New Roman" w:eastAsia="Times New Roman"/>
          <w:spacing w:val="-21"/>
        </w:rPr>
        <w:t xml:space="preserve"> </w:t>
      </w:r>
      <w:r>
        <w:rPr>
          <w:spacing w:val="-51"/>
        </w:rPr>
        <w:t xml:space="preserve">年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-21"/>
        </w:rPr>
        <w:t xml:space="preserve"> </w:t>
      </w:r>
      <w:r>
        <w:rPr>
          <w:spacing w:val="-51"/>
        </w:rPr>
        <w:t xml:space="preserve">月 </w:t>
      </w:r>
      <w:r>
        <w:rPr>
          <w:rFonts w:ascii="Times New Roman" w:eastAsia="Times New Roman"/>
        </w:rPr>
        <w:t>16</w:t>
      </w:r>
      <w:r>
        <w:rPr>
          <w:rFonts w:ascii="Times New Roman" w:eastAsia="Times New Roman"/>
          <w:spacing w:val="-22"/>
        </w:rPr>
        <w:t xml:space="preserve"> </w:t>
      </w:r>
      <w:r>
        <w:t>日裁定受理北京好心</w:t>
      </w:r>
      <w:r>
        <w:rPr>
          <w:spacing w:val="5"/>
        </w:rPr>
        <w:t>眼儿文化发展有限公司申请泉州市嗨范文化发展有限公司破产</w:t>
      </w:r>
      <w:r>
        <w:rPr>
          <w:spacing w:val="-4"/>
        </w:rPr>
        <w:t xml:space="preserve">清算一案，并于同日裁定本案交本院审理，本院于 </w:t>
      </w:r>
      <w:r>
        <w:rPr>
          <w:rFonts w:ascii="Times New Roman" w:eastAsia="Times New Roman"/>
        </w:rPr>
        <w:t>2025</w:t>
      </w:r>
      <w:r>
        <w:rPr>
          <w:rFonts w:ascii="Times New Roman" w:eastAsia="Times New Roman"/>
          <w:spacing w:val="-6"/>
        </w:rPr>
        <w:t xml:space="preserve"> </w:t>
      </w:r>
      <w:r>
        <w:rPr>
          <w:spacing w:val="-43"/>
        </w:rPr>
        <w:t xml:space="preserve">年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-4"/>
        </w:rPr>
        <w:t xml:space="preserve"> </w:t>
      </w:r>
      <w:r>
        <w:t>月</w:t>
      </w:r>
    </w:p>
    <w:p w14:paraId="086CAF1E">
      <w:pPr>
        <w:pStyle w:val="2"/>
        <w:spacing w:line="292" w:lineRule="auto"/>
        <w:ind w:left="105" w:right="111" w:hanging="1"/>
        <w:jc w:val="both"/>
      </w:pPr>
      <w:r>
        <w:rPr>
          <w:rFonts w:ascii="Times New Roman" w:eastAsia="Times New Roman"/>
        </w:rPr>
        <w:t xml:space="preserve">30 </w:t>
      </w:r>
      <w:r>
        <w:rPr>
          <w:spacing w:val="-8"/>
        </w:rPr>
        <w:t xml:space="preserve">日立案，并于 </w:t>
      </w:r>
      <w:r>
        <w:rPr>
          <w:rFonts w:ascii="Times New Roman" w:eastAsia="Times New Roman"/>
        </w:rPr>
        <w:t xml:space="preserve">2025 </w:t>
      </w:r>
      <w:r>
        <w:rPr>
          <w:spacing w:val="-38"/>
        </w:rPr>
        <w:t xml:space="preserve">年 </w:t>
      </w:r>
      <w:r>
        <w:rPr>
          <w:rFonts w:ascii="Times New Roman" w:eastAsia="Times New Roman"/>
        </w:rPr>
        <w:t xml:space="preserve">7 </w:t>
      </w:r>
      <w:r>
        <w:rPr>
          <w:spacing w:val="-38"/>
        </w:rPr>
        <w:t xml:space="preserve">月 </w:t>
      </w:r>
      <w:r>
        <w:rPr>
          <w:rFonts w:ascii="Times New Roman" w:eastAsia="Times New Roman"/>
        </w:rPr>
        <w:t xml:space="preserve">22 </w:t>
      </w:r>
      <w:r>
        <w:rPr>
          <w:spacing w:val="5"/>
        </w:rPr>
        <w:t>日指定泉州公正会计师事务所</w:t>
      </w:r>
      <w:r>
        <w:rPr>
          <w:spacing w:val="-6"/>
        </w:rPr>
        <w:t>有限公司担任泉州市嗨范文化发展有限公司管理人。根据《最高</w:t>
      </w:r>
      <w:r>
        <w:rPr>
          <w:spacing w:val="-13"/>
        </w:rPr>
        <w:t>人民法院关于推进破产案件依法高效审理的意见》，本案适用快</w:t>
      </w:r>
      <w:r>
        <w:rPr>
          <w:spacing w:val="-14"/>
        </w:rPr>
        <w:t>速审理方式，由审判员苏静娴担任审判长，审判员彭诗平、审判</w:t>
      </w:r>
      <w:r>
        <w:rPr>
          <w:spacing w:val="-23"/>
        </w:rPr>
        <w:t>员林晓玲组成合议庭进行审理，法官助理刘树玲，书记员马金明。</w:t>
      </w:r>
    </w:p>
    <w:p w14:paraId="0C8D6249">
      <w:pPr>
        <w:pStyle w:val="2"/>
        <w:spacing w:line="292" w:lineRule="auto"/>
        <w:ind w:left="105" w:right="111" w:firstLine="640"/>
      </w:pPr>
      <w:r>
        <w:rPr>
          <w:spacing w:val="-5"/>
        </w:rPr>
        <w:t xml:space="preserve">泉州市嗨范文化发展有限公司的债权人应于 </w:t>
      </w:r>
      <w:r>
        <w:rPr>
          <w:rFonts w:ascii="Times New Roman" w:eastAsia="Times New Roman"/>
        </w:rPr>
        <w:t xml:space="preserve">2025 </w:t>
      </w:r>
      <w:r>
        <w:rPr>
          <w:spacing w:val="-45"/>
        </w:rPr>
        <w:t xml:space="preserve">年 </w:t>
      </w:r>
      <w:r>
        <w:rPr>
          <w:rFonts w:ascii="Times New Roman" w:eastAsia="Times New Roman"/>
        </w:rPr>
        <w:t xml:space="preserve">8 </w:t>
      </w:r>
      <w:r>
        <w:rPr>
          <w:spacing w:val="-45"/>
        </w:rPr>
        <w:t xml:space="preserve">月 </w:t>
      </w:r>
      <w:r>
        <w:rPr>
          <w:rFonts w:ascii="Times New Roman" w:eastAsia="Times New Roman"/>
        </w:rPr>
        <w:t xml:space="preserve">21 </w:t>
      </w:r>
      <w:r>
        <w:rPr>
          <w:spacing w:val="3"/>
        </w:rPr>
        <w:t>日前，向泉州市嗨范文化发展有限公司管理人</w:t>
      </w:r>
      <w:r>
        <w:rPr>
          <w:rFonts w:ascii="Times New Roman" w:eastAsia="Times New Roman"/>
        </w:rPr>
        <w:t>[</w:t>
      </w:r>
      <w:r>
        <w:rPr>
          <w:spacing w:val="3"/>
        </w:rPr>
        <w:t>通讯地址：福建</w:t>
      </w:r>
      <w:r>
        <w:rPr>
          <w:spacing w:val="-4"/>
        </w:rPr>
        <w:t>省泉州市丰泽区田安路金帝大厦六楼；邮政编码：</w:t>
      </w:r>
      <w:r>
        <w:rPr>
          <w:rFonts w:ascii="Times New Roman" w:eastAsia="Times New Roman"/>
          <w:spacing w:val="-11"/>
        </w:rPr>
        <w:t>362000</w:t>
      </w:r>
      <w:r>
        <w:rPr>
          <w:spacing w:val="-4"/>
        </w:rPr>
        <w:t>；联系</w:t>
      </w:r>
      <w:r>
        <w:rPr>
          <w:spacing w:val="4"/>
        </w:rPr>
        <w:t>人：张培辉、陈琳；联系电话：</w:t>
      </w:r>
      <w:r>
        <w:rPr>
          <w:rFonts w:ascii="Times New Roman" w:eastAsia="Times New Roman"/>
        </w:rPr>
        <w:t>13805920155</w:t>
      </w:r>
      <w:r>
        <w:rPr>
          <w:spacing w:val="6"/>
        </w:rPr>
        <w:t>、</w:t>
      </w:r>
      <w:r>
        <w:rPr>
          <w:rFonts w:ascii="Times New Roman" w:eastAsia="Times New Roman"/>
        </w:rPr>
        <w:t>19959111858]</w:t>
      </w:r>
      <w:r>
        <w:t>申</w:t>
      </w:r>
      <w:r>
        <w:rPr>
          <w:spacing w:val="-18"/>
        </w:rPr>
        <w:t xml:space="preserve">报债权，书面说明债权数额、有无财产担保及是否属于连带债权， </w:t>
      </w:r>
      <w:r>
        <w:rPr>
          <w:spacing w:val="-17"/>
        </w:rPr>
        <w:t>并提供相关证据材料。未在上述期限内申报债权的，可以在破产</w:t>
      </w:r>
      <w:r>
        <w:rPr>
          <w:spacing w:val="-18"/>
        </w:rPr>
        <w:t>财产最后分配前补充申报，但对此前已进行的分配，无权要求补充分配，同时要承担为审查和确认补充申报债权所产生的费用。</w:t>
      </w:r>
      <w:r>
        <w:rPr>
          <w:spacing w:val="-17"/>
        </w:rPr>
        <w:t>未依法申报债权的，不得依照《中华人民共和国企业破产法》规</w:t>
      </w:r>
      <w:r>
        <w:rPr>
          <w:spacing w:val="-30"/>
        </w:rPr>
        <w:t>定的程序行使权利</w:t>
      </w:r>
      <w:r>
        <w:t>（债权申报可以采用邮寄申报或现场申报的方式，具体详询管理人</w:t>
      </w:r>
      <w:r>
        <w:rPr>
          <w:spacing w:val="-159"/>
        </w:rPr>
        <w:t>）</w:t>
      </w:r>
      <w:r>
        <w:t>。</w:t>
      </w:r>
    </w:p>
    <w:p w14:paraId="6FAA2554">
      <w:pPr>
        <w:spacing w:after="0" w:line="292" w:lineRule="auto"/>
        <w:sectPr>
          <w:type w:val="continuous"/>
          <w:pgSz w:w="11910" w:h="16840"/>
          <w:pgMar w:top="1600" w:right="1200" w:bottom="280" w:left="1480" w:header="720" w:footer="720" w:gutter="0"/>
          <w:cols w:space="720" w:num="1"/>
        </w:sectPr>
      </w:pPr>
    </w:p>
    <w:p w14:paraId="0DBE0DC8">
      <w:pPr>
        <w:pStyle w:val="2"/>
        <w:rPr>
          <w:sz w:val="20"/>
        </w:rPr>
      </w:pPr>
    </w:p>
    <w:p w14:paraId="2D69BF31">
      <w:pPr>
        <w:pStyle w:val="2"/>
        <w:rPr>
          <w:sz w:val="20"/>
        </w:rPr>
      </w:pPr>
    </w:p>
    <w:p w14:paraId="55CD5DBA">
      <w:pPr>
        <w:pStyle w:val="2"/>
        <w:spacing w:before="66" w:line="292" w:lineRule="auto"/>
        <w:ind w:left="105" w:right="157" w:firstLine="640"/>
        <w:jc w:val="both"/>
      </w:pPr>
      <w:r>
        <w:rPr>
          <w:spacing w:val="-9"/>
        </w:rPr>
        <w:t xml:space="preserve">第一次债权人会议定于 </w:t>
      </w:r>
      <w:r>
        <w:rPr>
          <w:rFonts w:ascii="Times New Roman" w:eastAsia="Times New Roman"/>
        </w:rPr>
        <w:t xml:space="preserve">2025 </w:t>
      </w:r>
      <w:r>
        <w:rPr>
          <w:spacing w:val="-47"/>
        </w:rPr>
        <w:t xml:space="preserve">年 </w:t>
      </w:r>
      <w:r>
        <w:rPr>
          <w:rFonts w:ascii="Times New Roman" w:eastAsia="Times New Roman"/>
        </w:rPr>
        <w:t xml:space="preserve">8 </w:t>
      </w:r>
      <w:r>
        <w:rPr>
          <w:spacing w:val="-47"/>
        </w:rPr>
        <w:t xml:space="preserve">月 </w:t>
      </w:r>
      <w:r>
        <w:rPr>
          <w:rFonts w:ascii="Times New Roman" w:eastAsia="Times New Roman"/>
        </w:rPr>
        <w:t xml:space="preserve">29 </w:t>
      </w:r>
      <w:r>
        <w:rPr>
          <w:spacing w:val="-24"/>
        </w:rPr>
        <w:t xml:space="preserve">日下午 </w:t>
      </w:r>
      <w:r>
        <w:rPr>
          <w:rFonts w:ascii="Times New Roman" w:eastAsia="Times New Roman"/>
        </w:rPr>
        <w:t xml:space="preserve">15 </w:t>
      </w:r>
      <w:r>
        <w:rPr>
          <w:spacing w:val="-47"/>
        </w:rPr>
        <w:t xml:space="preserve">时 </w:t>
      </w:r>
      <w:r>
        <w:rPr>
          <w:rFonts w:ascii="Times New Roman" w:eastAsia="Times New Roman"/>
        </w:rPr>
        <w:t xml:space="preserve">30 </w:t>
      </w:r>
      <w:r>
        <w:t>分在</w:t>
      </w:r>
      <w:r>
        <w:rPr>
          <w:spacing w:val="-8"/>
        </w:rPr>
        <w:t>本院第四法庭采用现场方式召开。依法申报债权的债权人有权参</w:t>
      </w:r>
      <w:r>
        <w:rPr>
          <w:spacing w:val="-13"/>
        </w:rPr>
        <w:t>加债权人会议。参加会议的债权人系法人或其他组织的，应提交</w:t>
      </w:r>
      <w:r>
        <w:rPr>
          <w:spacing w:val="-15"/>
        </w:rPr>
        <w:t>营业执照、法定代表人或负责人身份证明书，如委托代理人出席</w:t>
      </w:r>
      <w:r>
        <w:rPr>
          <w:spacing w:val="-14"/>
        </w:rPr>
        <w:t>会议，应提交特别授权委托书、委托代理人的身份证件或律师执</w:t>
      </w:r>
      <w:r>
        <w:rPr>
          <w:spacing w:val="-12"/>
        </w:rPr>
        <w:t>业证，委托代理人是律师的还应提交律师事务所的指派函。参加</w:t>
      </w:r>
      <w:r>
        <w:rPr>
          <w:spacing w:val="-15"/>
        </w:rPr>
        <w:t>会议的债权人系自然人的，应提交个人身份证明，如委托代理人</w:t>
      </w:r>
      <w:r>
        <w:rPr>
          <w:spacing w:val="-14"/>
        </w:rPr>
        <w:t>出席会议，应提交特别授权委托书、委托代理人的身份证件或律师执业证，委托代理人是律师的还应提交律师事务所的指派函。</w:t>
      </w:r>
    </w:p>
    <w:p w14:paraId="750B63E1">
      <w:pPr>
        <w:pStyle w:val="2"/>
        <w:spacing w:line="292" w:lineRule="auto"/>
        <w:ind w:left="105" w:right="157" w:firstLine="640"/>
      </w:pPr>
      <w:r>
        <w:rPr>
          <w:spacing w:val="7"/>
        </w:rPr>
        <w:t>泉州市嗨范文化发展有限公司的债务人或者财产持有人应</w:t>
      </w:r>
      <w:r>
        <w:rPr>
          <w:spacing w:val="-1"/>
        </w:rPr>
        <w:t>当向泉州市嗨范文化发展有限公司管理人清偿债务或交付财产。</w:t>
      </w:r>
      <w:r>
        <w:rPr>
          <w:spacing w:val="-8"/>
        </w:rPr>
        <w:t>泉州市嗨范文化发展有限公司的股东、实际控制人、董事、监事</w:t>
      </w:r>
      <w:r>
        <w:rPr>
          <w:spacing w:val="-14"/>
        </w:rPr>
        <w:t>等执行机构或者决策机构的成员以及其他法律、法规规定的清算</w:t>
      </w:r>
      <w:r>
        <w:rPr>
          <w:spacing w:val="-18"/>
        </w:rPr>
        <w:t>义务人应配合泉州市嗨范文化发展有限公司管理人进行清算，否则应依法承担相应的法律责任。</w:t>
      </w:r>
    </w:p>
    <w:p w14:paraId="572722F3">
      <w:pPr>
        <w:pStyle w:val="2"/>
        <w:spacing w:line="409" w:lineRule="exact"/>
        <w:ind w:left="745"/>
      </w:pPr>
      <w:r>
        <w:t>特此公告</w:t>
      </w:r>
    </w:p>
    <w:p w14:paraId="71E63791">
      <w:pPr>
        <w:pStyle w:val="2"/>
      </w:pPr>
    </w:p>
    <w:p w14:paraId="3B1562BC">
      <w:pPr>
        <w:pStyle w:val="2"/>
      </w:pPr>
    </w:p>
    <w:p w14:paraId="13DB5068">
      <w:pPr>
        <w:pStyle w:val="2"/>
      </w:pPr>
    </w:p>
    <w:p w14:paraId="23B5E537">
      <w:pPr>
        <w:pStyle w:val="2"/>
        <w:spacing w:before="11"/>
        <w:rPr>
          <w:sz w:val="27"/>
        </w:rPr>
      </w:pPr>
    </w:p>
    <w:p w14:paraId="2CC42EBA">
      <w:pPr>
        <w:pStyle w:val="2"/>
        <w:ind w:left="4905"/>
      </w:pPr>
      <w:r>
        <w:t>二〇二五年七月二十二日</w:t>
      </w:r>
    </w:p>
    <w:sectPr>
      <w:pgSz w:w="11910" w:h="16840"/>
      <w:pgMar w:top="1600" w:right="120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696EC1"/>
    <w:rsid w:val="6C890C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927</Words>
  <Characters>981</Characters>
  <TotalTime>1</TotalTime>
  <ScaleCrop>false</ScaleCrop>
  <LinksUpToDate>false</LinksUpToDate>
  <CharactersWithSpaces>1032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2025-07-25T02:52:00Z</dcterms:created>
  <dc:creator>Administrator</dc:creator>
  <cp:lastModifiedBy>Evelyn</cp:lastModifiedBy>
  <dcterms:modified xsi:type="dcterms:W3CDTF">2025-07-28T02:20:01Z</dcterms:modified>
  <dc:title>&lt;32352DC6C63620B9ABB8E62E646F63&gt;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2025-07-25T00:00:00Z</vt:filetime>
  </property>
  <property fmtid="{D5CDD505-2E9C-101B-9397-08002B2CF9AE}" pid="5" name="KSOTemplateDocerSaveRecord">
    <vt:lpwstr>eyJoZGlkIjoiZjY2MTJiNjU5ZDQyZTMyZjVmZGJmMjU1MDQ0ZjU0MTUifQ==</vt:lpwstr>
  </property>
  <property fmtid="{D5CDD505-2E9C-101B-9397-08002B2CF9AE}" pid="6" name="KSOProductBuildVer">
    <vt:lpwstr>2052-12.1.0.21915</vt:lpwstr>
  </property>
  <property fmtid="{D5CDD505-2E9C-101B-9397-08002B2CF9AE}" pid="7" name="ICV">
    <vt:lpwstr>3501B48E623445159BAF703331544EFC_13</vt:lpwstr>
  </property>
</Properties>
</file>