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FF47C">
      <w:pPr>
        <w:spacing w:line="500" w:lineRule="exact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附件1</w:t>
      </w:r>
      <w:r>
        <w:rPr>
          <w:rFonts w:hint="eastAsia" w:ascii="仿宋" w:hAnsi="仿宋" w:eastAsia="仿宋" w:cs="仿宋"/>
          <w:sz w:val="24"/>
        </w:rPr>
        <w:t>：</w:t>
      </w:r>
    </w:p>
    <w:p w14:paraId="76632251">
      <w:pPr>
        <w:spacing w:line="50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 w14:paraId="5428857F">
      <w:pPr>
        <w:spacing w:line="50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法定代表人（负责人）身份证明书</w:t>
      </w:r>
    </w:p>
    <w:p w14:paraId="31962D95">
      <w:pPr>
        <w:spacing w:line="500" w:lineRule="exact"/>
        <w:rPr>
          <w:rFonts w:ascii="仿宋" w:hAnsi="仿宋" w:eastAsia="仿宋" w:cs="仿宋"/>
          <w:color w:val="000000"/>
          <w:sz w:val="36"/>
        </w:rPr>
      </w:pPr>
    </w:p>
    <w:p w14:paraId="695F7BCD">
      <w:pPr>
        <w:spacing w:line="5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同志在我单位任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职务，是我单位的法定代表人（负责人），特此证明。</w:t>
      </w:r>
    </w:p>
    <w:p w14:paraId="0F1D5D0A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7486FBE2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7979F03B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5601ED43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（单位盖章）</w:t>
      </w:r>
    </w:p>
    <w:p w14:paraId="22F7F77D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1DDE2937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    月    日</w:t>
      </w:r>
    </w:p>
    <w:p w14:paraId="6EDFDC4C">
      <w:pPr>
        <w:spacing w:line="500" w:lineRule="exact"/>
        <w:rPr>
          <w:rFonts w:ascii="仿宋" w:hAnsi="仿宋" w:eastAsia="仿宋" w:cs="仿宋"/>
          <w:color w:val="000000"/>
          <w:sz w:val="32"/>
          <w:szCs w:val="32"/>
        </w:rPr>
      </w:pPr>
    </w:p>
    <w:p w14:paraId="1D134E17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8A79336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（适用于机构债权人，另需一并附上加盖公章版的营业执照、法定代表人/负责人身份证正反面复印件）</w:t>
      </w:r>
    </w:p>
    <w:p w14:paraId="1FC743B4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3A7D1600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6BC1CE05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50995B9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5BC19014"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2BC1401C"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</w:t>
      </w:r>
    </w:p>
    <w:p w14:paraId="2FC53AC7">
      <w:pPr>
        <w:pStyle w:val="13"/>
        <w:spacing w:before="0" w:beforeLines="0" w:after="0" w:afterLines="0" w:line="480" w:lineRule="exact"/>
        <w:rPr>
          <w:rFonts w:ascii="仿宋" w:hAnsi="仿宋" w:eastAsia="仿宋" w:cs="仿宋"/>
          <w:b w:val="0"/>
          <w:bCs/>
        </w:rPr>
      </w:pPr>
      <w:r>
        <w:rPr>
          <w:rFonts w:hint="eastAsia" w:ascii="仿宋" w:hAnsi="仿宋" w:eastAsia="仿宋" w:cs="仿宋"/>
          <w:b w:val="0"/>
          <w:bCs/>
        </w:rPr>
        <w:t>授权委托书</w:t>
      </w:r>
    </w:p>
    <w:p w14:paraId="3C6CBE82">
      <w:pPr>
        <w:spacing w:line="480" w:lineRule="exact"/>
        <w:ind w:firstLine="482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委托人名称（姓名）</w:t>
      </w:r>
      <w:r>
        <w:rPr>
          <w:rFonts w:hint="eastAsia" w:ascii="仿宋" w:hAnsi="仿宋" w:eastAsia="仿宋" w:cs="仿宋"/>
          <w:sz w:val="24"/>
        </w:rPr>
        <w:t>：</w:t>
      </w:r>
    </w:p>
    <w:p w14:paraId="32D54F61">
      <w:pPr>
        <w:spacing w:line="48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委托人证件类型：□居民身份证     □营业执照     □其他</w:t>
      </w:r>
    </w:p>
    <w:p w14:paraId="3C530106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委托人证件号码：</w:t>
      </w:r>
    </w:p>
    <w:p w14:paraId="575B1347">
      <w:pPr>
        <w:spacing w:before="156" w:beforeLines="50" w:line="480" w:lineRule="exact"/>
        <w:ind w:firstLine="48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受托人姓名：</w:t>
      </w:r>
      <w:r>
        <w:rPr>
          <w:rFonts w:hint="eastAsia" w:ascii="仿宋" w:hAnsi="仿宋" w:eastAsia="仿宋" w:cs="仿宋"/>
          <w:sz w:val="24"/>
        </w:rPr>
        <w:t xml:space="preserve">               证件号码：</w:t>
      </w:r>
    </w:p>
    <w:p w14:paraId="5BFF6B4D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工作单位：</w:t>
      </w:r>
    </w:p>
    <w:p w14:paraId="70C44103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联系电话：</w:t>
      </w:r>
    </w:p>
    <w:p w14:paraId="33FEFA57">
      <w:pPr>
        <w:spacing w:before="156" w:beforeLines="50" w:line="480" w:lineRule="exact"/>
        <w:ind w:firstLine="48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受托人姓名</w:t>
      </w:r>
      <w:r>
        <w:rPr>
          <w:rFonts w:hint="eastAsia" w:ascii="仿宋" w:hAnsi="仿宋" w:eastAsia="仿宋" w:cs="仿宋"/>
          <w:sz w:val="24"/>
        </w:rPr>
        <w:t>：               证件号码：</w:t>
      </w:r>
    </w:p>
    <w:p w14:paraId="57D6A4F6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工作单位：</w:t>
      </w:r>
    </w:p>
    <w:p w14:paraId="60834489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联系电话：</w:t>
      </w:r>
    </w:p>
    <w:p w14:paraId="26E92D70">
      <w:pPr>
        <w:spacing w:before="156" w:beforeLines="50" w:line="480" w:lineRule="exact"/>
        <w:ind w:firstLine="48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现委托上述受托人在</w:t>
      </w:r>
      <w:r>
        <w:rPr>
          <w:rFonts w:hint="eastAsia" w:ascii="仿宋" w:hAnsi="仿宋" w:eastAsia="仿宋" w:cs="仿宋"/>
          <w:sz w:val="24"/>
          <w:lang w:eastAsia="zh-CN"/>
        </w:rPr>
        <w:t>优客(广州)供应链有限公司强制清算案</w:t>
      </w:r>
      <w:r>
        <w:rPr>
          <w:rFonts w:hint="eastAsia" w:ascii="仿宋" w:hAnsi="仿宋" w:eastAsia="仿宋" w:cs="仿宋"/>
          <w:sz w:val="24"/>
        </w:rPr>
        <w:t>中作为本人（本单位）的代理人，</w:t>
      </w:r>
      <w:r>
        <w:rPr>
          <w:rFonts w:hint="eastAsia" w:ascii="仿宋" w:hAnsi="仿宋" w:eastAsia="仿宋" w:cs="仿宋"/>
          <w:b/>
          <w:bCs/>
          <w:sz w:val="24"/>
        </w:rPr>
        <w:t>若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优客(广州)供应链有限公司</w:t>
      </w:r>
      <w:r>
        <w:rPr>
          <w:rFonts w:hint="eastAsia" w:ascii="仿宋" w:hAnsi="仿宋" w:eastAsia="仿宋" w:cs="仿宋"/>
          <w:b/>
          <w:bCs/>
          <w:sz w:val="24"/>
        </w:rPr>
        <w:t>进入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破产</w:t>
      </w:r>
      <w:r>
        <w:rPr>
          <w:rFonts w:hint="eastAsia" w:ascii="仿宋" w:hAnsi="仿宋" w:eastAsia="仿宋" w:cs="仿宋"/>
          <w:b/>
          <w:bCs/>
          <w:sz w:val="24"/>
        </w:rPr>
        <w:t>程序，本委托仍然有效</w:t>
      </w:r>
      <w:r>
        <w:rPr>
          <w:rFonts w:hint="eastAsia" w:ascii="仿宋" w:hAnsi="仿宋" w:eastAsia="仿宋" w:cs="仿宋"/>
          <w:sz w:val="24"/>
        </w:rPr>
        <w:t>。代理人的代理事项和权限如下：</w:t>
      </w:r>
    </w:p>
    <w:p w14:paraId="5A80EA37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1.申报债权、提交债权申报材料；核对申报材料中的复印件、签署核对意见；补正、修改有关材料的填写错误；</w:t>
      </w:r>
    </w:p>
    <w:p w14:paraId="1EA63997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2.签署、递交、接收和转送本案的各类法律文书及其他文件资料；</w:t>
      </w:r>
    </w:p>
    <w:p w14:paraId="69FC2820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3.</w:t>
      </w:r>
      <w:r>
        <w:rPr>
          <w:rFonts w:hint="eastAsia" w:ascii="仿宋" w:hAnsi="仿宋" w:eastAsia="仿宋" w:cs="仿宋"/>
          <w:sz w:val="24"/>
          <w:lang w:val="en-US" w:eastAsia="zh-CN"/>
        </w:rPr>
        <w:t>出席法院听证、</w:t>
      </w:r>
      <w:r>
        <w:rPr>
          <w:rFonts w:hint="eastAsia" w:ascii="仿宋" w:hAnsi="仿宋" w:eastAsia="仿宋" w:cs="仿宋"/>
          <w:sz w:val="24"/>
        </w:rPr>
        <w:t>出席（临时）债权人会议或债权人委员会会议，并行使如下权利：发表意见、核查债权、对（预）</w:t>
      </w:r>
      <w:r>
        <w:rPr>
          <w:rFonts w:hint="eastAsia" w:ascii="仿宋" w:hAnsi="仿宋" w:eastAsia="仿宋" w:cs="仿宋"/>
          <w:sz w:val="24"/>
          <w:lang w:eastAsia="zh-CN"/>
        </w:rPr>
        <w:t>破产</w:t>
      </w:r>
      <w:r>
        <w:rPr>
          <w:rFonts w:hint="eastAsia" w:ascii="仿宋" w:hAnsi="仿宋" w:eastAsia="仿宋" w:cs="仿宋"/>
          <w:sz w:val="24"/>
          <w:lang w:val="en-US" w:eastAsia="zh-CN"/>
        </w:rPr>
        <w:t>重整</w:t>
      </w:r>
      <w:r>
        <w:rPr>
          <w:rFonts w:hint="eastAsia" w:ascii="仿宋" w:hAnsi="仿宋" w:eastAsia="仿宋" w:cs="仿宋"/>
          <w:sz w:val="24"/>
        </w:rPr>
        <w:t>计划草案及其他提请（临时）债权人会议或债权人委员会会议审议的议案行使表决权；</w:t>
      </w:r>
    </w:p>
    <w:p w14:paraId="099C3E67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4.处理与本案相关的其他法律事务。</w:t>
      </w:r>
    </w:p>
    <w:p w14:paraId="4A12A2AD">
      <w:pPr>
        <w:spacing w:line="480" w:lineRule="exact"/>
        <w:ind w:firstLine="48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附件：受托人身份证件复印件（受托人是律师的，另附律师执业证复印件和律师事务所指派函原件；受托人是职工的，另附劳动合同复印件或社保证明原件；受托人是近亲属的，另附户口本、结婚证复印件）。</w:t>
      </w:r>
    </w:p>
    <w:p w14:paraId="47F79599">
      <w:pPr>
        <w:spacing w:line="48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委托人（签章）：</w:t>
      </w:r>
    </w:p>
    <w:p w14:paraId="0032E4C1">
      <w:pPr>
        <w:spacing w:line="48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日期：       年    月    日</w:t>
      </w:r>
    </w:p>
    <w:p w14:paraId="3B7E6F3E">
      <w:pPr>
        <w:spacing w:line="480" w:lineRule="exact"/>
        <w:ind w:firstLine="480" w:firstLineChars="20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4"/>
        </w:rPr>
        <w:t>填写说明：委托人是个人的，由个人签名；委托人是机构的，加盖公章，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509DBCED">
      <w:pPr>
        <w:spacing w:line="360" w:lineRule="auto"/>
        <w:jc w:val="both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3：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color w:val="000000"/>
          <w:sz w:val="24"/>
        </w:rPr>
        <w:t xml:space="preserve"> </w:t>
      </w:r>
    </w:p>
    <w:p w14:paraId="66463108">
      <w:pPr>
        <w:spacing w:line="500" w:lineRule="exact"/>
        <w:jc w:val="center"/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优客(广州)供应链有限公司强制清算案</w:t>
      </w:r>
    </w:p>
    <w:p w14:paraId="2DD3ED74">
      <w:pPr>
        <w:spacing w:line="500" w:lineRule="exact"/>
        <w:jc w:val="center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债权登记申报表</w:t>
      </w:r>
    </w:p>
    <w:p w14:paraId="3649440C">
      <w:pPr>
        <w:tabs>
          <w:tab w:val="left" w:pos="8190"/>
        </w:tabs>
        <w:spacing w:line="500" w:lineRule="exact"/>
        <w:ind w:right="-218" w:rightChars="-104"/>
        <w:jc w:val="left"/>
        <w:rPr>
          <w:rFonts w:ascii="仿宋" w:hAnsi="仿宋" w:eastAsia="仿宋" w:cs="仿宋"/>
          <w:bCs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 xml:space="preserve">                                             编号：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  <w:lang w:eastAsia="zh-CN"/>
        </w:rPr>
        <w:t>（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  <w:lang w:val="en-US" w:eastAsia="zh-CN"/>
        </w:rPr>
        <w:t>由清算组填写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  <w:lang w:eastAsia="zh-CN"/>
        </w:rPr>
        <w:t>）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</w:rPr>
        <w:t xml:space="preserve">     </w:t>
      </w:r>
    </w:p>
    <w:tbl>
      <w:tblPr>
        <w:tblStyle w:val="7"/>
        <w:tblW w:w="9937" w:type="dxa"/>
        <w:tblInd w:w="-6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900"/>
        <w:gridCol w:w="436"/>
        <w:gridCol w:w="2564"/>
        <w:gridCol w:w="1137"/>
        <w:gridCol w:w="2500"/>
      </w:tblGrid>
      <w:tr w14:paraId="15822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33C45016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债权人名称（姓名）</w:t>
            </w:r>
          </w:p>
        </w:tc>
        <w:tc>
          <w:tcPr>
            <w:tcW w:w="7537" w:type="dxa"/>
            <w:gridSpan w:val="5"/>
            <w:vAlign w:val="center"/>
          </w:tcPr>
          <w:p w14:paraId="0D4119A9">
            <w:pPr>
              <w:spacing w:line="500" w:lineRule="exact"/>
              <w:jc w:val="righ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58605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3E458B3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债权人证件类型</w:t>
            </w:r>
          </w:p>
        </w:tc>
        <w:tc>
          <w:tcPr>
            <w:tcW w:w="3900" w:type="dxa"/>
            <w:gridSpan w:val="3"/>
            <w:vAlign w:val="center"/>
          </w:tcPr>
          <w:p w14:paraId="0CFAE486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□居民身份证   □营业执照   □其他</w:t>
            </w:r>
          </w:p>
        </w:tc>
        <w:tc>
          <w:tcPr>
            <w:tcW w:w="1137" w:type="dxa"/>
            <w:vAlign w:val="center"/>
          </w:tcPr>
          <w:p w14:paraId="101DA1DA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债权人</w:t>
            </w:r>
          </w:p>
          <w:p w14:paraId="5BD6F25F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证件号码</w:t>
            </w:r>
          </w:p>
        </w:tc>
        <w:tc>
          <w:tcPr>
            <w:tcW w:w="2500" w:type="dxa"/>
            <w:vAlign w:val="center"/>
          </w:tcPr>
          <w:p w14:paraId="601D1FF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5888D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0314D367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主债务人名称（姓名）</w:t>
            </w:r>
          </w:p>
        </w:tc>
        <w:tc>
          <w:tcPr>
            <w:tcW w:w="7537" w:type="dxa"/>
            <w:gridSpan w:val="5"/>
            <w:vAlign w:val="center"/>
          </w:tcPr>
          <w:p w14:paraId="50FEC2ED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40B50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Merge w:val="restart"/>
            <w:vAlign w:val="center"/>
          </w:tcPr>
          <w:p w14:paraId="1435C1D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有无连带债权人</w:t>
            </w:r>
          </w:p>
        </w:tc>
        <w:tc>
          <w:tcPr>
            <w:tcW w:w="7537" w:type="dxa"/>
            <w:gridSpan w:val="5"/>
            <w:vAlign w:val="center"/>
          </w:tcPr>
          <w:p w14:paraId="6D5A6A83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B91D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Merge w:val="continue"/>
            <w:vAlign w:val="center"/>
          </w:tcPr>
          <w:p w14:paraId="7B84EA08"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35132766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</w:p>
        </w:tc>
        <w:tc>
          <w:tcPr>
            <w:tcW w:w="3000" w:type="dxa"/>
            <w:gridSpan w:val="2"/>
            <w:vAlign w:val="center"/>
          </w:tcPr>
          <w:p w14:paraId="3ADB3C83"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连带债权人名称（姓名）</w:t>
            </w:r>
          </w:p>
        </w:tc>
        <w:tc>
          <w:tcPr>
            <w:tcW w:w="3637" w:type="dxa"/>
            <w:gridSpan w:val="2"/>
            <w:vAlign w:val="center"/>
          </w:tcPr>
          <w:p w14:paraId="07AD39DF">
            <w:pPr>
              <w:spacing w:line="50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61909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43E6FA0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连带债权人申报方式</w:t>
            </w:r>
          </w:p>
        </w:tc>
        <w:tc>
          <w:tcPr>
            <w:tcW w:w="7537" w:type="dxa"/>
            <w:gridSpan w:val="5"/>
            <w:vAlign w:val="center"/>
          </w:tcPr>
          <w:p w14:paraId="0F12DC0D">
            <w:pPr>
              <w:spacing w:line="500" w:lineRule="exact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□共同申报          □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一人代表全体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代表人需有全体债权人授权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</w:tr>
      <w:tr w14:paraId="17F8D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400" w:type="dxa"/>
            <w:vMerge w:val="restart"/>
            <w:vAlign w:val="center"/>
          </w:tcPr>
          <w:p w14:paraId="03B28FC7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债权计算清单</w:t>
            </w:r>
          </w:p>
          <w:p w14:paraId="74428607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（单位：人民币/元）</w:t>
            </w:r>
          </w:p>
        </w:tc>
        <w:tc>
          <w:tcPr>
            <w:tcW w:w="3900" w:type="dxa"/>
            <w:gridSpan w:val="3"/>
            <w:tcBorders>
              <w:right w:val="single" w:color="auto" w:sz="4" w:space="0"/>
            </w:tcBorders>
            <w:vAlign w:val="center"/>
          </w:tcPr>
          <w:p w14:paraId="371CB85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本金余额</w:t>
            </w:r>
          </w:p>
        </w:tc>
        <w:tc>
          <w:tcPr>
            <w:tcW w:w="3637" w:type="dxa"/>
            <w:gridSpan w:val="2"/>
            <w:tcBorders>
              <w:left w:val="single" w:color="auto" w:sz="4" w:space="0"/>
            </w:tcBorders>
            <w:vAlign w:val="center"/>
          </w:tcPr>
          <w:p w14:paraId="63D9074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0465B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400" w:type="dxa"/>
            <w:vMerge w:val="continue"/>
            <w:vAlign w:val="center"/>
          </w:tcPr>
          <w:p w14:paraId="3FCB7CBC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7C7D0206"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一般债务利息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（如利息、复利、罚息、违约金等，计算至2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025年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当日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须提供详细计息表或说明计息方式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3637" w:type="dxa"/>
            <w:gridSpan w:val="2"/>
            <w:tcBorders>
              <w:left w:val="single" w:color="auto" w:sz="4" w:space="0"/>
            </w:tcBorders>
            <w:vAlign w:val="center"/>
          </w:tcPr>
          <w:p w14:paraId="62C39631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6B28B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vMerge w:val="continue"/>
            <w:vAlign w:val="center"/>
          </w:tcPr>
          <w:p w14:paraId="4C8E728F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0FCDBBD5"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其他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（如赔偿损失、仲裁费、诉讼费、评估费等，计算至202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5年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当日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，须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提供详细计算表或说明计算方式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3637" w:type="dxa"/>
            <w:gridSpan w:val="2"/>
            <w:tcBorders>
              <w:left w:val="single" w:color="auto" w:sz="4" w:space="0"/>
            </w:tcBorders>
            <w:vAlign w:val="center"/>
          </w:tcPr>
          <w:p w14:paraId="62AB92B9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76B8E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vMerge w:val="continue"/>
            <w:vAlign w:val="center"/>
          </w:tcPr>
          <w:p w14:paraId="13877FB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503B7635"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迟延履行期间的加倍债务利息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计算至2025年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当日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须提供详细计算表或说明计算方式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3637" w:type="dxa"/>
            <w:gridSpan w:val="2"/>
            <w:tcBorders>
              <w:left w:val="single" w:color="auto" w:sz="4" w:space="0"/>
            </w:tcBorders>
            <w:vAlign w:val="center"/>
          </w:tcPr>
          <w:p w14:paraId="1432AA38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08BE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00" w:type="dxa"/>
            <w:vMerge w:val="continue"/>
            <w:vAlign w:val="center"/>
          </w:tcPr>
          <w:p w14:paraId="2F7A3D14">
            <w:pPr>
              <w:spacing w:line="500" w:lineRule="exact"/>
              <w:jc w:val="left"/>
              <w:rPr>
                <w:rFonts w:ascii="仿宋" w:hAnsi="仿宋" w:eastAsia="仿宋" w:cs="仿宋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7F85FC1B">
            <w:pPr>
              <w:spacing w:line="5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3637" w:type="dxa"/>
            <w:gridSpan w:val="2"/>
            <w:tcBorders>
              <w:left w:val="single" w:color="auto" w:sz="4" w:space="0"/>
            </w:tcBorders>
            <w:vAlign w:val="center"/>
          </w:tcPr>
          <w:p w14:paraId="5225A1D3">
            <w:pPr>
              <w:spacing w:line="50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</w:p>
        </w:tc>
      </w:tr>
      <w:tr w14:paraId="15419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400" w:type="dxa"/>
            <w:vAlign w:val="center"/>
          </w:tcPr>
          <w:p w14:paraId="7DDE0DA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申报债权性质</w:t>
            </w:r>
          </w:p>
        </w:tc>
        <w:tc>
          <w:tcPr>
            <w:tcW w:w="7537" w:type="dxa"/>
            <w:gridSpan w:val="5"/>
            <w:vAlign w:val="center"/>
          </w:tcPr>
          <w:p w14:paraId="4ABE6A01">
            <w:pPr>
              <w:tabs>
                <w:tab w:val="left" w:pos="911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建设工程价款优先受偿权    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有财产担保债权    3.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税款债权</w:t>
            </w:r>
          </w:p>
          <w:p w14:paraId="05F573F8">
            <w:pPr>
              <w:tabs>
                <w:tab w:val="left" w:pos="911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社会保险费用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   5.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普通债权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.其他：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   </w:t>
            </w:r>
          </w:p>
          <w:p w14:paraId="346EAF23">
            <w:pPr>
              <w:tabs>
                <w:tab w:val="left" w:pos="911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提示：“有财产担保债权”是指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优客(广州)供应链有限公司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以自身不动产、动产、权利等提供担保的债权。</w:t>
            </w:r>
          </w:p>
        </w:tc>
      </w:tr>
      <w:tr w14:paraId="126DC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400" w:type="dxa"/>
            <w:vMerge w:val="restart"/>
            <w:vAlign w:val="center"/>
          </w:tcPr>
          <w:p w14:paraId="0FE9E01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优客(广州)供应链有限公司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有无提供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自身财产担保</w:t>
            </w:r>
          </w:p>
        </w:tc>
        <w:tc>
          <w:tcPr>
            <w:tcW w:w="1336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1A46AF0B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  <w:p w14:paraId="24B606EC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763461F9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</w:p>
          <w:p w14:paraId="529F9048">
            <w:pPr>
              <w:spacing w:line="500" w:lineRule="exact"/>
              <w:ind w:firstLine="630" w:firstLineChars="30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vAlign w:val="center"/>
          </w:tcPr>
          <w:p w14:paraId="4E6EF9B0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担保金额：</w:t>
            </w:r>
          </w:p>
        </w:tc>
      </w:tr>
      <w:tr w14:paraId="09F0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400" w:type="dxa"/>
            <w:vMerge w:val="continue"/>
            <w:vAlign w:val="center"/>
          </w:tcPr>
          <w:p w14:paraId="183DD2C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16CC06FE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vAlign w:val="center"/>
          </w:tcPr>
          <w:p w14:paraId="2C350AED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担保形式：1.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抵押    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质押     3.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其他：</w:t>
            </w:r>
          </w:p>
        </w:tc>
      </w:tr>
      <w:tr w14:paraId="42A09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400" w:type="dxa"/>
            <w:vMerge w:val="continue"/>
            <w:vAlign w:val="center"/>
          </w:tcPr>
          <w:p w14:paraId="7C8C17E2">
            <w:pPr>
              <w:spacing w:line="500" w:lineRule="exact"/>
              <w:jc w:val="left"/>
              <w:rPr>
                <w:rFonts w:ascii="仿宋" w:hAnsi="仿宋" w:eastAsia="仿宋" w:cs="仿宋"/>
              </w:rPr>
            </w:pPr>
          </w:p>
        </w:tc>
        <w:tc>
          <w:tcPr>
            <w:tcW w:w="133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257D387B">
            <w:pPr>
              <w:spacing w:line="500" w:lineRule="exact"/>
              <w:jc w:val="left"/>
              <w:rPr>
                <w:rFonts w:ascii="仿宋" w:hAnsi="仿宋" w:eastAsia="仿宋" w:cs="仿宋"/>
              </w:rPr>
            </w:pP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vAlign w:val="center"/>
          </w:tcPr>
          <w:p w14:paraId="4FEC986E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担保财产：</w:t>
            </w:r>
          </w:p>
        </w:tc>
      </w:tr>
      <w:tr w14:paraId="6A8C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00" w:type="dxa"/>
            <w:vMerge w:val="restart"/>
            <w:vAlign w:val="center"/>
          </w:tcPr>
          <w:p w14:paraId="2566D7E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除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优客(广州)供应链有限公司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外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有无第三方提供担保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14:paraId="75753851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  <w:p w14:paraId="2CFE6A3F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373EBF3D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</w:p>
        </w:tc>
        <w:tc>
          <w:tcPr>
            <w:tcW w:w="6201" w:type="dxa"/>
            <w:gridSpan w:val="3"/>
            <w:vAlign w:val="center"/>
          </w:tcPr>
          <w:p w14:paraId="7D3B6484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提供担保的第三方名称（姓名）：</w:t>
            </w:r>
          </w:p>
        </w:tc>
      </w:tr>
      <w:tr w14:paraId="24A35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400" w:type="dxa"/>
            <w:vMerge w:val="continue"/>
            <w:vAlign w:val="center"/>
          </w:tcPr>
          <w:p w14:paraId="1DFE26D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3A23BA0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201" w:type="dxa"/>
            <w:gridSpan w:val="3"/>
            <w:vAlign w:val="center"/>
          </w:tcPr>
          <w:p w14:paraId="07A373EF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担保金额：</w:t>
            </w:r>
          </w:p>
        </w:tc>
      </w:tr>
      <w:tr w14:paraId="611EE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400" w:type="dxa"/>
            <w:vMerge w:val="continue"/>
            <w:vAlign w:val="center"/>
          </w:tcPr>
          <w:p w14:paraId="29DF9FE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030524B4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201" w:type="dxa"/>
            <w:gridSpan w:val="3"/>
            <w:vAlign w:val="center"/>
          </w:tcPr>
          <w:p w14:paraId="775DB613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担保形式：1.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保证  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抵押  3.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质押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其他：</w:t>
            </w:r>
          </w:p>
        </w:tc>
      </w:tr>
      <w:tr w14:paraId="6BF9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vMerge w:val="continue"/>
            <w:vAlign w:val="center"/>
          </w:tcPr>
          <w:p w14:paraId="79DB67FF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7131AAE7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</w:rPr>
            </w:pPr>
          </w:p>
        </w:tc>
        <w:tc>
          <w:tcPr>
            <w:tcW w:w="6201" w:type="dxa"/>
            <w:gridSpan w:val="3"/>
            <w:vAlign w:val="center"/>
          </w:tcPr>
          <w:p w14:paraId="19765722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担保财产：</w:t>
            </w:r>
          </w:p>
        </w:tc>
      </w:tr>
      <w:tr w14:paraId="47606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400" w:type="dxa"/>
            <w:vAlign w:val="center"/>
          </w:tcPr>
          <w:p w14:paraId="59DF2534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债权涉诉</w:t>
            </w:r>
          </w:p>
          <w:p w14:paraId="60A325EA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（仲裁）情况</w:t>
            </w:r>
          </w:p>
        </w:tc>
        <w:tc>
          <w:tcPr>
            <w:tcW w:w="7537" w:type="dxa"/>
            <w:gridSpan w:val="5"/>
            <w:vAlign w:val="center"/>
          </w:tcPr>
          <w:p w14:paraId="6DF25CAB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申报债权如有下列情形，请在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中打“√”：</w:t>
            </w:r>
          </w:p>
          <w:p w14:paraId="05DA0416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未提起诉讼或仲裁；</w:t>
            </w:r>
          </w:p>
          <w:p w14:paraId="17DB6C21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案件正处于立案或审理阶段；</w:t>
            </w:r>
          </w:p>
          <w:p w14:paraId="57CFE0F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案件已由法院或仲裁委员会作出生效的裁判文书；</w:t>
            </w:r>
          </w:p>
          <w:p w14:paraId="5CF544CE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案件已进入执行程序，取得回款金额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；</w:t>
            </w:r>
          </w:p>
          <w:p w14:paraId="485D8913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其他：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                                         </w:t>
            </w:r>
          </w:p>
        </w:tc>
      </w:tr>
      <w:tr w14:paraId="3F927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400" w:type="dxa"/>
            <w:vAlign w:val="center"/>
          </w:tcPr>
          <w:p w14:paraId="58BC5E44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债权证明材料（附后）名称</w:t>
            </w:r>
          </w:p>
        </w:tc>
        <w:tc>
          <w:tcPr>
            <w:tcW w:w="7537" w:type="dxa"/>
            <w:gridSpan w:val="5"/>
            <w:vAlign w:val="center"/>
          </w:tcPr>
          <w:p w14:paraId="4D793FD4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请按照《债权申报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材料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清单》详细填写。</w:t>
            </w:r>
          </w:p>
        </w:tc>
      </w:tr>
      <w:tr w14:paraId="0791B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7" w:type="dxa"/>
            <w:gridSpan w:val="6"/>
            <w:vAlign w:val="center"/>
          </w:tcPr>
          <w:p w14:paraId="71A3AAB4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注：1.此表应用钢笔或签字笔填写，或获取电子版后电脑输入。</w:t>
            </w:r>
          </w:p>
          <w:p w14:paraId="2ED8AFAE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编号由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填写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  <w:p w14:paraId="49D87C74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3.本债权申报表不构成对无效债权（包括但不限于已过诉讼时效的债权等）的重新有效确认。</w:t>
            </w:r>
          </w:p>
          <w:p w14:paraId="112B4A9B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4.债权申报人已全面、完整、知晓本次债权登记的有关要求并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保证提供资料及情况的真实、合法、完整，否则，一切法律后果由债权申报人承担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  <w:p w14:paraId="44D9D554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债权证明材料附在本表之后加债权人签章后与本表一同提交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。</w:t>
            </w:r>
          </w:p>
          <w:p w14:paraId="73D9DA1E">
            <w:pPr>
              <w:spacing w:line="500" w:lineRule="exact"/>
              <w:ind w:firstLine="482" w:firstLineChars="200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6.若人民法院裁定受理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优客(广州)供应链有限公司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破产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，本债权登记申报表在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破产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程序中继续有效，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有权根据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破产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受理日调整相应的债权审核结果。</w:t>
            </w:r>
          </w:p>
        </w:tc>
      </w:tr>
    </w:tbl>
    <w:p w14:paraId="18E1F1F9">
      <w:pPr>
        <w:spacing w:line="500" w:lineRule="exact"/>
        <w:jc w:val="left"/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债权人（签章）：               日期：    年  月  日</w:t>
      </w:r>
    </w:p>
    <w:p w14:paraId="14AA3E40">
      <w:pPr>
        <w:spacing w:line="5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</w:t>
      </w:r>
      <w:r>
        <w:rPr>
          <w:rFonts w:hint="eastAsia" w:ascii="仿宋" w:hAnsi="仿宋" w:eastAsia="仿宋" w:cs="仿宋"/>
          <w:b/>
          <w:bCs/>
          <w:sz w:val="24"/>
        </w:rPr>
        <w:t>，并由法定代表人或负责人签名。</w:t>
      </w:r>
    </w:p>
    <w:p w14:paraId="6222E75A">
      <w:pPr>
        <w:spacing w:line="50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br w:type="page"/>
      </w:r>
    </w:p>
    <w:p w14:paraId="70125A2F"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附件4：</w:t>
      </w:r>
    </w:p>
    <w:p w14:paraId="0B1AABE6">
      <w:pPr>
        <w:pStyle w:val="13"/>
        <w:spacing w:line="500" w:lineRule="exact"/>
        <w:rPr>
          <w:rFonts w:ascii="仿宋" w:hAnsi="仿宋" w:eastAsia="仿宋" w:cs="仿宋"/>
          <w:b w:val="0"/>
          <w:bCs/>
        </w:rPr>
      </w:pPr>
      <w:r>
        <w:rPr>
          <w:rFonts w:hint="eastAsia" w:ascii="仿宋" w:hAnsi="仿宋" w:eastAsia="仿宋" w:cs="仿宋"/>
          <w:b w:val="0"/>
          <w:bCs/>
          <w:lang w:eastAsia="zh-CN"/>
        </w:rPr>
        <w:t>优客(广州)供应链有限公司强制清算案</w:t>
      </w:r>
      <w:r>
        <w:rPr>
          <w:rFonts w:hint="eastAsia" w:ascii="仿宋" w:hAnsi="仿宋" w:eastAsia="仿宋" w:cs="仿宋"/>
          <w:b w:val="0"/>
          <w:bCs/>
        </w:rPr>
        <w:br w:type="textWrapping"/>
      </w:r>
      <w:r>
        <w:rPr>
          <w:rFonts w:hint="eastAsia" w:ascii="仿宋" w:hAnsi="仿宋" w:eastAsia="仿宋" w:cs="仿宋"/>
          <w:b w:val="0"/>
          <w:bCs/>
        </w:rPr>
        <w:t>债权申报书</w:t>
      </w:r>
    </w:p>
    <w:p w14:paraId="19413C8C">
      <w:pPr>
        <w:pStyle w:val="3"/>
        <w:spacing w:before="236" w:line="500" w:lineRule="exact"/>
        <w:ind w:firstLine="562" w:firstLineChars="200"/>
        <w:rPr>
          <w:rFonts w:ascii="仿宋" w:hAnsi="仿宋" w:eastAsia="仿宋" w:cs="仿宋"/>
          <w:b/>
          <w:u w:val="single"/>
        </w:rPr>
      </w:pPr>
      <w:r>
        <w:rPr>
          <w:rFonts w:hint="eastAsia" w:ascii="仿宋" w:hAnsi="仿宋" w:eastAsia="仿宋" w:cs="仿宋"/>
          <w:b/>
          <w:bCs/>
        </w:rPr>
        <w:t>债权人名称（姓名）：</w:t>
      </w:r>
      <w:r>
        <w:rPr>
          <w:rFonts w:hint="eastAsia" w:ascii="仿宋" w:hAnsi="仿宋" w:eastAsia="仿宋" w:cs="仿宋"/>
          <w:u w:val="single"/>
        </w:rPr>
        <w:t xml:space="preserve">                                 </w:t>
      </w:r>
    </w:p>
    <w:p w14:paraId="76BC7DDB">
      <w:pPr>
        <w:pStyle w:val="3"/>
        <w:tabs>
          <w:tab w:val="left" w:pos="3935"/>
        </w:tabs>
        <w:spacing w:line="500" w:lineRule="exact"/>
        <w:ind w:right="117" w:firstLine="562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</w:rPr>
        <w:t>申报债权总额：</w:t>
      </w:r>
      <w:r>
        <w:rPr>
          <w:rFonts w:hint="eastAsia" w:ascii="仿宋" w:hAnsi="仿宋" w:eastAsia="仿宋" w:cs="仿宋"/>
        </w:rPr>
        <w:t>人民币</w:t>
      </w:r>
      <w:r>
        <w:rPr>
          <w:rFonts w:hint="eastAsia" w:ascii="仿宋" w:hAnsi="仿宋" w:eastAsia="仿宋" w:cs="仿宋"/>
          <w:u w:val="single"/>
        </w:rPr>
        <w:t xml:space="preserve">           </w:t>
      </w:r>
      <w:r>
        <w:rPr>
          <w:rFonts w:hint="eastAsia" w:ascii="仿宋" w:hAnsi="仿宋" w:eastAsia="仿宋" w:cs="仿宋"/>
        </w:rPr>
        <w:t>元，明细如下：</w:t>
      </w:r>
    </w:p>
    <w:tbl>
      <w:tblPr>
        <w:tblStyle w:val="15"/>
        <w:tblW w:w="9876" w:type="dxa"/>
        <w:tblInd w:w="-8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1869"/>
        <w:gridCol w:w="2040"/>
        <w:gridCol w:w="2160"/>
        <w:gridCol w:w="1941"/>
      </w:tblGrid>
      <w:tr w14:paraId="1DBEF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866" w:type="dxa"/>
          </w:tcPr>
          <w:p w14:paraId="383520D6">
            <w:pPr>
              <w:pStyle w:val="14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本金</w:t>
            </w:r>
          </w:p>
        </w:tc>
        <w:tc>
          <w:tcPr>
            <w:tcW w:w="1869" w:type="dxa"/>
          </w:tcPr>
          <w:p w14:paraId="69398955">
            <w:pPr>
              <w:pStyle w:val="14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一般债务利息</w:t>
            </w:r>
          </w:p>
        </w:tc>
        <w:tc>
          <w:tcPr>
            <w:tcW w:w="2040" w:type="dxa"/>
          </w:tcPr>
          <w:p w14:paraId="5F5668AE">
            <w:pPr>
              <w:pStyle w:val="14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7"/>
                <w:sz w:val="24"/>
              </w:rPr>
              <w:t>其他费用</w:t>
            </w:r>
          </w:p>
        </w:tc>
        <w:tc>
          <w:tcPr>
            <w:tcW w:w="2160" w:type="dxa"/>
          </w:tcPr>
          <w:p w14:paraId="10FABD25">
            <w:pPr>
              <w:pStyle w:val="14"/>
              <w:spacing w:line="500" w:lineRule="exact"/>
              <w:jc w:val="center"/>
              <w:rPr>
                <w:rFonts w:ascii="仿宋" w:hAnsi="仿宋" w:eastAsia="仿宋" w:cs="仿宋"/>
                <w:bCs/>
                <w:spacing w:val="-7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7"/>
                <w:sz w:val="24"/>
              </w:rPr>
              <w:t>迟延履行期间的加倍债务利息</w:t>
            </w:r>
          </w:p>
        </w:tc>
        <w:tc>
          <w:tcPr>
            <w:tcW w:w="1941" w:type="dxa"/>
          </w:tcPr>
          <w:p w14:paraId="7E36F76D">
            <w:pPr>
              <w:pStyle w:val="14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7"/>
                <w:sz w:val="24"/>
              </w:rPr>
              <w:t>债权性质</w:t>
            </w:r>
          </w:p>
        </w:tc>
      </w:tr>
      <w:tr w14:paraId="3895CE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66" w:type="dxa"/>
          </w:tcPr>
          <w:p w14:paraId="426DC2D4">
            <w:pPr>
              <w:pStyle w:val="14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9" w:type="dxa"/>
          </w:tcPr>
          <w:p w14:paraId="07D81509">
            <w:pPr>
              <w:pStyle w:val="14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 w14:paraId="07ABC1D4">
            <w:pPr>
              <w:pStyle w:val="14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60" w:type="dxa"/>
          </w:tcPr>
          <w:p w14:paraId="6337A766">
            <w:pPr>
              <w:pStyle w:val="14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41" w:type="dxa"/>
          </w:tcPr>
          <w:p w14:paraId="691DD589">
            <w:pPr>
              <w:pStyle w:val="14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66267785">
      <w:pPr>
        <w:pStyle w:val="2"/>
        <w:spacing w:before="1" w:line="500" w:lineRule="exact"/>
        <w:ind w:left="0" w:leftChars="0" w:firstLine="56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利息/其他费用等计算方式及标准（可另附计算表）：</w:t>
      </w:r>
    </w:p>
    <w:p w14:paraId="6CC41DC1">
      <w:pPr>
        <w:pStyle w:val="12"/>
        <w:numPr>
          <w:ilvl w:val="0"/>
          <w:numId w:val="0"/>
        </w:numPr>
        <w:tabs>
          <w:tab w:val="left" w:pos="882"/>
        </w:tabs>
        <w:spacing w:line="500" w:lineRule="exact"/>
        <w:ind w:firstLine="55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一般债务利息计算方式:</w:t>
      </w:r>
      <w:r>
        <w:rPr>
          <w:rFonts w:hint="eastAsia" w:ascii="仿宋" w:hAnsi="仿宋" w:eastAsia="仿宋" w:cs="仿宋"/>
          <w:spacing w:val="-2"/>
          <w:sz w:val="28"/>
          <w:szCs w:val="28"/>
          <w:u w:val="single"/>
        </w:rPr>
        <w:t xml:space="preserve">                                  </w:t>
      </w:r>
    </w:p>
    <w:p w14:paraId="3AB6594B">
      <w:pPr>
        <w:pStyle w:val="12"/>
        <w:numPr>
          <w:ilvl w:val="0"/>
          <w:numId w:val="0"/>
        </w:numPr>
        <w:tabs>
          <w:tab w:val="left" w:pos="882"/>
        </w:tabs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其他费用计算方式: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</w:t>
      </w:r>
    </w:p>
    <w:p w14:paraId="008C668B">
      <w:pPr>
        <w:pStyle w:val="12"/>
        <w:numPr>
          <w:ilvl w:val="0"/>
          <w:numId w:val="0"/>
        </w:numPr>
        <w:tabs>
          <w:tab w:val="left" w:pos="882"/>
        </w:tabs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迟延履行期间的加倍债务利息计算方式：</w:t>
      </w:r>
      <w:r>
        <w:rPr>
          <w:rFonts w:hint="eastAsia" w:ascii="仿宋" w:hAnsi="仿宋" w:eastAsia="仿宋" w:cs="仿宋"/>
          <w:b/>
          <w:bCs/>
          <w:color w:val="000000"/>
          <w:sz w:val="24"/>
          <w:u w:val="single"/>
        </w:rPr>
        <w:t xml:space="preserve">                           </w:t>
      </w:r>
    </w:p>
    <w:p w14:paraId="2546A33C">
      <w:pPr>
        <w:pStyle w:val="12"/>
        <w:tabs>
          <w:tab w:val="left" w:pos="882"/>
        </w:tabs>
        <w:spacing w:line="500" w:lineRule="exact"/>
        <w:ind w:left="0" w:leftChars="0"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事实和理由：</w:t>
      </w:r>
    </w:p>
    <w:p w14:paraId="21F10C3E">
      <w:pPr>
        <w:pStyle w:val="3"/>
        <w:spacing w:line="500" w:lineRule="exact"/>
        <w:ind w:firstLine="528" w:firstLineChars="200"/>
        <w:rPr>
          <w:rFonts w:ascii="仿宋" w:hAnsi="仿宋" w:eastAsia="仿宋" w:cs="仿宋"/>
          <w:spacing w:val="-8"/>
          <w:u w:val="single"/>
        </w:rPr>
      </w:pPr>
      <w:r>
        <w:rPr>
          <w:rFonts w:hint="eastAsia" w:ascii="仿宋" w:hAnsi="仿宋" w:eastAsia="仿宋" w:cs="仿宋"/>
          <w:spacing w:val="-8"/>
          <w:u w:val="single"/>
        </w:rPr>
        <w:t xml:space="preserve">【请写明债权形成原因、经过、有无担保、是否到期、诉讼追收等相关事项】                                                           </w:t>
      </w:r>
    </w:p>
    <w:p w14:paraId="376F6487">
      <w:pPr>
        <w:pStyle w:val="3"/>
        <w:spacing w:line="500" w:lineRule="exact"/>
        <w:rPr>
          <w:rFonts w:ascii="仿宋" w:hAnsi="仿宋" w:eastAsia="仿宋" w:cs="仿宋"/>
          <w:spacing w:val="-8"/>
          <w:u w:val="single"/>
        </w:rPr>
      </w:pPr>
      <w:r>
        <w:rPr>
          <w:rFonts w:hint="eastAsia" w:ascii="仿宋" w:hAnsi="仿宋" w:eastAsia="仿宋" w:cs="仿宋"/>
          <w:spacing w:val="-8"/>
          <w:u w:val="single"/>
        </w:rPr>
        <w:t xml:space="preserve">                                                                   </w:t>
      </w:r>
    </w:p>
    <w:p w14:paraId="47706180">
      <w:pPr>
        <w:pStyle w:val="3"/>
        <w:spacing w:line="500" w:lineRule="exact"/>
        <w:rPr>
          <w:rFonts w:ascii="仿宋" w:hAnsi="仿宋" w:eastAsia="仿宋" w:cs="仿宋"/>
          <w:spacing w:val="-8"/>
          <w:u w:val="single"/>
        </w:rPr>
      </w:pPr>
      <w:r>
        <w:rPr>
          <w:rFonts w:hint="eastAsia" w:ascii="仿宋" w:hAnsi="仿宋" w:eastAsia="仿宋" w:cs="仿宋"/>
          <w:spacing w:val="-8"/>
          <w:u w:val="single"/>
        </w:rPr>
        <w:t xml:space="preserve">                                                                   </w:t>
      </w:r>
    </w:p>
    <w:p w14:paraId="3D59548D">
      <w:pPr>
        <w:pStyle w:val="3"/>
        <w:spacing w:line="500" w:lineRule="exact"/>
        <w:ind w:left="668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特此申报</w:t>
      </w:r>
    </w:p>
    <w:p w14:paraId="270D7207">
      <w:pPr>
        <w:pStyle w:val="3"/>
        <w:spacing w:before="201" w:line="500" w:lineRule="exact"/>
        <w:ind w:left="119" w:right="113" w:firstLine="539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注：若人民法院裁定受理</w:t>
      </w:r>
      <w:r>
        <w:rPr>
          <w:rFonts w:hint="eastAsia" w:ascii="仿宋" w:hAnsi="仿宋" w:eastAsia="仿宋" w:cs="仿宋"/>
          <w:lang w:eastAsia="zh-CN"/>
        </w:rPr>
        <w:t>优客(广州)供应链有限公司</w:t>
      </w:r>
      <w:r>
        <w:rPr>
          <w:rFonts w:hint="eastAsia" w:ascii="仿宋" w:hAnsi="仿宋" w:eastAsia="仿宋" w:cs="仿宋"/>
          <w:lang w:val="en-US" w:eastAsia="zh-CN"/>
        </w:rPr>
        <w:t>破产</w:t>
      </w:r>
      <w:r>
        <w:rPr>
          <w:rFonts w:hint="eastAsia" w:ascii="仿宋" w:hAnsi="仿宋" w:eastAsia="仿宋" w:cs="仿宋"/>
        </w:rPr>
        <w:t>，本债权申报书在</w:t>
      </w:r>
      <w:r>
        <w:rPr>
          <w:rFonts w:hint="eastAsia" w:ascii="仿宋" w:hAnsi="仿宋" w:eastAsia="仿宋" w:cs="仿宋"/>
          <w:lang w:val="en-US" w:eastAsia="zh-CN"/>
        </w:rPr>
        <w:t>破产</w:t>
      </w:r>
      <w:r>
        <w:rPr>
          <w:rFonts w:hint="eastAsia" w:ascii="仿宋" w:hAnsi="仿宋" w:eastAsia="仿宋" w:cs="仿宋"/>
        </w:rPr>
        <w:t>程序中继续有效，</w:t>
      </w:r>
      <w:r>
        <w:rPr>
          <w:rFonts w:hint="eastAsia" w:ascii="仿宋" w:hAnsi="仿宋" w:eastAsia="仿宋" w:cs="仿宋"/>
          <w:lang w:eastAsia="zh-CN"/>
        </w:rPr>
        <w:t>清算组</w:t>
      </w:r>
      <w:r>
        <w:rPr>
          <w:rFonts w:hint="eastAsia" w:ascii="仿宋" w:hAnsi="仿宋" w:eastAsia="仿宋" w:cs="仿宋"/>
        </w:rPr>
        <w:t>有权根据</w:t>
      </w:r>
      <w:r>
        <w:rPr>
          <w:rFonts w:hint="eastAsia" w:ascii="仿宋" w:hAnsi="仿宋" w:eastAsia="仿宋" w:cs="仿宋"/>
          <w:lang w:val="en-US" w:eastAsia="zh-CN"/>
        </w:rPr>
        <w:t>破产</w:t>
      </w:r>
      <w:r>
        <w:rPr>
          <w:rFonts w:hint="eastAsia" w:ascii="仿宋" w:hAnsi="仿宋" w:eastAsia="仿宋" w:cs="仿宋"/>
        </w:rPr>
        <w:t>受理日调整相应的债权审核结果。</w:t>
      </w:r>
    </w:p>
    <w:p w14:paraId="49DC30FD">
      <w:pPr>
        <w:pStyle w:val="12"/>
        <w:tabs>
          <w:tab w:val="left" w:pos="882"/>
        </w:tabs>
        <w:spacing w:line="500" w:lineRule="exact"/>
        <w:ind w:left="670" w:firstLine="3640" w:firstLineChars="13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债权人（签章）：</w:t>
      </w:r>
    </w:p>
    <w:p w14:paraId="1F502777">
      <w:pPr>
        <w:pStyle w:val="3"/>
        <w:tabs>
          <w:tab w:val="left" w:pos="1879"/>
          <w:tab w:val="left" w:pos="2639"/>
        </w:tabs>
        <w:spacing w:line="500" w:lineRule="exact"/>
        <w:ind w:right="106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</w:rPr>
        <w:t xml:space="preserve">       年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>日</w:t>
      </w:r>
    </w:p>
    <w:p w14:paraId="6106B3A1">
      <w:pPr>
        <w:spacing w:line="500" w:lineRule="exact"/>
        <w:ind w:firstLine="480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5926188E">
      <w:pPr>
        <w:spacing w:line="50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br w:type="page"/>
      </w:r>
    </w:p>
    <w:p w14:paraId="2588DD19">
      <w:pPr>
        <w:spacing w:line="500" w:lineRule="exact"/>
        <w:ind w:right="-58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附件5：</w:t>
      </w:r>
    </w:p>
    <w:p w14:paraId="0E96D5F0">
      <w:pPr>
        <w:widowControl/>
        <w:spacing w:line="440" w:lineRule="exact"/>
        <w:jc w:val="center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优客(广州)供应链有限公司强制清算案</w:t>
      </w:r>
    </w:p>
    <w:p w14:paraId="4B9A0119">
      <w:pPr>
        <w:spacing w:line="440" w:lineRule="exact"/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诚信申报承诺书</w:t>
      </w:r>
    </w:p>
    <w:p w14:paraId="6E28FCA9">
      <w:pPr>
        <w:spacing w:line="440" w:lineRule="exact"/>
        <w:ind w:firstLine="560"/>
        <w:rPr>
          <w:rFonts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bidi="ar"/>
        </w:rPr>
        <w:t>关于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eastAsia="zh-CN" w:bidi="ar"/>
        </w:rPr>
        <w:t>优客(广州)供应链有限公司强制清算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bidi="ar"/>
        </w:rPr>
        <w:t>一案，我方在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bidi="ar"/>
        </w:rPr>
        <w:t>送达的债权申报通知书后已向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hd w:val="clear" w:color="auto" w:fill="FFFFFF"/>
          <w:lang w:bidi="ar"/>
        </w:rPr>
        <w:t>申报债权，现承诺如下：</w:t>
      </w:r>
    </w:p>
    <w:p w14:paraId="3571E4C5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1.我方向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申报的债权真实有效，所提交的债权申报材料均是我方真实意思表示，不存在虚构债权、虚假陈述或伪造、变造债权证据材料的情形。</w:t>
      </w:r>
    </w:p>
    <w:p w14:paraId="6D621954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2.我方向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申报的债权不存在隐瞒已经全部受偿或部分受偿的事实。对于已经全部受偿的债权，我方不再进行申报；对于已经部分受偿的债权（包括但不限于债务人履行、从债务人的保证人或者其他连带债务人处获得清偿、人民法院执行参与分配、第三人代还等），我方已如实向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披露，并提供相关凭证及在申报债权时做相应扣减。</w:t>
      </w:r>
    </w:p>
    <w:p w14:paraId="67729B75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3.我方申报应由债务人承担的受理费、保全费、公告费后，本单位不再向人民法院申请退费，并同意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将我方申报的受理费、保全费、公告费等认定为普通债权，按普通债权顺序清偿。已申请退费的，我方不再申报。</w:t>
      </w:r>
    </w:p>
    <w:p w14:paraId="32C2BFBB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4.我方不存在恶意串通他人，企图侵害其他债权人或债务人合法利益的行为。</w:t>
      </w:r>
    </w:p>
    <w:p w14:paraId="744235CF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5.我方向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提供的债权申报信息发生变更的，我方将在7日内书面告知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eastAsia="zh-CN" w:bidi="ar"/>
        </w:rPr>
        <w:t>清算组</w:t>
      </w: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。</w:t>
      </w:r>
    </w:p>
    <w:p w14:paraId="2B172DFA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6.我方申报的债权不存在其他违反法律法规及诚实信用原则的情形。</w:t>
      </w:r>
    </w:p>
    <w:p w14:paraId="334B9953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若有违反上述承诺的不诚信行为，我方自愿承担由此造成的不利法律后果。</w:t>
      </w:r>
    </w:p>
    <w:p w14:paraId="7645E642">
      <w:pPr>
        <w:pStyle w:val="12"/>
        <w:spacing w:line="440" w:lineRule="exact"/>
        <w:ind w:left="0" w:firstLine="592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特此承诺。</w:t>
      </w:r>
    </w:p>
    <w:p w14:paraId="729F5B66">
      <w:pPr>
        <w:pStyle w:val="12"/>
        <w:spacing w:line="440" w:lineRule="exact"/>
        <w:ind w:left="0" w:firstLine="4144" w:firstLineChars="1400"/>
        <w:rPr>
          <w:rFonts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申报人（签章）：</w:t>
      </w:r>
    </w:p>
    <w:p w14:paraId="668247C5">
      <w:pPr>
        <w:pStyle w:val="12"/>
        <w:spacing w:line="440" w:lineRule="exact"/>
        <w:ind w:left="0" w:firstLine="4144" w:firstLineChars="14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日期：      年    月    日</w:t>
      </w:r>
    </w:p>
    <w:p w14:paraId="2F084A2D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6C12729E">
      <w:pPr>
        <w:spacing w:line="5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附件6：</w:t>
      </w:r>
    </w:p>
    <w:p w14:paraId="1AC4022D">
      <w:pPr>
        <w:spacing w:line="500" w:lineRule="exact"/>
        <w:jc w:val="center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优客(广州)供应链有限公司强制清算案</w:t>
      </w:r>
    </w:p>
    <w:p w14:paraId="6C9425AD">
      <w:pPr>
        <w:spacing w:line="500" w:lineRule="exact"/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债权人送达信息确认书</w:t>
      </w:r>
    </w:p>
    <w:tbl>
      <w:tblPr>
        <w:tblStyle w:val="7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253"/>
        <w:gridCol w:w="4684"/>
      </w:tblGrid>
      <w:tr w14:paraId="2BC63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68" w:type="dxa"/>
            <w:vAlign w:val="center"/>
          </w:tcPr>
          <w:p w14:paraId="0A7659EF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债权人</w:t>
            </w:r>
          </w:p>
        </w:tc>
        <w:tc>
          <w:tcPr>
            <w:tcW w:w="6937" w:type="dxa"/>
            <w:gridSpan w:val="2"/>
          </w:tcPr>
          <w:p w14:paraId="7964D181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026D0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6F48FED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告知</w:t>
            </w:r>
          </w:p>
        </w:tc>
        <w:tc>
          <w:tcPr>
            <w:tcW w:w="6937" w:type="dxa"/>
            <w:gridSpan w:val="2"/>
          </w:tcPr>
          <w:p w14:paraId="5E65CCC2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债权人提供的联系方式必须真实、有效，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向债权人发出的所有文书、通知等材料均按此联系方式进行邮寄或电子送达。如因债权人提供的联系方式有错误或变更后未及时通知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等原因，造成债权人未能在合理期间内收到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送达的文书、通知等材料的，后果由债权人自行承担。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为节省成本及提高效率，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将优先采用电子送达方式。</w:t>
            </w:r>
          </w:p>
        </w:tc>
      </w:tr>
      <w:tr w14:paraId="5DB5B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368" w:type="dxa"/>
            <w:vMerge w:val="restart"/>
          </w:tcPr>
          <w:p w14:paraId="2BB6DF2B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债权人提供的联系方式</w:t>
            </w:r>
          </w:p>
        </w:tc>
        <w:tc>
          <w:tcPr>
            <w:tcW w:w="2253" w:type="dxa"/>
          </w:tcPr>
          <w:p w14:paraId="219C433A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地址</w:t>
            </w:r>
          </w:p>
        </w:tc>
        <w:tc>
          <w:tcPr>
            <w:tcW w:w="4684" w:type="dxa"/>
          </w:tcPr>
          <w:p w14:paraId="02CBC0F2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320F3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68" w:type="dxa"/>
            <w:vMerge w:val="continue"/>
          </w:tcPr>
          <w:p w14:paraId="1E82F1EE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53" w:type="dxa"/>
          </w:tcPr>
          <w:p w14:paraId="2087EAF0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只能为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  <w:t>个人债权人本人、机构债权人的法定代表人/负责人、有代理权限的代理人）</w:t>
            </w:r>
          </w:p>
        </w:tc>
        <w:tc>
          <w:tcPr>
            <w:tcW w:w="4684" w:type="dxa"/>
          </w:tcPr>
          <w:p w14:paraId="194CCADD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16ABF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68" w:type="dxa"/>
            <w:vMerge w:val="continue"/>
          </w:tcPr>
          <w:p w14:paraId="0C30524B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53" w:type="dxa"/>
          </w:tcPr>
          <w:p w14:paraId="34D1ACA3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手机号码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  <w:t>（限填一个手机号码）</w:t>
            </w:r>
          </w:p>
        </w:tc>
        <w:tc>
          <w:tcPr>
            <w:tcW w:w="4684" w:type="dxa"/>
          </w:tcPr>
          <w:p w14:paraId="6AD8B531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4A30C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8" w:type="dxa"/>
            <w:vMerge w:val="continue"/>
          </w:tcPr>
          <w:p w14:paraId="5E96832B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53" w:type="dxa"/>
          </w:tcPr>
          <w:p w14:paraId="4F32E53B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电子邮箱</w:t>
            </w:r>
          </w:p>
        </w:tc>
        <w:tc>
          <w:tcPr>
            <w:tcW w:w="4684" w:type="dxa"/>
          </w:tcPr>
          <w:p w14:paraId="6E90F5C0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475E7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4C616F8E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债权人声明</w:t>
            </w:r>
          </w:p>
        </w:tc>
        <w:tc>
          <w:tcPr>
            <w:tcW w:w="6937" w:type="dxa"/>
            <w:gridSpan w:val="2"/>
          </w:tcPr>
          <w:p w14:paraId="51018B6D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我（单位）已知悉上述告知内容。我（单位）提供的上述联系方式是真实有效的，如未通知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变更，则该联系方式继续有效。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通过上述联系方式向我（单位）邮寄或电子送达材料等即视为送达。</w:t>
            </w:r>
          </w:p>
          <w:p w14:paraId="434EC391">
            <w:pPr>
              <w:spacing w:line="500" w:lineRule="exact"/>
              <w:ind w:firstLine="3120" w:firstLineChars="13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债权人（签章）：</w:t>
            </w:r>
          </w:p>
          <w:p w14:paraId="3FB16BE4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   年    月    日</w:t>
            </w:r>
          </w:p>
          <w:p w14:paraId="1484D7FB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填写说明：债权人是个人的，由个人签名；债权人是机构的，加盖公章，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并由法定代表人或负责人签名。</w:t>
            </w:r>
          </w:p>
        </w:tc>
      </w:tr>
      <w:tr w14:paraId="2148B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0EED0632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备注</w:t>
            </w:r>
          </w:p>
        </w:tc>
        <w:tc>
          <w:tcPr>
            <w:tcW w:w="6937" w:type="dxa"/>
            <w:gridSpan w:val="2"/>
          </w:tcPr>
          <w:p w14:paraId="3613664F"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优客(广州)供应链有限公司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进入破产程序，本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信息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仍然有效。</w:t>
            </w:r>
          </w:p>
        </w:tc>
      </w:tr>
    </w:tbl>
    <w:p w14:paraId="22DA0CF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4527B663">
      <w:pPr>
        <w:spacing w:line="5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3F8BF1CE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698CBCC1">
      <w:pPr>
        <w:spacing w:line="50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  <w:t>同意通过非现场形式召开债权人会议、以默认方式</w:t>
      </w:r>
    </w:p>
    <w:p w14:paraId="51D24A69">
      <w:pPr>
        <w:spacing w:line="50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  <w:t>进行表决/发表意见的确认书</w:t>
      </w:r>
    </w:p>
    <w:p w14:paraId="29F6A21A">
      <w:pPr>
        <w:spacing w:line="520" w:lineRule="exact"/>
        <w:jc w:val="center"/>
        <w:rPr>
          <w:rFonts w:ascii="仿宋" w:hAnsi="仿宋" w:eastAsia="仿宋" w:cs="黑体"/>
          <w:sz w:val="32"/>
          <w:szCs w:val="32"/>
        </w:rPr>
      </w:pPr>
    </w:p>
    <w:p w14:paraId="1A323629">
      <w:p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优客(广州)供应链有限公司清算组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9C1A900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同意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优客(广州)供应链有限公司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债权人会议可以采用函件、电子邮件、短信、微信、QQ、通讯群组及其他网络平台等便利有效的非现场形式召开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sz w:val="28"/>
          <w:szCs w:val="28"/>
        </w:rPr>
        <w:t>可以通过我（单位）提供的《送达信息确认书》或《授权委托书》确定的联系方式向我（单位）告知、送达有关的会议文件资料，送达方式包括函件、电子邮件、短信、微信、QQ、通讯群组及其他网络平台等。</w:t>
      </w:r>
    </w:p>
    <w:p w14:paraId="507B20DD">
      <w:pPr>
        <w:spacing w:line="520" w:lineRule="exact"/>
        <w:ind w:firstLine="560" w:firstLineChars="200"/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我（单位）就有关事项需要表决或提出意见的，将通过快递方式寄至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sz w:val="28"/>
          <w:szCs w:val="28"/>
        </w:rPr>
        <w:t>的办公场所（地址：广州市天河区天河北路189号中国市长大厦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sz w:val="28"/>
          <w:szCs w:val="28"/>
        </w:rPr>
        <w:t>层，联系人：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余关宝律师</w:t>
      </w:r>
      <w:r>
        <w:rPr>
          <w:rFonts w:hint="eastAsia" w:ascii="仿宋" w:hAnsi="仿宋" w:eastAsia="仿宋" w:cs="仿宋"/>
          <w:sz w:val="28"/>
          <w:szCs w:val="28"/>
        </w:rPr>
        <w:t>，电话：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13119504167）或电子邮件（lulawyer@163.com）、短信（13119504167)、微信(13119504167)、通讯群组及其他网络平台等方式向管理人送达。如我（单位）在管理人向我（单位）送达需要表决或者发表意见的文件后7日内仍没有通过前述方式向管理人提交表决结果/意见的，则视为默认我（单位）对相关事项表决同意/无意见。" </w:instrText>
      </w:r>
      <w:r>
        <w:rPr>
          <w:color w:val="auto"/>
        </w:rPr>
        <w:fldChar w:fldCharType="separate"/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15915962067</w:t>
      </w:r>
      <w:r>
        <w:rPr>
          <w:rStyle w:val="11"/>
          <w:rFonts w:hint="eastAsia" w:ascii="仿宋" w:hAnsi="仿宋" w:eastAsia="仿宋" w:cs="仿宋"/>
          <w:color w:val="auto"/>
          <w:sz w:val="28"/>
          <w:szCs w:val="28"/>
          <w:u w:val="none"/>
        </w:rPr>
        <w:t>）</w:t>
      </w:r>
      <w:r>
        <w:rPr>
          <w:rStyle w:val="11"/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或电子邮件（793733297@qq.com）、短信及微信(15915962067)、网络平台（投票）送达清算组</w:t>
      </w:r>
      <w:r>
        <w:rPr>
          <w:rStyle w:val="11"/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。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  <w:t>如我（单位）在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清算组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  <w:t>向我（单位）送达需要表决或者发表意见的文件后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在清算组要求的时间内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  <w:t>没有通过前述方式向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清算组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  <w:t>提交表决结果/意见的，则视为默认我（单位）对相关事项表决同意/无意见。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  <w:fldChar w:fldCharType="end"/>
      </w:r>
    </w:p>
    <w:p w14:paraId="07E4D542">
      <w:pPr>
        <w:spacing w:line="520" w:lineRule="exact"/>
        <w:ind w:firstLine="562" w:firstLineChars="200"/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Style w:val="11"/>
          <w:rFonts w:ascii="仿宋" w:hAnsi="仿宋" w:eastAsia="仿宋" w:cs="仿宋"/>
          <w:b/>
          <w:bCs/>
          <w:color w:val="auto"/>
          <w:sz w:val="28"/>
          <w:szCs w:val="28"/>
        </w:rPr>
        <w:t>若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优客(广州)供应链有限公司</w:t>
      </w:r>
      <w:r>
        <w:rPr>
          <w:rStyle w:val="11"/>
          <w:rFonts w:ascii="仿宋" w:hAnsi="仿宋" w:eastAsia="仿宋" w:cs="仿宋"/>
          <w:b/>
          <w:bCs/>
          <w:color w:val="auto"/>
          <w:sz w:val="28"/>
          <w:szCs w:val="28"/>
        </w:rPr>
        <w:t>进入破产程序，本</w:t>
      </w:r>
      <w:r>
        <w:rPr>
          <w:rStyle w:val="11"/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确认</w:t>
      </w:r>
      <w:r>
        <w:rPr>
          <w:rStyle w:val="11"/>
          <w:rFonts w:ascii="仿宋" w:hAnsi="仿宋" w:eastAsia="仿宋" w:cs="仿宋"/>
          <w:b/>
          <w:bCs/>
          <w:color w:val="auto"/>
          <w:sz w:val="28"/>
          <w:szCs w:val="28"/>
        </w:rPr>
        <w:t>仍然有效。</w:t>
      </w:r>
    </w:p>
    <w:p w14:paraId="23B679F7">
      <w:pPr>
        <w:spacing w:line="52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特此确认。</w:t>
      </w:r>
    </w:p>
    <w:p w14:paraId="51385ADB">
      <w:pPr>
        <w:spacing w:line="52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</w:p>
    <w:p w14:paraId="1534BF39">
      <w:pPr>
        <w:spacing w:line="520" w:lineRule="exact"/>
        <w:ind w:firstLine="3080" w:firstLineChars="1100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确认人（签章）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   </w:t>
      </w:r>
    </w:p>
    <w:p w14:paraId="00E21615">
      <w:pPr>
        <w:spacing w:line="520" w:lineRule="exact"/>
        <w:ind w:firstLine="5040" w:firstLineChars="18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 年     月     日</w:t>
      </w:r>
    </w:p>
    <w:p w14:paraId="60FBAA0B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54CB020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7E7D88E8">
      <w:pPr>
        <w:spacing w:line="500" w:lineRule="exact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</w:rPr>
        <w:t>：</w:t>
      </w:r>
    </w:p>
    <w:p w14:paraId="30FA1BDA">
      <w:pPr>
        <w:spacing w:line="500" w:lineRule="exact"/>
        <w:jc w:val="center"/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优客(广州)供应链有限公司强制清算案</w:t>
      </w:r>
    </w:p>
    <w:p w14:paraId="060B3F82">
      <w:pPr>
        <w:spacing w:line="500" w:lineRule="exact"/>
        <w:jc w:val="center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债权申报材料清单</w:t>
      </w:r>
    </w:p>
    <w:tbl>
      <w:tblPr>
        <w:tblStyle w:val="7"/>
        <w:tblW w:w="8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5614"/>
        <w:gridCol w:w="955"/>
        <w:gridCol w:w="1007"/>
      </w:tblGrid>
      <w:tr w14:paraId="12FEF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15" w:type="dxa"/>
            <w:vAlign w:val="center"/>
          </w:tcPr>
          <w:p w14:paraId="78901260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序号</w:t>
            </w:r>
          </w:p>
        </w:tc>
        <w:tc>
          <w:tcPr>
            <w:tcW w:w="5614" w:type="dxa"/>
            <w:vAlign w:val="center"/>
          </w:tcPr>
          <w:p w14:paraId="4A1DD6E6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材料名称</w:t>
            </w:r>
          </w:p>
        </w:tc>
        <w:tc>
          <w:tcPr>
            <w:tcW w:w="955" w:type="dxa"/>
            <w:vAlign w:val="center"/>
          </w:tcPr>
          <w:p w14:paraId="75CA104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页码</w:t>
            </w:r>
          </w:p>
        </w:tc>
        <w:tc>
          <w:tcPr>
            <w:tcW w:w="1007" w:type="dxa"/>
            <w:vAlign w:val="center"/>
          </w:tcPr>
          <w:p w14:paraId="63DFE5CF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是否</w:t>
            </w:r>
          </w:p>
          <w:p w14:paraId="1F802B0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原件</w:t>
            </w:r>
          </w:p>
        </w:tc>
      </w:tr>
      <w:tr w14:paraId="2EBCF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59B36F5D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</w:t>
            </w:r>
          </w:p>
        </w:tc>
        <w:tc>
          <w:tcPr>
            <w:tcW w:w="5614" w:type="dxa"/>
            <w:vAlign w:val="center"/>
          </w:tcPr>
          <w:p w14:paraId="53C424CA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6C449B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534C3C95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7B59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216FC08C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2</w:t>
            </w:r>
          </w:p>
        </w:tc>
        <w:tc>
          <w:tcPr>
            <w:tcW w:w="5614" w:type="dxa"/>
            <w:vAlign w:val="center"/>
          </w:tcPr>
          <w:p w14:paraId="573A71EE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7831A4B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23888727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69A1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1D583E7E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3</w:t>
            </w:r>
          </w:p>
        </w:tc>
        <w:tc>
          <w:tcPr>
            <w:tcW w:w="5614" w:type="dxa"/>
            <w:vAlign w:val="center"/>
          </w:tcPr>
          <w:p w14:paraId="5D623805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1C0C0643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1459082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4549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4FA65BA4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4</w:t>
            </w:r>
          </w:p>
        </w:tc>
        <w:tc>
          <w:tcPr>
            <w:tcW w:w="5614" w:type="dxa"/>
            <w:vAlign w:val="center"/>
          </w:tcPr>
          <w:p w14:paraId="3C168B54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47EBECCF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40E88C2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5792E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2CA6597C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5</w:t>
            </w:r>
          </w:p>
        </w:tc>
        <w:tc>
          <w:tcPr>
            <w:tcW w:w="5614" w:type="dxa"/>
            <w:vAlign w:val="center"/>
          </w:tcPr>
          <w:p w14:paraId="04C3BA73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63D47D6E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69DCD2E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3A26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3AAD8F87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6</w:t>
            </w:r>
          </w:p>
        </w:tc>
        <w:tc>
          <w:tcPr>
            <w:tcW w:w="5614" w:type="dxa"/>
            <w:vAlign w:val="center"/>
          </w:tcPr>
          <w:p w14:paraId="2F6813F2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46D205F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023B2FB8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430D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7D61E9D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7</w:t>
            </w:r>
          </w:p>
        </w:tc>
        <w:tc>
          <w:tcPr>
            <w:tcW w:w="5614" w:type="dxa"/>
            <w:vAlign w:val="center"/>
          </w:tcPr>
          <w:p w14:paraId="6C61642B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6F4CBEA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6E3A0DD0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0503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1FCE2718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8</w:t>
            </w:r>
          </w:p>
        </w:tc>
        <w:tc>
          <w:tcPr>
            <w:tcW w:w="5614" w:type="dxa"/>
            <w:vAlign w:val="center"/>
          </w:tcPr>
          <w:p w14:paraId="42BE8B80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2FA87C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0038258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55FBD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34CB984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9</w:t>
            </w:r>
          </w:p>
        </w:tc>
        <w:tc>
          <w:tcPr>
            <w:tcW w:w="5614" w:type="dxa"/>
            <w:vAlign w:val="center"/>
          </w:tcPr>
          <w:p w14:paraId="6175E84F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35E1337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4B13E9C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61249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390C6E7B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10</w:t>
            </w:r>
          </w:p>
        </w:tc>
        <w:tc>
          <w:tcPr>
            <w:tcW w:w="5614" w:type="dxa"/>
            <w:vAlign w:val="center"/>
          </w:tcPr>
          <w:p w14:paraId="2CF73CBA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3E16F75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1A7DA4B6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002A9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5502133D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11</w:t>
            </w:r>
          </w:p>
        </w:tc>
        <w:tc>
          <w:tcPr>
            <w:tcW w:w="5614" w:type="dxa"/>
            <w:vAlign w:val="center"/>
          </w:tcPr>
          <w:p w14:paraId="4BA8F94E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C70FFA0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060B723F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0EE7E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D9E40B1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12</w:t>
            </w:r>
          </w:p>
        </w:tc>
        <w:tc>
          <w:tcPr>
            <w:tcW w:w="5614" w:type="dxa"/>
            <w:vAlign w:val="center"/>
          </w:tcPr>
          <w:p w14:paraId="3B24C9A7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D58DD9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2538CB9C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DD6E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0C411A5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13</w:t>
            </w:r>
          </w:p>
        </w:tc>
        <w:tc>
          <w:tcPr>
            <w:tcW w:w="5614" w:type="dxa"/>
            <w:vAlign w:val="center"/>
          </w:tcPr>
          <w:p w14:paraId="2CE5CEB8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738325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11F0617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1486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499FF4D1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14</w:t>
            </w:r>
          </w:p>
        </w:tc>
        <w:tc>
          <w:tcPr>
            <w:tcW w:w="5614" w:type="dxa"/>
            <w:vAlign w:val="center"/>
          </w:tcPr>
          <w:p w14:paraId="187FC221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78473B69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5FBF19A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1B38B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116E8C6E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15</w:t>
            </w:r>
          </w:p>
        </w:tc>
        <w:tc>
          <w:tcPr>
            <w:tcW w:w="5614" w:type="dxa"/>
            <w:vAlign w:val="center"/>
          </w:tcPr>
          <w:p w14:paraId="590E1660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C7D467B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3D059BD9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8718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69208902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16</w:t>
            </w:r>
          </w:p>
        </w:tc>
        <w:tc>
          <w:tcPr>
            <w:tcW w:w="5614" w:type="dxa"/>
            <w:vAlign w:val="center"/>
          </w:tcPr>
          <w:p w14:paraId="2034F409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A82BCBC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748F4C5D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12236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5EF07D8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17</w:t>
            </w:r>
          </w:p>
        </w:tc>
        <w:tc>
          <w:tcPr>
            <w:tcW w:w="5614" w:type="dxa"/>
            <w:vAlign w:val="center"/>
          </w:tcPr>
          <w:p w14:paraId="6E0CEE8A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12814C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79B0E3E3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</w:tbl>
    <w:p w14:paraId="73806C88">
      <w:pPr>
        <w:spacing w:before="624" w:beforeLines="200" w:line="500" w:lineRule="exact"/>
        <w:ind w:right="1202"/>
        <w:rPr>
          <w:rFonts w:hint="eastAsia" w:ascii="仿宋" w:hAnsi="仿宋" w:eastAsia="仿宋" w:cs="仿宋"/>
          <w:b w:val="0"/>
          <w:bCs/>
          <w:sz w:val="24"/>
        </w:rPr>
      </w:pPr>
      <w:r>
        <w:rPr>
          <w:rFonts w:hint="eastAsia" w:ascii="仿宋" w:hAnsi="仿宋" w:eastAsia="仿宋" w:cs="仿宋"/>
          <w:b w:val="0"/>
          <w:bCs/>
          <w:sz w:val="24"/>
        </w:rPr>
        <w:t xml:space="preserve">提交人（签章）：                          </w:t>
      </w:r>
    </w:p>
    <w:p w14:paraId="20D09272">
      <w:pPr>
        <w:spacing w:line="500" w:lineRule="exact"/>
        <w:rPr>
          <w:rFonts w:hint="eastAsia" w:ascii="仿宋" w:hAnsi="仿宋" w:eastAsia="仿宋" w:cs="仿宋"/>
          <w:b w:val="0"/>
          <w:bCs/>
          <w:sz w:val="24"/>
        </w:rPr>
      </w:pPr>
      <w:r>
        <w:rPr>
          <w:rFonts w:hint="eastAsia" w:ascii="仿宋" w:hAnsi="仿宋" w:eastAsia="仿宋" w:cs="仿宋"/>
          <w:b w:val="0"/>
          <w:bCs/>
          <w:sz w:val="24"/>
        </w:rPr>
        <w:t xml:space="preserve">日期：                                   </w:t>
      </w:r>
    </w:p>
    <w:p w14:paraId="74B46B72">
      <w:pPr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833C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D97DC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D97DC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Njg5ODUyODgzNmUxOWQ0N2VkZWJlMmI1YTQwYjgifQ=="/>
  </w:docVars>
  <w:rsids>
    <w:rsidRoot w:val="00000000"/>
    <w:rsid w:val="03403E71"/>
    <w:rsid w:val="035241C7"/>
    <w:rsid w:val="03600D18"/>
    <w:rsid w:val="03F86B1C"/>
    <w:rsid w:val="051C2CDE"/>
    <w:rsid w:val="07F25F78"/>
    <w:rsid w:val="086230FE"/>
    <w:rsid w:val="08FE73BC"/>
    <w:rsid w:val="09A82D92"/>
    <w:rsid w:val="0B136931"/>
    <w:rsid w:val="0D044784"/>
    <w:rsid w:val="0E5232CD"/>
    <w:rsid w:val="0F307AB2"/>
    <w:rsid w:val="0FF016CF"/>
    <w:rsid w:val="106A2B50"/>
    <w:rsid w:val="10DA30FE"/>
    <w:rsid w:val="1178129C"/>
    <w:rsid w:val="118F4732"/>
    <w:rsid w:val="11934E80"/>
    <w:rsid w:val="13BA5E0D"/>
    <w:rsid w:val="140B63F8"/>
    <w:rsid w:val="145C42A8"/>
    <w:rsid w:val="166444E5"/>
    <w:rsid w:val="171265B3"/>
    <w:rsid w:val="17C0399D"/>
    <w:rsid w:val="18042EAE"/>
    <w:rsid w:val="188645BE"/>
    <w:rsid w:val="1A3D7527"/>
    <w:rsid w:val="1AD75285"/>
    <w:rsid w:val="1D28001A"/>
    <w:rsid w:val="1FB073F2"/>
    <w:rsid w:val="1FED554B"/>
    <w:rsid w:val="231F668C"/>
    <w:rsid w:val="239A7798"/>
    <w:rsid w:val="272730F1"/>
    <w:rsid w:val="274912B9"/>
    <w:rsid w:val="275C2B0D"/>
    <w:rsid w:val="28686AB8"/>
    <w:rsid w:val="295D729E"/>
    <w:rsid w:val="29D84B76"/>
    <w:rsid w:val="2B852ADC"/>
    <w:rsid w:val="2CBD0053"/>
    <w:rsid w:val="2CD94E8D"/>
    <w:rsid w:val="2E1D6FFC"/>
    <w:rsid w:val="2EB851F9"/>
    <w:rsid w:val="2EF266DA"/>
    <w:rsid w:val="3183186B"/>
    <w:rsid w:val="33953AD8"/>
    <w:rsid w:val="343637B7"/>
    <w:rsid w:val="34C5219B"/>
    <w:rsid w:val="360135A6"/>
    <w:rsid w:val="36E94025"/>
    <w:rsid w:val="394B7113"/>
    <w:rsid w:val="39673821"/>
    <w:rsid w:val="3A5B15D7"/>
    <w:rsid w:val="3B6224F2"/>
    <w:rsid w:val="3CAB1C76"/>
    <w:rsid w:val="3CC2765B"/>
    <w:rsid w:val="3D141F11"/>
    <w:rsid w:val="3ED6747E"/>
    <w:rsid w:val="40AD2461"/>
    <w:rsid w:val="458D460F"/>
    <w:rsid w:val="4C0373D9"/>
    <w:rsid w:val="4CB41F34"/>
    <w:rsid w:val="4DF571F5"/>
    <w:rsid w:val="55202DAA"/>
    <w:rsid w:val="581A4428"/>
    <w:rsid w:val="59103135"/>
    <w:rsid w:val="5B8816A9"/>
    <w:rsid w:val="5C69772C"/>
    <w:rsid w:val="5C8A31FF"/>
    <w:rsid w:val="5FB52C88"/>
    <w:rsid w:val="62C16B6E"/>
    <w:rsid w:val="65BF216B"/>
    <w:rsid w:val="668313EA"/>
    <w:rsid w:val="67B226CE"/>
    <w:rsid w:val="68470BCB"/>
    <w:rsid w:val="690F3409"/>
    <w:rsid w:val="69643755"/>
    <w:rsid w:val="6A70612A"/>
    <w:rsid w:val="6B113469"/>
    <w:rsid w:val="6C411B2C"/>
    <w:rsid w:val="6C44161C"/>
    <w:rsid w:val="6D4C52C9"/>
    <w:rsid w:val="6D6D6950"/>
    <w:rsid w:val="6E64409C"/>
    <w:rsid w:val="6EF07839"/>
    <w:rsid w:val="70795253"/>
    <w:rsid w:val="70F01D72"/>
    <w:rsid w:val="71AA0173"/>
    <w:rsid w:val="74463A57"/>
    <w:rsid w:val="74583EB6"/>
    <w:rsid w:val="78FC6341"/>
    <w:rsid w:val="7909782C"/>
    <w:rsid w:val="79454E9B"/>
    <w:rsid w:val="79E41D48"/>
    <w:rsid w:val="7C0861C2"/>
    <w:rsid w:val="7C2B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9"/>
    <w:pPr>
      <w:ind w:left="671"/>
      <w:outlineLvl w:val="0"/>
    </w:pPr>
    <w:rPr>
      <w:rFonts w:ascii="Microsoft JhengHei" w:hAnsi="Microsoft JhengHei" w:eastAsia="Microsoft JhengHei" w:cs="Microsoft JhengHei"/>
      <w:b/>
      <w:bCs/>
      <w:sz w:val="28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qFormat/>
    <w:uiPriority w:val="0"/>
    <w:pPr>
      <w:widowControl w:val="0"/>
      <w:spacing w:before="100" w:beforeAutospacing="1" w:after="100" w:afterAutospacing="1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table" w:styleId="8">
    <w:name w:val="Table Grid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autoRedefine/>
    <w:qFormat/>
    <w:uiPriority w:val="0"/>
    <w:rPr>
      <w:rFonts w:ascii="Times New Roman" w:hAnsi="Times New Roman" w:eastAsia="宋体" w:cs="Times New Roman"/>
      <w:b/>
    </w:rPr>
  </w:style>
  <w:style w:type="character" w:styleId="11">
    <w:name w:val="Hyperlink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styleId="12">
    <w:name w:val="List Paragraph"/>
    <w:basedOn w:val="1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3"/>
    <w:basedOn w:val="1"/>
    <w:qFormat/>
    <w:uiPriority w:val="0"/>
    <w:pPr>
      <w:spacing w:before="312" w:beforeLines="100" w:after="312" w:afterLines="100" w:line="360" w:lineRule="auto"/>
      <w:jc w:val="center"/>
    </w:pPr>
    <w:rPr>
      <w:rFonts w:ascii="华文中宋" w:hAnsi="华文中宋" w:eastAsia="华文中宋"/>
      <w:b/>
      <w:sz w:val="32"/>
      <w:szCs w:val="32"/>
    </w:rPr>
  </w:style>
  <w:style w:type="paragraph" w:customStyle="1" w:styleId="14">
    <w:name w:val="Table Paragraph"/>
    <w:basedOn w:val="1"/>
    <w:qFormat/>
    <w:uiPriority w:val="1"/>
    <w:rPr>
      <w:rFonts w:ascii="Microsoft JhengHei" w:hAnsi="Microsoft JhengHei" w:eastAsia="Microsoft JhengHei" w:cs="Microsoft JhengHei"/>
    </w:rPr>
  </w:style>
  <w:style w:type="table" w:customStyle="1" w:styleId="15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3536</Words>
  <Characters>3634</Characters>
  <Lines>0</Lines>
  <Paragraphs>0</Paragraphs>
  <TotalTime>9</TotalTime>
  <ScaleCrop>false</ScaleCrop>
  <LinksUpToDate>false</LinksUpToDate>
  <CharactersWithSpaces>4493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2024-03-19T07:16:00Z</dcterms:created>
  <dc:creator>LENOVO</dc:creator>
  <cp:lastModifiedBy>冰月</cp:lastModifiedBy>
  <dcterms:modified xsi:type="dcterms:W3CDTF">2025-07-11T09:07:27Z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5915B002F6EF45409BD5DCBA66E5EC59_13</vt:lpwstr>
  </property>
  <property fmtid="{D5CDD505-2E9C-101B-9397-08002B2CF9AE}" pid="4" name="KSOTemplateDocerSaveRecord">
    <vt:lpwstr>eyJoZGlkIjoiZTI5OTRkYzA2OTZiZGMyZDc3OGVhMjU4YzM0NzI5MDEiLCJ1c2VySWQiOiIxOTg4NDExMjUifQ==</vt:lpwstr>
  </property>
</Properties>
</file>