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47BA">
      <w:pPr>
        <w:jc w:val="center"/>
        <w:rPr>
          <w:rFonts w:hint="eastAsia" w:ascii="宋体" w:hAnsi="宋体" w:eastAsia="宋体" w:cs="宋体"/>
          <w:b/>
          <w:bCs/>
          <w:sz w:val="40"/>
          <w:szCs w:val="40"/>
        </w:rPr>
      </w:pPr>
      <w:r>
        <w:rPr>
          <w:rFonts w:hint="eastAsia" w:ascii="宋体" w:hAnsi="宋体" w:eastAsia="宋体" w:cs="宋体"/>
          <w:b/>
          <w:bCs/>
          <w:sz w:val="40"/>
          <w:szCs w:val="40"/>
          <w:lang w:val="en-US" w:eastAsia="zh-CN"/>
        </w:rPr>
        <w:t>贵州呆小富餐饮有限公司</w:t>
      </w:r>
      <w:bookmarkStart w:id="0" w:name="_GoBack"/>
      <w:bookmarkEnd w:id="0"/>
      <w:r>
        <w:rPr>
          <w:rFonts w:hint="eastAsia" w:ascii="宋体" w:hAnsi="宋体" w:eastAsia="宋体" w:cs="宋体"/>
          <w:b/>
          <w:bCs/>
          <w:sz w:val="40"/>
          <w:szCs w:val="40"/>
        </w:rPr>
        <w:t>破产清算案</w:t>
      </w:r>
    </w:p>
    <w:p w14:paraId="30F19DE2">
      <w:pPr>
        <w:jc w:val="center"/>
        <w:rPr>
          <w:rFonts w:hint="eastAsia" w:ascii="宋体" w:hAnsi="宋体" w:eastAsia="宋体" w:cs="宋体"/>
          <w:b/>
          <w:bCs/>
          <w:sz w:val="40"/>
          <w:szCs w:val="40"/>
        </w:rPr>
      </w:pPr>
      <w:r>
        <w:rPr>
          <w:rFonts w:hint="eastAsia" w:ascii="宋体" w:hAnsi="宋体" w:eastAsia="宋体" w:cs="宋体"/>
          <w:b/>
          <w:bCs/>
          <w:sz w:val="40"/>
          <w:szCs w:val="40"/>
        </w:rPr>
        <w:t>送达地址及银行账户确认书</w:t>
      </w:r>
    </w:p>
    <w:p w14:paraId="5306E151">
      <w:pPr>
        <w:jc w:val="center"/>
        <w:rPr>
          <w:rFonts w:hint="eastAsia" w:ascii="宋体" w:hAnsi="宋体" w:eastAsia="宋体" w:cs="宋体"/>
          <w:sz w:val="32"/>
        </w:rPr>
      </w:pPr>
    </w:p>
    <w:tbl>
      <w:tblPr>
        <w:tblStyle w:val="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843"/>
      </w:tblGrid>
      <w:tr w14:paraId="44AA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088" w:type="dxa"/>
            <w:vAlign w:val="center"/>
          </w:tcPr>
          <w:p w14:paraId="294EB58D">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申报人</w:t>
            </w:r>
          </w:p>
        </w:tc>
        <w:tc>
          <w:tcPr>
            <w:tcW w:w="7843" w:type="dxa"/>
            <w:vAlign w:val="center"/>
          </w:tcPr>
          <w:p w14:paraId="0898DF32">
            <w:pPr>
              <w:spacing w:line="360" w:lineRule="exact"/>
              <w:jc w:val="center"/>
              <w:rPr>
                <w:rFonts w:hint="eastAsia" w:ascii="仿宋_GB2312" w:hAnsi="仿宋_GB2312" w:eastAsia="仿宋_GB2312" w:cs="仿宋_GB2312"/>
                <w:sz w:val="24"/>
                <w:szCs w:val="24"/>
              </w:rPr>
            </w:pPr>
          </w:p>
        </w:tc>
      </w:tr>
      <w:tr w14:paraId="70AB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088" w:type="dxa"/>
            <w:vAlign w:val="center"/>
          </w:tcPr>
          <w:p w14:paraId="4E5DE55E">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管理人告知</w:t>
            </w:r>
          </w:p>
          <w:p w14:paraId="0FC32B78">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事</w:t>
            </w:r>
            <w:r>
              <w:rPr>
                <w:rFonts w:hint="eastAsia" w:ascii="仿宋_GB2312" w:hAnsi="仿宋_GB2312" w:eastAsia="仿宋_GB2312" w:cs="仿宋_GB2312"/>
                <w:b/>
                <w:bCs/>
                <w:sz w:val="24"/>
                <w:szCs w:val="24"/>
              </w:rPr>
              <w:t>项</w:t>
            </w:r>
          </w:p>
        </w:tc>
        <w:tc>
          <w:tcPr>
            <w:tcW w:w="7843" w:type="dxa"/>
            <w:vAlign w:val="center"/>
          </w:tcPr>
          <w:p w14:paraId="04721677">
            <w:pPr>
              <w:widowControl/>
              <w:numPr>
                <w:ilvl w:val="0"/>
                <w:numId w:val="1"/>
              </w:numPr>
              <w:spacing w:line="360" w:lineRule="exac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为便于申报人及时收到管理人各项文书，保证破产程序顺利进行，申报人应当如实提供确切的送达地址，确认的送达地址适用于破产清算程序以及同期与破产事务相关的其他事项；</w:t>
            </w:r>
          </w:p>
          <w:p w14:paraId="339366F3">
            <w:pPr>
              <w:widowControl/>
              <w:numPr>
                <w:ilvl w:val="0"/>
                <w:numId w:val="1"/>
              </w:numPr>
              <w:spacing w:line="360" w:lineRule="exac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登记微信号的，管理人将优先通过微信号向登记的债权人微信号送达需审议的议案；未登记有微信号，但登记有电子邮件接收地址的，管理人将以电子邮件方式送达需审议的议案；没有登记微信号或电子邮件地址但登记有“送达地址、收、电话号码”的，管理人将以邮寄方式送达需审议的议案（具体以第一次债权人会议资料“关于债权人可通过非现场</w:t>
            </w:r>
            <w:r>
              <w:rPr>
                <w:rFonts w:hint="eastAsia" w:ascii="仿宋_GB2312" w:hAnsi="仿宋_GB2312" w:eastAsia="仿宋_GB2312" w:cs="仿宋_GB2312"/>
                <w:sz w:val="15"/>
                <w:szCs w:val="15"/>
                <w:lang w:val="en-US" w:eastAsia="zh-CN"/>
              </w:rPr>
              <w:t>方式</w:t>
            </w:r>
            <w:r>
              <w:rPr>
                <w:rFonts w:hint="eastAsia" w:ascii="仿宋_GB2312" w:hAnsi="仿宋_GB2312" w:eastAsia="仿宋_GB2312" w:cs="仿宋_GB2312"/>
                <w:sz w:val="15"/>
                <w:szCs w:val="15"/>
              </w:rPr>
              <w:t>方式行使表决权的议案”中的内容为准）；</w:t>
            </w:r>
          </w:p>
          <w:p w14:paraId="0CF1D31D">
            <w:pPr>
              <w:widowControl/>
              <w:numPr>
                <w:ilvl w:val="0"/>
                <w:numId w:val="1"/>
              </w:numPr>
              <w:spacing w:line="360" w:lineRule="exac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为便于申报人受领财产分配，申报人应当如实向管理人提供真实、准确的银行账户，管理人支付至债权人提供的银行账户的款项，视为债权人受领；申报人提供的银行账户应当是以自身名义开立的账户，提供其他人名义开立的，应当向</w:t>
            </w:r>
            <w:r>
              <w:rPr>
                <w:rFonts w:hint="eastAsia" w:ascii="仿宋_GB2312" w:hAnsi="仿宋_GB2312" w:eastAsia="仿宋_GB2312" w:cs="仿宋_GB2312"/>
                <w:sz w:val="15"/>
                <w:szCs w:val="15"/>
                <w:lang w:val="en-US" w:eastAsia="zh-CN"/>
              </w:rPr>
              <w:t>管理</w:t>
            </w:r>
            <w:r>
              <w:rPr>
                <w:rFonts w:hint="eastAsia" w:ascii="仿宋_GB2312" w:hAnsi="仿宋_GB2312" w:eastAsia="仿宋_GB2312" w:cs="仿宋_GB2312"/>
                <w:sz w:val="15"/>
                <w:szCs w:val="15"/>
              </w:rPr>
              <w:t>管理人书面说明理由；</w:t>
            </w:r>
          </w:p>
          <w:p w14:paraId="071467EA">
            <w:pPr>
              <w:widowControl/>
              <w:numPr>
                <w:ilvl w:val="0"/>
                <w:numId w:val="1"/>
              </w:numPr>
              <w:spacing w:line="360" w:lineRule="exac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破产期间如果送达地址、银行账户有变更，应当及时书面告知管理人变更后的送达地址及银行账户；</w:t>
            </w:r>
          </w:p>
          <w:p w14:paraId="4517A958">
            <w:pPr>
              <w:widowControl/>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15"/>
                <w:szCs w:val="15"/>
              </w:rPr>
              <w:t>如果提供的地址、银行账户不确切，或不及时告知变更后的地址或银行账户，使破产相关文书无法送达、未及时送达或不能受领分配的，申报人应承担由此引起的一切法律后果。</w:t>
            </w:r>
          </w:p>
        </w:tc>
      </w:tr>
      <w:tr w14:paraId="0488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88" w:type="dxa"/>
            <w:vAlign w:val="center"/>
          </w:tcPr>
          <w:p w14:paraId="47FAA4E8">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送达</w:t>
            </w:r>
          </w:p>
          <w:p w14:paraId="485FECA7">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地址</w:t>
            </w:r>
          </w:p>
        </w:tc>
        <w:tc>
          <w:tcPr>
            <w:tcW w:w="7843" w:type="dxa"/>
          </w:tcPr>
          <w:p w14:paraId="1EDA95AE">
            <w:pPr>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电子送达方式： </w:t>
            </w:r>
          </w:p>
          <w:p w14:paraId="1766DD74">
            <w:pPr>
              <w:spacing w:line="360" w:lineRule="exact"/>
              <w:rPr>
                <w:rFonts w:hint="eastAsia"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微信号：</w:t>
            </w:r>
            <w:r>
              <w:rPr>
                <w:rFonts w:hint="eastAsia" w:ascii="仿宋_GB2312" w:hAnsi="仿宋_GB2312" w:eastAsia="仿宋_GB2312" w:cs="仿宋_GB2312"/>
                <w:b w:val="0"/>
                <w:bCs w:val="0"/>
                <w:sz w:val="24"/>
                <w:szCs w:val="24"/>
                <w:u w:val="single"/>
              </w:rPr>
              <w:t xml:space="preserve">                      </w:t>
            </w:r>
          </w:p>
          <w:p w14:paraId="0AF2371B">
            <w:pPr>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接收短信电话号码：</w:t>
            </w:r>
            <w:r>
              <w:rPr>
                <w:rFonts w:hint="eastAsia" w:ascii="仿宋_GB2312" w:hAnsi="仿宋_GB2312" w:eastAsia="仿宋_GB2312" w:cs="仿宋_GB2312"/>
                <w:b w:val="0"/>
                <w:bCs w:val="0"/>
                <w:sz w:val="24"/>
                <w:szCs w:val="24"/>
                <w:u w:val="single"/>
              </w:rPr>
              <w:t xml:space="preserve">                       </w:t>
            </w:r>
          </w:p>
          <w:p w14:paraId="392F7792">
            <w:pPr>
              <w:spacing w:line="360" w:lineRule="exact"/>
              <w:rPr>
                <w:rFonts w:hint="eastAsia"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电子邮箱：</w:t>
            </w:r>
            <w:r>
              <w:rPr>
                <w:rFonts w:hint="eastAsia" w:ascii="仿宋_GB2312" w:hAnsi="仿宋_GB2312" w:eastAsia="仿宋_GB2312" w:cs="仿宋_GB2312"/>
                <w:b w:val="0"/>
                <w:bCs w:val="0"/>
                <w:sz w:val="24"/>
                <w:szCs w:val="24"/>
                <w:u w:val="single"/>
              </w:rPr>
              <w:t xml:space="preserve">                      </w:t>
            </w:r>
          </w:p>
          <w:p w14:paraId="4FCBE1EF">
            <w:pPr>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邮寄送达方式：</w:t>
            </w:r>
          </w:p>
          <w:p w14:paraId="526A4E64">
            <w:pPr>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指定签收人：</w:t>
            </w:r>
            <w:r>
              <w:rPr>
                <w:rFonts w:hint="eastAsia" w:ascii="仿宋_GB2312" w:hAnsi="仿宋_GB2312" w:eastAsia="仿宋_GB2312" w:cs="仿宋_GB2312"/>
                <w:b w:val="0"/>
                <w:bCs w:val="0"/>
                <w:sz w:val="24"/>
                <w:szCs w:val="24"/>
                <w:u w:val="single"/>
              </w:rPr>
              <w:t xml:space="preserve">                   </w:t>
            </w:r>
          </w:p>
          <w:p w14:paraId="32949BFD">
            <w:pPr>
              <w:spacing w:line="360" w:lineRule="exact"/>
              <w:rPr>
                <w:rFonts w:hint="eastAsia"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联系电话：</w:t>
            </w:r>
            <w:r>
              <w:rPr>
                <w:rFonts w:hint="eastAsia" w:ascii="仿宋_GB2312" w:hAnsi="仿宋_GB2312" w:eastAsia="仿宋_GB2312" w:cs="仿宋_GB2312"/>
                <w:b w:val="0"/>
                <w:bCs w:val="0"/>
                <w:sz w:val="24"/>
                <w:szCs w:val="24"/>
                <w:u w:val="single"/>
              </w:rPr>
              <w:t xml:space="preserve">                       </w:t>
            </w:r>
          </w:p>
          <w:p w14:paraId="0C442253">
            <w:pPr>
              <w:spacing w:line="3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b w:val="0"/>
                <w:bCs w:val="0"/>
                <w:sz w:val="24"/>
                <w:szCs w:val="24"/>
              </w:rPr>
              <w:t>地址：</w:t>
            </w:r>
            <w:r>
              <w:rPr>
                <w:rFonts w:hint="eastAsia" w:ascii="仿宋_GB2312" w:hAnsi="仿宋_GB2312" w:eastAsia="仿宋_GB2312" w:cs="仿宋_GB2312"/>
                <w:b w:val="0"/>
                <w:bCs w:val="0"/>
                <w:sz w:val="24"/>
                <w:szCs w:val="24"/>
                <w:u w:val="single"/>
              </w:rPr>
              <w:t xml:space="preserve">                                         </w:t>
            </w:r>
          </w:p>
        </w:tc>
      </w:tr>
      <w:tr w14:paraId="0BCB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88" w:type="dxa"/>
            <w:vAlign w:val="center"/>
          </w:tcPr>
          <w:p w14:paraId="1064C761">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银行</w:t>
            </w:r>
          </w:p>
          <w:p w14:paraId="18C2FD26">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账户</w:t>
            </w:r>
          </w:p>
        </w:tc>
        <w:tc>
          <w:tcPr>
            <w:tcW w:w="7843" w:type="dxa"/>
          </w:tcPr>
          <w:p w14:paraId="05DD0418">
            <w:pPr>
              <w:tabs>
                <w:tab w:val="left" w:pos="780"/>
              </w:tabs>
              <w:spacing w:line="3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户  名：</w:t>
            </w:r>
            <w:r>
              <w:rPr>
                <w:rFonts w:hint="eastAsia" w:ascii="仿宋_GB2312" w:hAnsi="仿宋_GB2312" w:eastAsia="仿宋_GB2312" w:cs="仿宋_GB2312"/>
                <w:sz w:val="24"/>
                <w:szCs w:val="24"/>
                <w:u w:val="single"/>
              </w:rPr>
              <w:t xml:space="preserve">                                         </w:t>
            </w:r>
          </w:p>
          <w:p w14:paraId="08BAFE12">
            <w:pPr>
              <w:tabs>
                <w:tab w:val="left" w:pos="780"/>
              </w:tabs>
              <w:spacing w:line="3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  号：</w:t>
            </w:r>
            <w:r>
              <w:rPr>
                <w:rFonts w:hint="eastAsia" w:ascii="仿宋_GB2312" w:hAnsi="仿宋_GB2312" w:eastAsia="仿宋_GB2312" w:cs="仿宋_GB2312"/>
                <w:sz w:val="24"/>
                <w:szCs w:val="24"/>
                <w:u w:val="single"/>
              </w:rPr>
              <w:t xml:space="preserve">                                         </w:t>
            </w:r>
          </w:p>
          <w:p w14:paraId="4D9EBFF9">
            <w:pPr>
              <w:tabs>
                <w:tab w:val="left" w:pos="780"/>
              </w:tabs>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tc>
      </w:tr>
      <w:tr w14:paraId="2C2B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088" w:type="dxa"/>
            <w:vAlign w:val="center"/>
          </w:tcPr>
          <w:p w14:paraId="2CC45186">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申报人确 认</w:t>
            </w:r>
          </w:p>
        </w:tc>
        <w:tc>
          <w:tcPr>
            <w:tcW w:w="7843" w:type="dxa"/>
          </w:tcPr>
          <w:p w14:paraId="2CF83689">
            <w:pPr>
              <w:spacing w:line="360" w:lineRule="exact"/>
              <w:ind w:firstLine="43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我已经阅读（听明白）了管理人对申报人填写送达地址及银行账户确认书的告知事项，并保证上述送达地址、银行账户是准确、有效的，同意管理人采用电子送达方式向申报人送达相关信息。</w:t>
            </w:r>
          </w:p>
          <w:p w14:paraId="404A5AB7">
            <w:pPr>
              <w:spacing w:line="360" w:lineRule="exact"/>
              <w:ind w:left="4792" w:leftChars="1482" w:hanging="1680" w:hangingChars="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申报人：</w:t>
            </w:r>
          </w:p>
          <w:p w14:paraId="753BA4D6">
            <w:pPr>
              <w:spacing w:line="360" w:lineRule="exact"/>
              <w:ind w:left="4792" w:leftChars="1482" w:hanging="1680" w:hangingChars="7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申报日期：</w:t>
            </w:r>
          </w:p>
          <w:p w14:paraId="48BDD1A0">
            <w:pPr>
              <w:spacing w:line="360" w:lineRule="exact"/>
              <w:ind w:right="960" w:firstLine="4560" w:firstLineChars="1900"/>
              <w:rPr>
                <w:rFonts w:hint="eastAsia" w:ascii="仿宋_GB2312" w:hAnsi="仿宋_GB2312" w:eastAsia="仿宋_GB2312" w:cs="仿宋_GB2312"/>
                <w:sz w:val="24"/>
                <w:szCs w:val="24"/>
                <w:u w:val="single"/>
              </w:rPr>
            </w:pPr>
          </w:p>
        </w:tc>
      </w:tr>
    </w:tbl>
    <w:p w14:paraId="7E9E4794">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E23C7"/>
    <w:multiLevelType w:val="multilevel"/>
    <w:tmpl w:val="79CE23C7"/>
    <w:lvl w:ilvl="0" w:tentative="0">
      <w:start w:val="1"/>
      <w:numFmt w:val="decimal"/>
      <w:suff w:val="nothing"/>
      <w:lvlText w:val="%1．"/>
      <w:lvlJc w:val="left"/>
      <w:pPr>
        <w:ind w:left="-420" w:firstLine="420"/>
      </w:pPr>
      <w:rPr>
        <w:rFonts w:hint="default"/>
        <w:sz w:val="15"/>
        <w:szCs w:val="15"/>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zZDBhZmNjNTA3ODdmY2U0ZjI5NTZiNGYyOTUzMDAifQ=="/>
  </w:docVars>
  <w:rsids>
    <w:rsidRoot w:val="00A2746D"/>
    <w:rsid w:val="00071ED2"/>
    <w:rsid w:val="00895283"/>
    <w:rsid w:val="00A2746D"/>
    <w:rsid w:val="00A50633"/>
    <w:rsid w:val="00B81157"/>
    <w:rsid w:val="00DA30B6"/>
    <w:rsid w:val="00EA26FE"/>
    <w:rsid w:val="1C0E0805"/>
    <w:rsid w:val="23663671"/>
    <w:rsid w:val="2A7117B2"/>
    <w:rsid w:val="3A887EF3"/>
    <w:rsid w:val="3B73B85A"/>
    <w:rsid w:val="5AB53533"/>
    <w:rsid w:val="7F907B02"/>
    <w:rsid w:val="7FE77A49"/>
    <w:rsid w:val="BA2A18A3"/>
    <w:rsid w:val="BFFFF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693</Words>
  <Characters>693</Characters>
  <Lines>7</Lines>
  <Paragraphs>2</Paragraphs>
  <TotalTime>0</TotalTime>
  <ScaleCrop>false</ScaleCrop>
  <LinksUpToDate>false</LinksUpToDate>
  <CharactersWithSpaces>972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2023-08-23T04:51:00Z</dcterms:created>
  <dc:creator>楚 袁</dc:creator>
  <cp:lastModifiedBy>黔成起智律师</cp:lastModifiedBy>
  <dcterms:modified xsi:type="dcterms:W3CDTF">2025-07-17T02:19:23Z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725E90256AD80B4941D16366A33F74D7_42</vt:lpwstr>
  </property>
  <property fmtid="{D5CDD505-2E9C-101B-9397-08002B2CF9AE}" pid="4" name="KSOTemplateDocerSaveRecord">
    <vt:lpwstr>eyJoZGlkIjoiNDYzZDBhZmNjNTA3ODdmY2U0ZjI5NTZiNGYyOTUzMDAiLCJ1c2VySWQiOiI1NDkyMjYxNDkifQ==</vt:lpwstr>
  </property>
</Properties>
</file>