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2EE52">
      <w:pPr>
        <w:jc w:val="center"/>
        <w:rPr>
          <w:rFonts w:hint="eastAsia" w:ascii="宋体" w:hAnsi="宋体" w:eastAsia="宋体"/>
          <w:b/>
          <w:bCs/>
          <w:sz w:val="28"/>
          <w:szCs w:val="32"/>
        </w:rPr>
      </w:pPr>
      <w:r>
        <w:rPr>
          <w:rFonts w:hint="eastAsia" w:ascii="宋体" w:hAnsi="宋体" w:eastAsia="宋体"/>
          <w:b/>
          <w:bCs/>
          <w:sz w:val="28"/>
          <w:szCs w:val="32"/>
        </w:rPr>
        <w:t>关于</w:t>
      </w:r>
      <w:r>
        <w:rPr>
          <w:rFonts w:hint="eastAsia" w:ascii="宋体" w:hAnsi="宋体" w:eastAsia="宋体"/>
          <w:b/>
          <w:bCs/>
          <w:sz w:val="28"/>
          <w:szCs w:val="32"/>
          <w:lang w:eastAsia="zh-CN"/>
        </w:rPr>
        <w:t>北京森美木材工艺品有限公司</w:t>
      </w:r>
      <w:r>
        <w:rPr>
          <w:rFonts w:hint="eastAsia" w:ascii="宋体" w:hAnsi="宋体" w:eastAsia="宋体"/>
          <w:b/>
          <w:bCs/>
          <w:sz w:val="28"/>
          <w:szCs w:val="32"/>
        </w:rPr>
        <w:t>的接管公告</w:t>
      </w:r>
    </w:p>
    <w:p w14:paraId="3D8E342C">
      <w:pPr>
        <w:spacing w:before="156" w:beforeLines="50" w:line="300" w:lineRule="auto"/>
        <w:rPr>
          <w:rFonts w:ascii="宋体" w:hAnsi="宋体" w:eastAsia="宋体"/>
          <w:bCs/>
          <w:color w:val="000000"/>
          <w:sz w:val="24"/>
          <w:shd w:val="clear" w:color="auto" w:fill="FFFFFF"/>
        </w:rPr>
      </w:pPr>
      <w:r>
        <w:rPr>
          <w:rFonts w:hint="eastAsia" w:ascii="宋体" w:hAnsi="宋体" w:eastAsia="宋体"/>
          <w:bCs/>
          <w:color w:val="000000"/>
          <w:sz w:val="24"/>
          <w:shd w:val="clear" w:color="auto" w:fill="FFFFFF"/>
          <w:lang w:eastAsia="zh-CN"/>
        </w:rPr>
        <w:t>北京森美木材工艺品有限公司</w:t>
      </w:r>
      <w:r>
        <w:rPr>
          <w:rFonts w:hint="eastAsia" w:ascii="宋体" w:hAnsi="宋体" w:eastAsia="宋体"/>
          <w:bCs/>
          <w:color w:val="000000"/>
          <w:sz w:val="24"/>
          <w:shd w:val="clear" w:color="auto" w:fill="FFFFFF"/>
        </w:rPr>
        <w:t>及相关人员：</w:t>
      </w:r>
    </w:p>
    <w:p w14:paraId="33ECEA71">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lang w:eastAsia="zh-CN"/>
        </w:rPr>
        <w:t>北京市顺义大华工业公司</w:t>
      </w:r>
      <w:r>
        <w:rPr>
          <w:rFonts w:hint="eastAsia" w:ascii="宋体" w:hAnsi="宋体" w:eastAsia="宋体" w:cs="宋体"/>
          <w:bCs/>
          <w:color w:val="000000"/>
          <w:sz w:val="24"/>
          <w:szCs w:val="24"/>
          <w:shd w:val="clear" w:color="auto" w:fill="FFFFFF"/>
        </w:rPr>
        <w:t>(以下简称“</w:t>
      </w:r>
      <w:r>
        <w:rPr>
          <w:rFonts w:hint="eastAsia" w:ascii="宋体" w:hAnsi="宋体" w:eastAsia="宋体" w:cs="宋体"/>
          <w:bCs/>
          <w:color w:val="000000"/>
          <w:sz w:val="24"/>
          <w:szCs w:val="24"/>
          <w:shd w:val="clear" w:color="auto" w:fill="FFFFFF"/>
          <w:lang w:eastAsia="zh-CN"/>
        </w:rPr>
        <w:t>顺义大华公司</w:t>
      </w:r>
      <w:r>
        <w:rPr>
          <w:rFonts w:hint="eastAsia" w:ascii="宋体" w:hAnsi="宋体" w:eastAsia="宋体" w:cs="宋体"/>
          <w:bCs/>
          <w:color w:val="000000"/>
          <w:sz w:val="24"/>
          <w:szCs w:val="24"/>
          <w:shd w:val="clear" w:color="auto" w:fill="FFFFFF"/>
        </w:rPr>
        <w:t>”)作为股东</w:t>
      </w:r>
      <w:r>
        <w:rPr>
          <w:rFonts w:hint="eastAsia" w:ascii="宋体" w:hAnsi="宋体" w:eastAsia="宋体" w:cs="宋体"/>
          <w:bCs/>
          <w:color w:val="000000"/>
          <w:sz w:val="24"/>
          <w:szCs w:val="24"/>
          <w:shd w:val="clear" w:color="auto" w:fill="FFFFFF"/>
          <w:lang w:eastAsia="zh-CN"/>
        </w:rPr>
        <w:t>，</w:t>
      </w:r>
      <w:r>
        <w:rPr>
          <w:rFonts w:hint="eastAsia" w:ascii="宋体" w:hAnsi="宋体" w:eastAsia="宋体"/>
          <w:bCs/>
          <w:color w:val="000000"/>
          <w:sz w:val="24"/>
          <w:shd w:val="clear" w:color="auto" w:fill="FFFFFF"/>
        </w:rPr>
        <w:t>以</w:t>
      </w:r>
      <w:r>
        <w:rPr>
          <w:rFonts w:hint="eastAsia" w:ascii="宋体" w:hAnsi="宋体" w:eastAsia="宋体"/>
          <w:bCs/>
          <w:color w:val="000000"/>
          <w:sz w:val="24"/>
          <w:shd w:val="clear" w:color="auto" w:fill="FFFFFF"/>
          <w:lang w:eastAsia="zh-CN"/>
        </w:rPr>
        <w:t>北京森美木材工艺品有限公司</w:t>
      </w:r>
      <w:r>
        <w:rPr>
          <w:rFonts w:hint="eastAsia" w:ascii="宋体" w:hAnsi="宋体" w:eastAsia="宋体"/>
          <w:bCs/>
          <w:color w:val="000000"/>
          <w:sz w:val="24"/>
          <w:shd w:val="clear" w:color="auto" w:fill="FFFFFF"/>
        </w:rPr>
        <w:t>（简称“</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w:t>
      </w:r>
      <w:r>
        <w:rPr>
          <w:rFonts w:hint="eastAsia" w:ascii="宋体" w:hAnsi="宋体" w:eastAsia="宋体"/>
          <w:bCs/>
          <w:color w:val="000000"/>
          <w:sz w:val="24"/>
          <w:shd w:val="clear" w:color="auto" w:fill="FFFFFF"/>
          <w:lang w:val="en-US" w:eastAsia="zh-CN"/>
        </w:rPr>
        <w:t>被吊销营业执照</w:t>
      </w:r>
      <w:r>
        <w:rPr>
          <w:rFonts w:hint="eastAsia" w:ascii="宋体" w:hAnsi="宋体" w:eastAsia="宋体"/>
          <w:bCs/>
          <w:color w:val="000000"/>
          <w:sz w:val="24"/>
          <w:shd w:val="clear" w:color="auto" w:fill="FFFFFF"/>
        </w:rPr>
        <w:t>后</w:t>
      </w:r>
      <w:r>
        <w:rPr>
          <w:rFonts w:hint="eastAsia" w:ascii="宋体" w:hAnsi="宋体" w:eastAsia="宋体"/>
          <w:bCs/>
          <w:color w:val="000000"/>
          <w:sz w:val="24"/>
          <w:shd w:val="clear" w:color="auto" w:fill="FFFFFF"/>
          <w:lang w:eastAsia="zh-CN"/>
        </w:rPr>
        <w:t>，</w:t>
      </w:r>
      <w:r>
        <w:rPr>
          <w:rFonts w:hint="eastAsia" w:ascii="宋体" w:hAnsi="宋体" w:eastAsia="宋体"/>
          <w:bCs/>
          <w:color w:val="000000"/>
          <w:sz w:val="24"/>
          <w:shd w:val="clear" w:color="auto" w:fill="FFFFFF"/>
        </w:rPr>
        <w:t>未在法定时间内自行成立清算组进行清算为由，向北京市第一中级人民法院（简称“北京一中院”或“法院”）申请对森美公司进行强制清算</w:t>
      </w:r>
      <w:r>
        <w:rPr>
          <w:rFonts w:hint="eastAsia" w:ascii="宋体" w:hAnsi="宋体" w:eastAsia="宋体"/>
          <w:bCs/>
          <w:color w:val="000000"/>
          <w:sz w:val="24"/>
          <w:shd w:val="clear" w:color="auto" w:fill="FFFFFF"/>
          <w:lang w:eastAsia="zh-CN"/>
        </w:rPr>
        <w:t>。</w:t>
      </w:r>
      <w:r>
        <w:rPr>
          <w:rFonts w:hint="eastAsia" w:ascii="宋体" w:hAnsi="宋体" w:eastAsia="宋体"/>
          <w:bCs/>
          <w:color w:val="000000"/>
          <w:sz w:val="24"/>
          <w:shd w:val="clear" w:color="auto" w:fill="FFFFFF"/>
          <w:lang w:val="en-US" w:eastAsia="zh-CN"/>
        </w:rPr>
        <w:t>北京</w:t>
      </w:r>
      <w:r>
        <w:rPr>
          <w:rFonts w:hint="eastAsia" w:ascii="宋体" w:hAnsi="宋体" w:eastAsia="宋体"/>
          <w:bCs/>
          <w:color w:val="000000"/>
          <w:sz w:val="24"/>
          <w:shd w:val="clear" w:color="auto" w:fill="FFFFFF"/>
        </w:rPr>
        <w:t>一中院于2025年2月25日作出(2025)京01清申96号民事裁定书，裁定受理</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的强制清算案</w:t>
      </w:r>
      <w:r>
        <w:rPr>
          <w:rFonts w:hint="eastAsia" w:ascii="宋体" w:hAnsi="宋体" w:eastAsia="宋体"/>
          <w:bCs/>
          <w:color w:val="000000"/>
          <w:sz w:val="24"/>
          <w:shd w:val="clear" w:color="auto" w:fill="FFFFFF"/>
          <w:lang w:eastAsia="zh-CN"/>
        </w:rPr>
        <w:t>（</w:t>
      </w:r>
      <w:r>
        <w:rPr>
          <w:rFonts w:hint="eastAsia" w:ascii="宋体" w:hAnsi="宋体" w:eastAsia="宋体"/>
          <w:bCs/>
          <w:color w:val="000000"/>
          <w:sz w:val="24"/>
          <w:shd w:val="clear" w:color="auto" w:fill="FFFFFF"/>
          <w:lang w:val="en-US" w:eastAsia="zh-CN"/>
        </w:rPr>
        <w:t>以下称“本案”</w:t>
      </w:r>
      <w:r>
        <w:rPr>
          <w:rFonts w:hint="eastAsia" w:ascii="宋体" w:hAnsi="宋体" w:eastAsia="宋体"/>
          <w:bCs/>
          <w:color w:val="000000"/>
          <w:sz w:val="24"/>
          <w:shd w:val="clear" w:color="auto" w:fill="FFFFFF"/>
          <w:lang w:eastAsia="zh-CN"/>
        </w:rPr>
        <w:t>）</w:t>
      </w:r>
      <w:r>
        <w:rPr>
          <w:rFonts w:hint="eastAsia" w:ascii="宋体" w:hAnsi="宋体" w:eastAsia="宋体"/>
          <w:bCs/>
          <w:color w:val="000000"/>
          <w:sz w:val="24"/>
          <w:shd w:val="clear" w:color="auto" w:fill="FFFFFF"/>
        </w:rPr>
        <w:t>，并</w:t>
      </w:r>
      <w:r>
        <w:rPr>
          <w:rFonts w:hint="eastAsia" w:ascii="宋体" w:hAnsi="宋体" w:eastAsia="宋体"/>
          <w:bCs/>
          <w:color w:val="000000"/>
          <w:sz w:val="24"/>
          <w:shd w:val="clear" w:color="auto" w:fill="FFFFFF"/>
          <w:lang w:eastAsia="zh-CN"/>
        </w:rPr>
        <w:t>于2025年4月3日作出(2025)京01强清83号决定书，指定北京市君泽君律师事务所担任森美公司清算组（简称“清算组”）</w:t>
      </w:r>
      <w:r>
        <w:rPr>
          <w:rFonts w:hint="eastAsia" w:ascii="宋体" w:hAnsi="宋体" w:eastAsia="宋体"/>
          <w:bCs/>
          <w:color w:val="000000"/>
          <w:sz w:val="24"/>
          <w:shd w:val="clear" w:color="auto" w:fill="FFFFFF"/>
        </w:rPr>
        <w:t>。</w:t>
      </w:r>
    </w:p>
    <w:p w14:paraId="4C3EC1CB">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为接管</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通过调取工商档案、查询公开信息等方式调查</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及相关人员联系方式及住址，并通过电话、邮寄通知等多种方式尝试联系，但截至本公告发布之日，</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未能联系到</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及相关人员</w:t>
      </w:r>
      <w:r>
        <w:rPr>
          <w:rFonts w:hint="eastAsia" w:ascii="宋体" w:hAnsi="宋体" w:eastAsia="宋体"/>
          <w:bCs/>
          <w:color w:val="000000"/>
          <w:sz w:val="24"/>
          <w:shd w:val="clear" w:color="auto" w:fill="FFFFFF"/>
          <w:lang w:eastAsia="zh-CN"/>
        </w:rPr>
        <w:t>（</w:t>
      </w:r>
      <w:r>
        <w:rPr>
          <w:rFonts w:hint="eastAsia" w:ascii="宋体" w:hAnsi="宋体" w:eastAsia="宋体"/>
          <w:bCs/>
          <w:color w:val="000000"/>
          <w:sz w:val="24"/>
          <w:shd w:val="clear" w:color="auto" w:fill="FFFFFF"/>
          <w:lang w:val="en-US" w:eastAsia="zh-CN"/>
        </w:rPr>
        <w:t>相关人员是指按照公司法规定应当承担责任的有限责任公司的股东、股份有限公司的董事和控股股东，以及公司的实际控制人、法定代表人等责任主体</w:t>
      </w:r>
      <w:r>
        <w:rPr>
          <w:rFonts w:hint="eastAsia" w:ascii="宋体" w:hAnsi="宋体" w:eastAsia="宋体"/>
          <w:bCs/>
          <w:color w:val="000000"/>
          <w:sz w:val="24"/>
          <w:shd w:val="clear" w:color="auto" w:fill="FFFFFF"/>
          <w:lang w:eastAsia="zh-CN"/>
        </w:rPr>
        <w:t>）</w:t>
      </w:r>
      <w:r>
        <w:rPr>
          <w:rFonts w:hint="eastAsia" w:ascii="宋体" w:hAnsi="宋体" w:eastAsia="宋体"/>
          <w:bCs/>
          <w:color w:val="000000"/>
          <w:sz w:val="24"/>
          <w:shd w:val="clear" w:color="auto" w:fill="FFFFFF"/>
        </w:rPr>
        <w:t>，未能接管到</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的任何财产、印章和账簿、文书等资料。</w:t>
      </w:r>
    </w:p>
    <w:p w14:paraId="33FD1597">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根据《中华人民共和国</w:t>
      </w:r>
      <w:r>
        <w:rPr>
          <w:rFonts w:hint="eastAsia" w:ascii="宋体" w:hAnsi="宋体" w:eastAsia="宋体"/>
          <w:bCs/>
          <w:color w:val="000000"/>
          <w:sz w:val="24"/>
          <w:shd w:val="clear" w:color="auto" w:fill="FFFFFF"/>
          <w:lang w:val="en-US" w:eastAsia="zh-CN"/>
        </w:rPr>
        <w:t>公司</w:t>
      </w:r>
      <w:r>
        <w:rPr>
          <w:rFonts w:hint="eastAsia" w:ascii="宋体" w:hAnsi="宋体" w:eastAsia="宋体"/>
          <w:bCs/>
          <w:color w:val="000000"/>
          <w:sz w:val="24"/>
          <w:shd w:val="clear" w:color="auto" w:fill="FFFFFF"/>
        </w:rPr>
        <w:t>法》</w:t>
      </w:r>
      <w:r>
        <w:rPr>
          <w:rFonts w:hint="eastAsia" w:ascii="宋体" w:hAnsi="宋体" w:eastAsia="宋体"/>
          <w:bCs/>
          <w:color w:val="000000"/>
          <w:sz w:val="24"/>
          <w:shd w:val="clear" w:color="auto" w:fill="FFFFFF"/>
          <w:lang w:eastAsia="zh-CN"/>
        </w:rPr>
        <w:t>《最高人民法院关于适用</w:t>
      </w:r>
      <w:r>
        <w:rPr>
          <w:rFonts w:hint="eastAsia" w:ascii="宋体" w:hAnsi="宋体" w:eastAsia="宋体"/>
          <w:bCs/>
          <w:color w:val="000000"/>
          <w:sz w:val="24"/>
          <w:shd w:val="clear" w:color="auto" w:fill="FFFFFF"/>
          <w:lang w:val="en-US" w:eastAsia="zh-CN"/>
        </w:rPr>
        <w:t>&lt;</w:t>
      </w:r>
      <w:r>
        <w:rPr>
          <w:rFonts w:hint="eastAsia" w:ascii="宋体" w:hAnsi="宋体" w:eastAsia="宋体"/>
          <w:bCs/>
          <w:color w:val="000000"/>
          <w:sz w:val="24"/>
          <w:shd w:val="clear" w:color="auto" w:fill="FFFFFF"/>
          <w:lang w:eastAsia="zh-CN"/>
        </w:rPr>
        <w:t>中华人民共和国公司法</w:t>
      </w:r>
      <w:r>
        <w:rPr>
          <w:rFonts w:hint="eastAsia" w:ascii="宋体" w:hAnsi="宋体" w:eastAsia="宋体"/>
          <w:bCs/>
          <w:color w:val="000000"/>
          <w:sz w:val="24"/>
          <w:shd w:val="clear" w:color="auto" w:fill="FFFFFF"/>
          <w:lang w:val="en-US" w:eastAsia="zh-CN"/>
        </w:rPr>
        <w:t>&gt;</w:t>
      </w:r>
      <w:r>
        <w:rPr>
          <w:rFonts w:hint="eastAsia" w:ascii="宋体" w:hAnsi="宋体" w:eastAsia="宋体"/>
          <w:bCs/>
          <w:color w:val="000000"/>
          <w:sz w:val="24"/>
          <w:shd w:val="clear" w:color="auto" w:fill="FFFFFF"/>
          <w:lang w:eastAsia="zh-CN"/>
        </w:rPr>
        <w:t>若干问题的规定（二）》</w:t>
      </w:r>
      <w:r>
        <w:rPr>
          <w:rFonts w:hint="eastAsia" w:ascii="宋体" w:hAnsi="宋体" w:eastAsia="宋体"/>
          <w:bCs/>
          <w:color w:val="000000"/>
          <w:sz w:val="24"/>
          <w:shd w:val="clear" w:color="auto" w:fill="FFFFFF"/>
          <w:lang w:val="en-US" w:eastAsia="zh-CN"/>
        </w:rPr>
        <w:t>及</w:t>
      </w:r>
      <w:r>
        <w:rPr>
          <w:rFonts w:hint="eastAsia" w:ascii="宋体" w:hAnsi="宋体" w:eastAsia="宋体"/>
          <w:bCs/>
          <w:color w:val="000000"/>
          <w:sz w:val="24"/>
          <w:shd w:val="clear" w:color="auto" w:fill="FFFFFF"/>
        </w:rPr>
        <w:t>相关规定，</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现将有关事宜通知公告如下：</w:t>
      </w:r>
    </w:p>
    <w:p w14:paraId="5F7EF5FD">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一、请</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及有关人员</w:t>
      </w:r>
      <w:r>
        <w:rPr>
          <w:rFonts w:hint="eastAsia" w:ascii="宋体" w:hAnsi="宋体" w:eastAsia="宋体"/>
          <w:bCs/>
          <w:color w:val="000000"/>
          <w:sz w:val="24"/>
          <w:shd w:val="clear" w:color="auto" w:fill="FFFFFF"/>
          <w:lang w:val="en-US" w:eastAsia="zh-CN"/>
        </w:rPr>
        <w:t>5日内</w:t>
      </w:r>
      <w:r>
        <w:rPr>
          <w:rFonts w:hint="eastAsia" w:ascii="宋体" w:hAnsi="宋体" w:eastAsia="宋体"/>
          <w:bCs/>
          <w:color w:val="000000"/>
          <w:sz w:val="24"/>
          <w:shd w:val="clear" w:color="auto" w:fill="FFFFFF"/>
        </w:rPr>
        <w:t>联系</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w:t>
      </w:r>
      <w:r>
        <w:rPr>
          <w:rFonts w:hint="eastAsia" w:ascii="宋体" w:hAnsi="宋体" w:eastAsia="宋体"/>
          <w:bCs/>
          <w:color w:val="000000"/>
          <w:sz w:val="24"/>
          <w:shd w:val="clear" w:color="auto" w:fill="FFFFFF"/>
          <w:lang w:val="en-US" w:eastAsia="zh-CN"/>
        </w:rPr>
        <w:t>并</w:t>
      </w:r>
      <w:r>
        <w:rPr>
          <w:rFonts w:hint="eastAsia" w:ascii="宋体" w:hAnsi="宋体" w:eastAsia="宋体"/>
          <w:bCs/>
          <w:color w:val="000000"/>
          <w:sz w:val="24"/>
          <w:shd w:val="clear" w:color="auto" w:fill="FFFFFF"/>
        </w:rPr>
        <w:t>向</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移交</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财产、印章和账簿、文书等资料，如实向</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提供</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财产状况，与</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办理移交手续；</w:t>
      </w:r>
    </w:p>
    <w:p w14:paraId="3E0B74BA">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二、自法院裁定受理</w:t>
      </w:r>
      <w:r>
        <w:rPr>
          <w:rFonts w:hint="eastAsia" w:ascii="宋体" w:hAnsi="宋体" w:eastAsia="宋体"/>
          <w:bCs/>
          <w:color w:val="000000"/>
          <w:sz w:val="24"/>
          <w:shd w:val="clear" w:color="auto" w:fill="FFFFFF"/>
          <w:lang w:val="en-US" w:eastAsia="zh-CN"/>
        </w:rPr>
        <w:t>强制清算</w:t>
      </w:r>
      <w:r>
        <w:rPr>
          <w:rFonts w:hint="eastAsia" w:ascii="宋体" w:hAnsi="宋体" w:eastAsia="宋体"/>
          <w:bCs/>
          <w:color w:val="000000"/>
          <w:sz w:val="24"/>
          <w:shd w:val="clear" w:color="auto" w:fill="FFFFFF"/>
        </w:rPr>
        <w:t>申请之日起，</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应停止清偿债务，不得自行处理和分配</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的债权、债务、资产，由</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依法接管并处置；</w:t>
      </w:r>
    </w:p>
    <w:p w14:paraId="6DA1758E">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三、自人民法院受理</w:t>
      </w:r>
      <w:r>
        <w:rPr>
          <w:rFonts w:hint="eastAsia" w:ascii="宋体" w:hAnsi="宋体" w:eastAsia="宋体"/>
          <w:bCs/>
          <w:color w:val="000000"/>
          <w:sz w:val="24"/>
          <w:shd w:val="clear" w:color="auto" w:fill="FFFFFF"/>
          <w:lang w:val="en-US" w:eastAsia="zh-CN"/>
        </w:rPr>
        <w:t>强制清算</w:t>
      </w:r>
      <w:r>
        <w:rPr>
          <w:rFonts w:hint="eastAsia" w:ascii="宋体" w:hAnsi="宋体" w:eastAsia="宋体"/>
          <w:bCs/>
          <w:color w:val="000000"/>
          <w:sz w:val="24"/>
          <w:shd w:val="clear" w:color="auto" w:fill="FFFFFF"/>
        </w:rPr>
        <w:t>申请的裁定送达债务人之日起至</w:t>
      </w:r>
      <w:r>
        <w:rPr>
          <w:rFonts w:hint="eastAsia" w:ascii="宋体" w:hAnsi="宋体" w:eastAsia="宋体"/>
          <w:bCs/>
          <w:color w:val="000000"/>
          <w:sz w:val="24"/>
          <w:shd w:val="clear" w:color="auto" w:fill="FFFFFF"/>
          <w:lang w:val="en-US" w:eastAsia="zh-CN"/>
        </w:rPr>
        <w:t>强制清算</w:t>
      </w:r>
      <w:r>
        <w:rPr>
          <w:rFonts w:hint="eastAsia" w:ascii="宋体" w:hAnsi="宋体" w:eastAsia="宋体"/>
          <w:bCs/>
          <w:color w:val="000000"/>
          <w:sz w:val="24"/>
          <w:shd w:val="clear" w:color="auto" w:fill="FFFFFF"/>
        </w:rPr>
        <w:t>程序终结之日，</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及有关人员应承担下列义务：</w:t>
      </w:r>
    </w:p>
    <w:p w14:paraId="6D936428">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（一）妥善保管其占有和管理的财产、印章和账簿、文书等资料；</w:t>
      </w:r>
    </w:p>
    <w:p w14:paraId="33DE7B42">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（二）根据人民法院、</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的要求进行工作，并如实回答询问；</w:t>
      </w:r>
    </w:p>
    <w:p w14:paraId="31E4D558">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w:t>
      </w:r>
      <w:r>
        <w:rPr>
          <w:rFonts w:hint="eastAsia" w:ascii="宋体" w:hAnsi="宋体" w:eastAsia="宋体"/>
          <w:bCs/>
          <w:color w:val="000000"/>
          <w:sz w:val="24"/>
          <w:shd w:val="clear" w:color="auto" w:fill="FFFFFF"/>
          <w:lang w:val="en-US" w:eastAsia="zh-CN"/>
        </w:rPr>
        <w:t>三</w:t>
      </w:r>
      <w:r>
        <w:rPr>
          <w:rFonts w:hint="eastAsia" w:ascii="宋体" w:hAnsi="宋体" w:eastAsia="宋体"/>
          <w:bCs/>
          <w:color w:val="000000"/>
          <w:sz w:val="24"/>
          <w:shd w:val="clear" w:color="auto" w:fill="FFFFFF"/>
        </w:rPr>
        <w:t>）</w:t>
      </w:r>
      <w:r>
        <w:rPr>
          <w:rFonts w:hint="eastAsia" w:ascii="宋体" w:hAnsi="宋体" w:eastAsia="宋体"/>
          <w:bCs/>
          <w:color w:val="000000"/>
          <w:sz w:val="24"/>
          <w:shd w:val="clear" w:color="auto" w:fill="FFFFFF"/>
          <w:lang w:val="en-US" w:eastAsia="zh-CN"/>
        </w:rPr>
        <w:t>提交已知债权人名册清单及相关证据</w:t>
      </w:r>
      <w:r>
        <w:rPr>
          <w:rFonts w:hint="eastAsia" w:ascii="宋体" w:hAnsi="宋体" w:eastAsia="宋体"/>
          <w:bCs/>
          <w:color w:val="000000"/>
          <w:sz w:val="24"/>
          <w:shd w:val="clear" w:color="auto" w:fill="FFFFFF"/>
        </w:rPr>
        <w:t>；</w:t>
      </w:r>
    </w:p>
    <w:p w14:paraId="190EA2B0">
      <w:pPr>
        <w:spacing w:before="156" w:beforeLines="50" w:line="300" w:lineRule="auto"/>
        <w:ind w:firstLine="480" w:firstLineChars="200"/>
        <w:rPr>
          <w:rFonts w:hint="eastAsia" w:ascii="宋体" w:hAnsi="宋体" w:eastAsia="宋体"/>
          <w:bCs/>
          <w:color w:val="000000"/>
          <w:sz w:val="24"/>
          <w:shd w:val="clear" w:color="auto" w:fill="FFFFFF"/>
          <w:lang w:val="en-US" w:eastAsia="zh-CN"/>
        </w:rPr>
      </w:pPr>
      <w:r>
        <w:rPr>
          <w:rFonts w:hint="eastAsia" w:ascii="宋体" w:hAnsi="宋体" w:eastAsia="宋体"/>
          <w:bCs/>
          <w:color w:val="000000"/>
          <w:sz w:val="24"/>
          <w:shd w:val="clear" w:color="auto" w:fill="FFFFFF"/>
        </w:rPr>
        <w:t>（</w:t>
      </w:r>
      <w:r>
        <w:rPr>
          <w:rFonts w:hint="eastAsia" w:ascii="宋体" w:hAnsi="宋体" w:eastAsia="宋体"/>
          <w:bCs/>
          <w:color w:val="000000"/>
          <w:sz w:val="24"/>
          <w:shd w:val="clear" w:color="auto" w:fill="FFFFFF"/>
          <w:lang w:val="en-US" w:eastAsia="zh-CN"/>
        </w:rPr>
        <w:t>四</w:t>
      </w:r>
      <w:r>
        <w:rPr>
          <w:rFonts w:hint="eastAsia" w:ascii="宋体" w:hAnsi="宋体" w:eastAsia="宋体"/>
          <w:bCs/>
          <w:color w:val="000000"/>
          <w:sz w:val="24"/>
          <w:shd w:val="clear" w:color="auto" w:fill="FFFFFF"/>
        </w:rPr>
        <w:t>）</w:t>
      </w:r>
      <w:r>
        <w:rPr>
          <w:rFonts w:hint="eastAsia" w:ascii="宋体" w:hAnsi="宋体" w:eastAsia="宋体"/>
          <w:bCs/>
          <w:color w:val="000000"/>
          <w:sz w:val="24"/>
          <w:shd w:val="clear" w:color="auto" w:fill="FFFFFF"/>
          <w:lang w:val="en-US" w:eastAsia="zh-CN"/>
        </w:rPr>
        <w:t>配合清算组工作，完成清算组交办事项；</w:t>
      </w:r>
    </w:p>
    <w:p w14:paraId="6B8055C1">
      <w:pPr>
        <w:spacing w:before="156" w:beforeLines="50" w:line="300" w:lineRule="auto"/>
        <w:ind w:firstLine="480" w:firstLineChars="200"/>
        <w:rPr>
          <w:rFonts w:hint="default" w:ascii="宋体" w:hAnsi="宋体" w:eastAsia="宋体"/>
          <w:bCs/>
          <w:color w:val="000000"/>
          <w:sz w:val="24"/>
          <w:shd w:val="clear" w:color="auto" w:fill="FFFFFF"/>
          <w:lang w:val="en-US" w:eastAsia="zh-CN"/>
        </w:rPr>
      </w:pPr>
      <w:r>
        <w:rPr>
          <w:rFonts w:hint="eastAsia" w:ascii="宋体" w:hAnsi="宋体" w:eastAsia="宋体"/>
          <w:bCs/>
          <w:color w:val="000000"/>
          <w:sz w:val="24"/>
          <w:shd w:val="clear" w:color="auto" w:fill="FFFFFF"/>
          <w:lang w:val="en-US" w:eastAsia="zh-CN"/>
        </w:rPr>
        <w:t>（五）承担人民法院认为应当办理的其他事项。</w:t>
      </w:r>
    </w:p>
    <w:p w14:paraId="22ECC313">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及有关人员如违反相关规定，拒不向</w:t>
      </w: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移交财产、印章和账簿、文书等资料的，根据《北京市高级人民法院关于审理公司强制清算案件操作规范》第四十三条的规定，被申请人的有关人员因客观原因无法交出应交接的财产、印章、账册、文书等资料的，清算组应当要求被申请人的有关人员作出书面说明或者提供有关证据与线索。被申请人的有关人员拒不移交财产、印章和账簿、文书等资料的，清算组可以申请人民法院强制执行。</w:t>
      </w:r>
    </w:p>
    <w:p w14:paraId="54FA3A8E">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另，根据《最高人民法院关于适用&lt;中华人民共和国公司法&gt;若干问题的规定(二)》第十八条第二款、第三款的规定，有限责任公司的股东因怠于履行义务，导致公司主要财产、账册、重要文件等灭失，无法进行清算的，应对公司债务承担连带清偿责任。若上述情形系实际控制人原因造成，实际控制人应对公司债务承担相应民事责任的，人民法院应依法予以支持。鉴于上述事实情况与相关法律法规，若因</w:t>
      </w:r>
      <w:r>
        <w:rPr>
          <w:rFonts w:hint="eastAsia" w:ascii="宋体" w:hAnsi="宋体" w:eastAsia="宋体"/>
          <w:bCs/>
          <w:color w:val="000000"/>
          <w:sz w:val="24"/>
          <w:shd w:val="clear" w:color="auto" w:fill="FFFFFF"/>
          <w:lang w:eastAsia="zh-CN"/>
        </w:rPr>
        <w:t>森美公司</w:t>
      </w:r>
      <w:r>
        <w:rPr>
          <w:rFonts w:hint="eastAsia" w:ascii="宋体" w:hAnsi="宋体" w:eastAsia="宋体"/>
          <w:bCs/>
          <w:color w:val="000000"/>
          <w:sz w:val="24"/>
          <w:shd w:val="clear" w:color="auto" w:fill="FFFFFF"/>
        </w:rPr>
        <w:t>及有关人员拒不移交而产生不利后果及损失的，将由其自行承担相应责任。</w:t>
      </w:r>
    </w:p>
    <w:p w14:paraId="4AE66795">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lang w:eastAsia="zh-CN"/>
        </w:rPr>
        <w:t>清算组</w:t>
      </w:r>
      <w:r>
        <w:rPr>
          <w:rFonts w:hint="eastAsia" w:ascii="宋体" w:hAnsi="宋体" w:eastAsia="宋体"/>
          <w:bCs/>
          <w:color w:val="000000"/>
          <w:sz w:val="24"/>
          <w:shd w:val="clear" w:color="auto" w:fill="FFFFFF"/>
        </w:rPr>
        <w:t>联系方式如下：</w:t>
      </w:r>
    </w:p>
    <w:p w14:paraId="4DB6CA25">
      <w:pPr>
        <w:spacing w:before="156" w:beforeLines="50" w:line="300" w:lineRule="auto"/>
        <w:ind w:firstLine="480" w:firstLineChars="200"/>
        <w:jc w:val="left"/>
        <w:rPr>
          <w:rFonts w:hint="eastAsia" w:ascii="宋体" w:hAnsi="宋体" w:eastAsia="宋体"/>
          <w:sz w:val="24"/>
        </w:rPr>
      </w:pPr>
      <w:r>
        <w:rPr>
          <w:rFonts w:hint="eastAsia" w:ascii="宋体" w:hAnsi="宋体" w:eastAsia="宋体"/>
          <w:bCs/>
          <w:color w:val="000000"/>
          <w:sz w:val="24"/>
          <w:shd w:val="clear" w:color="auto" w:fill="FFFFFF"/>
        </w:rPr>
        <w:t>联系电话：</w:t>
      </w:r>
      <w:r>
        <w:rPr>
          <w:rFonts w:hint="eastAsia" w:ascii="宋体" w:hAnsi="宋体" w:eastAsia="宋体"/>
          <w:sz w:val="24"/>
        </w:rPr>
        <w:t>1</w:t>
      </w:r>
      <w:r>
        <w:rPr>
          <w:rFonts w:ascii="宋体" w:hAnsi="宋体" w:eastAsia="宋体"/>
          <w:sz w:val="24"/>
        </w:rPr>
        <w:t>8519095001</w:t>
      </w:r>
    </w:p>
    <w:p w14:paraId="7D54EBED">
      <w:pPr>
        <w:spacing w:before="156" w:beforeLines="50" w:line="300" w:lineRule="auto"/>
        <w:ind w:firstLine="480" w:firstLineChars="200"/>
        <w:jc w:val="left"/>
        <w:rPr>
          <w:rFonts w:hint="eastAsia" w:ascii="宋体" w:hAnsi="宋体" w:eastAsia="宋体"/>
          <w:bCs/>
          <w:color w:val="000000"/>
          <w:sz w:val="24"/>
          <w:shd w:val="clear" w:color="auto" w:fill="FFFFFF"/>
        </w:rPr>
      </w:pPr>
      <w:r>
        <w:rPr>
          <w:rFonts w:hint="eastAsia" w:ascii="宋体" w:hAnsi="宋体" w:eastAsia="宋体"/>
          <w:sz w:val="24"/>
        </w:rPr>
        <w:t>联系地址：北京市东城区金宝街89号金宝大厦11层</w:t>
      </w:r>
    </w:p>
    <w:p w14:paraId="11B21F63">
      <w:pPr>
        <w:spacing w:before="156" w:beforeLines="50" w:line="300" w:lineRule="auto"/>
        <w:ind w:firstLine="480" w:firstLineChars="200"/>
        <w:rPr>
          <w:rFonts w:hint="eastAsia" w:ascii="宋体" w:hAnsi="宋体" w:eastAsia="宋体"/>
          <w:bCs/>
          <w:color w:val="000000"/>
          <w:sz w:val="24"/>
          <w:shd w:val="clear" w:color="auto" w:fill="FFFFFF"/>
        </w:rPr>
      </w:pPr>
      <w:r>
        <w:rPr>
          <w:rFonts w:hint="eastAsia" w:ascii="宋体" w:hAnsi="宋体" w:eastAsia="宋体"/>
          <w:bCs/>
          <w:color w:val="000000"/>
          <w:sz w:val="24"/>
          <w:shd w:val="clear" w:color="auto" w:fill="FFFFFF"/>
        </w:rPr>
        <w:t>特此公告。</w:t>
      </w:r>
    </w:p>
    <w:p w14:paraId="750902E8">
      <w:pPr>
        <w:spacing w:before="156" w:beforeLines="50" w:line="300" w:lineRule="auto"/>
        <w:ind w:firstLine="480" w:firstLineChars="200"/>
        <w:jc w:val="right"/>
        <w:rPr>
          <w:rFonts w:hint="eastAsia" w:ascii="宋体" w:hAnsi="宋体" w:eastAsia="宋体"/>
          <w:bCs/>
          <w:color w:val="000000"/>
          <w:sz w:val="24"/>
          <w:shd w:val="clear" w:color="auto" w:fill="FFFFFF"/>
          <w:lang w:eastAsia="zh-CN"/>
        </w:rPr>
      </w:pPr>
      <w:r>
        <w:rPr>
          <w:rFonts w:hint="eastAsia" w:ascii="宋体" w:hAnsi="宋体" w:eastAsia="宋体"/>
          <w:bCs/>
          <w:color w:val="000000"/>
          <w:sz w:val="24"/>
          <w:shd w:val="clear" w:color="auto" w:fill="FFFFFF"/>
          <w:lang w:eastAsia="zh-CN"/>
        </w:rPr>
        <w:t>北京森美木材工艺品有限公司清算组</w:t>
      </w:r>
    </w:p>
    <w:p w14:paraId="13CB2280">
      <w:pPr>
        <w:spacing w:before="156" w:beforeLines="50" w:line="300" w:lineRule="auto"/>
        <w:ind w:firstLine="480" w:firstLineChars="200"/>
        <w:jc w:val="right"/>
        <w:rPr>
          <w:rFonts w:hint="eastAsia" w:ascii="宋体" w:hAnsi="宋体" w:eastAsia="宋体"/>
          <w:bCs/>
          <w:color w:val="000000"/>
          <w:sz w:val="24"/>
          <w:shd w:val="clear" w:color="auto" w:fill="FFFFFF"/>
        </w:rPr>
      </w:pPr>
      <w:r>
        <w:rPr>
          <w:rFonts w:ascii="宋体" w:hAnsi="宋体" w:eastAsia="宋体"/>
          <w:bCs/>
          <w:color w:val="000000"/>
          <w:sz w:val="24"/>
          <w:shd w:val="clear" w:color="auto" w:fill="FFFFFF"/>
        </w:rPr>
        <w:t>2025年</w:t>
      </w:r>
      <w:r>
        <w:rPr>
          <w:rFonts w:hint="eastAsia" w:ascii="宋体" w:hAnsi="宋体" w:eastAsia="宋体"/>
          <w:bCs/>
          <w:color w:val="000000"/>
          <w:sz w:val="24"/>
          <w:shd w:val="clear" w:color="auto" w:fill="FFFFFF"/>
          <w:lang w:val="en-US" w:eastAsia="zh-CN"/>
        </w:rPr>
        <w:t>7</w:t>
      </w:r>
      <w:r>
        <w:rPr>
          <w:rFonts w:ascii="宋体" w:hAnsi="宋体" w:eastAsia="宋体"/>
          <w:bCs/>
          <w:color w:val="000000"/>
          <w:sz w:val="24"/>
          <w:shd w:val="clear" w:color="auto" w:fill="FFFFFF"/>
        </w:rPr>
        <w:t>月</w:t>
      </w:r>
      <w:r>
        <w:rPr>
          <w:rFonts w:hint="eastAsia" w:ascii="宋体" w:hAnsi="宋体" w:eastAsia="宋体"/>
          <w:bCs/>
          <w:color w:val="000000"/>
          <w:sz w:val="24"/>
          <w:shd w:val="clear" w:color="auto" w:fill="FFFFFF"/>
          <w:lang w:val="en-US" w:eastAsia="zh-CN"/>
        </w:rPr>
        <w:t>7</w:t>
      </w:r>
      <w:r>
        <w:rPr>
          <w:rFonts w:ascii="宋体" w:hAnsi="宋体" w:eastAsia="宋体"/>
          <w:bCs/>
          <w:color w:val="000000"/>
          <w:sz w:val="24"/>
          <w:shd w:val="clear" w:color="auto" w:fill="FFFFFF"/>
        </w:rPr>
        <w:t>日</w:t>
      </w:r>
    </w:p>
    <w:p w14:paraId="3DEBE878">
      <w:pPr>
        <w:spacing w:before="156" w:beforeLines="50" w:line="300" w:lineRule="auto"/>
        <w:ind w:firstLine="480" w:firstLineChars="200"/>
        <w:jc w:val="left"/>
        <w:rPr>
          <w:rFonts w:hint="eastAsia" w:ascii="宋体" w:hAnsi="宋体" w:eastAsia="宋体"/>
          <w:bCs/>
          <w:color w:val="000000"/>
          <w:sz w:val="24"/>
          <w:shd w:val="clear" w:color="auto" w:fill="FFFFFF"/>
        </w:rPr>
      </w:pPr>
      <w:bookmarkStart w:id="0" w:name="_GoBack"/>
      <w:bookmarkEnd w:id="0"/>
    </w:p>
    <w:sectPr>
      <w:pgSz w:w="11906" w:h="16838"/>
      <w:pgMar w:top="1276"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zOTRmZDFhNmRiMGM3OWI0OTAyNTE0OWVlNjkwN2YifQ=="/>
  </w:docVars>
  <w:rsids>
    <w:rsidRoot w:val="00BC1CAC"/>
    <w:rsid w:val="0009111A"/>
    <w:rsid w:val="000935B2"/>
    <w:rsid w:val="000B53EC"/>
    <w:rsid w:val="00187806"/>
    <w:rsid w:val="00193B14"/>
    <w:rsid w:val="0025456C"/>
    <w:rsid w:val="003117D3"/>
    <w:rsid w:val="005C5037"/>
    <w:rsid w:val="006745B3"/>
    <w:rsid w:val="00A079CD"/>
    <w:rsid w:val="00AF476F"/>
    <w:rsid w:val="00B73018"/>
    <w:rsid w:val="00B83AD9"/>
    <w:rsid w:val="00BC1CAC"/>
    <w:rsid w:val="00F27C82"/>
    <w:rsid w:val="02600027"/>
    <w:rsid w:val="02833366"/>
    <w:rsid w:val="50B53A10"/>
    <w:rsid w:val="60D2451E"/>
    <w:rsid w:val="69EA0A68"/>
    <w:rsid w:val="74856C7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footnote text"/>
    <w:basedOn w:val="1"/>
    <w:semiHidden/>
    <w:unhideWhenUsed/>
    <w:qFormat/>
    <w:uiPriority w:val="99"/>
    <w:pPr>
      <w:snapToGrid w:val="0"/>
      <w:jc w:val="left"/>
    </w:pPr>
    <w:rPr>
      <w:sz w:val="18"/>
      <w:szCs w:val="18"/>
    </w:rPr>
  </w:style>
  <w:style w:type="character" w:styleId="8">
    <w:name w:val="footnote reference"/>
    <w:basedOn w:val="7"/>
    <w:semiHidden/>
    <w:unhideWhenUsed/>
    <w:qFormat/>
    <w:uiPriority w:val="99"/>
    <w:rPr>
      <w:vertAlign w:val="superscript"/>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日期 字符"/>
    <w:basedOn w:val="7"/>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1325</Words>
  <Characters>1362</Characters>
  <Lines>20</Lines>
  <Paragraphs>21</Paragraphs>
  <TotalTime>26</TotalTime>
  <ScaleCrop>false</ScaleCrop>
  <LinksUpToDate>false</LinksUpToDate>
  <CharactersWithSpaces>1362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2025-05-16T06:34:00Z</dcterms:created>
  <dc:creator>ljy</dc:creator>
  <cp:lastModifiedBy>鲁畅</cp:lastModifiedBy>
  <dcterms:modified xsi:type="dcterms:W3CDTF">2025-07-07T09:20:26Z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F30927310F4E4EDCAEE46BF13E1A8A7F_13</vt:lpwstr>
  </property>
  <property fmtid="{D5CDD505-2E9C-101B-9397-08002B2CF9AE}" pid="4" name="KSOTemplateDocerSaveRecord">
    <vt:lpwstr>eyJoZGlkIjoiMDljYzUzMWQ4OWI0YzBkYjYzMDRhZTY5ZjZkYmFmYTgiLCJ1c2VySWQiOiIxNjk3NDc0ODQ2In0=</vt:lpwstr>
  </property>
</Properties>
</file>