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2D5603">
      <w:pPr>
        <w:spacing w:before="156" w:beforeLines="50" w:after="156" w:afterLines="50" w:line="360" w:lineRule="auto"/>
        <w:jc w:val="center"/>
        <w:rPr>
          <w:rFonts w:hint="eastAsia" w:ascii="华文宋体" w:hAnsi="华文宋体" w:eastAsia="华文宋体" w:cs="华文宋体"/>
          <w:b/>
          <w:bCs/>
          <w:color w:val="auto"/>
          <w:kern w:val="0"/>
          <w:sz w:val="32"/>
          <w:szCs w:val="32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32"/>
          <w:szCs w:val="32"/>
          <w:highlight w:val="none"/>
          <w:lang w:bidi="en-US"/>
        </w:rPr>
        <w:t>告 知 函</w:t>
      </w:r>
    </w:p>
    <w:p w14:paraId="5149ABD2">
      <w:pPr>
        <w:spacing w:line="360" w:lineRule="auto"/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【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val="en-US" w:eastAsia="zh-CN" w:bidi="en-US"/>
        </w:rPr>
        <w:t>法定代表人、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股东、董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val="en-US" w:eastAsia="zh-CN" w:bidi="en-US"/>
        </w:rPr>
        <w:t>事、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监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val="en-US" w:eastAsia="zh-CN" w:bidi="en-US"/>
        </w:rPr>
        <w:t>事、高级管理人员及相关人员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】：</w:t>
      </w:r>
    </w:p>
    <w:p w14:paraId="66D62AB3">
      <w:pPr>
        <w:autoSpaceDE/>
        <w:spacing w:before="0" w:beforeAutospacing="0" w:after="0" w:line="360" w:lineRule="auto"/>
        <w:ind w:right="0" w:rightChars="0" w:firstLine="480" w:firstLineChars="200"/>
        <w:jc w:val="left"/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eastAsia="zh-CN" w:bidi="en-US"/>
        </w:rPr>
        <w:t>2025年5月21日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，厦门市中级人民法院作出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eastAsia="zh-CN" w:bidi="en-US"/>
        </w:rPr>
        <w:t>（2025）闽02破申192号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《民事裁定书》，裁定受理申请人王水德对被申请人</w:t>
      </w:r>
      <w:r>
        <w:rPr>
          <w:rFonts w:hint="eastAsia" w:ascii="华文宋体" w:hAnsi="华文宋体" w:eastAsia="华文宋体" w:cs="华文宋体"/>
          <w:color w:val="auto"/>
          <w:spacing w:val="0"/>
          <w:kern w:val="0"/>
          <w:sz w:val="24"/>
          <w:szCs w:val="24"/>
          <w:highlight w:val="none"/>
          <w:lang w:eastAsia="zh-CN" w:bidi="en-US"/>
        </w:rPr>
        <w:t>亿贰叁（福建）餐饮管理有限公司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的破产清算申请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eastAsia="zh-CN" w:bidi="en-US"/>
        </w:rPr>
        <w:t>，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val="en-US" w:eastAsia="zh-CN" w:bidi="en-US"/>
        </w:rPr>
        <w:t>并指令厦门市海沧区人民法院审理本案。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eastAsia="zh-CN" w:bidi="en-US"/>
        </w:rPr>
        <w:t>2025年7月16日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，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val="en-US" w:eastAsia="zh-CN" w:bidi="en-US"/>
        </w:rPr>
        <w:t>厦门市海沧区人民法院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作出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eastAsia="zh-CN" w:bidi="en-US"/>
        </w:rPr>
        <w:t>（2025）闽0205破1号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《决定书》，指定中国信达资产管理股份有限公司福建省分公司担任</w:t>
      </w:r>
      <w:r>
        <w:rPr>
          <w:rFonts w:hint="eastAsia" w:ascii="华文宋体" w:hAnsi="华文宋体" w:eastAsia="华文宋体" w:cs="华文宋体"/>
          <w:color w:val="auto"/>
          <w:spacing w:val="0"/>
          <w:kern w:val="0"/>
          <w:sz w:val="24"/>
          <w:szCs w:val="24"/>
          <w:highlight w:val="none"/>
          <w:lang w:eastAsia="zh-CN" w:bidi="en-US"/>
        </w:rPr>
        <w:t>亿贰叁（福建）餐饮管理有限公司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管理人。</w:t>
      </w:r>
    </w:p>
    <w:p w14:paraId="5C75EDBE">
      <w:pPr>
        <w:spacing w:line="360" w:lineRule="auto"/>
        <w:ind w:firstLine="480" w:firstLineChars="200"/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根据《中华人民共和国企业破产法》第十五条、第二十五条、第三十五条、第一百二十七条以及最高人民法院发布《关于推进破产案件依法高效审理的意见》第八条相关规定，现管理人特此郑重函告贵司及法定代表人、历任股东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eastAsia="zh-CN" w:bidi="en-US"/>
        </w:rPr>
        <w:t>、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董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val="en-US" w:eastAsia="zh-CN" w:bidi="en-US"/>
        </w:rPr>
        <w:t>事、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监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val="en-US" w:eastAsia="zh-CN" w:bidi="en-US"/>
        </w:rPr>
        <w:t>事、高级管理人员及相关人员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：</w:t>
      </w:r>
    </w:p>
    <w:p w14:paraId="332E6B44">
      <w:pPr>
        <w:spacing w:line="360" w:lineRule="auto"/>
        <w:ind w:firstLine="480" w:firstLineChars="200"/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1、请贵方务必于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bidi="en-US"/>
        </w:rPr>
        <w:t>202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val="en-US" w:eastAsia="zh-CN" w:bidi="en-US"/>
        </w:rPr>
        <w:t>5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bidi="en-US"/>
        </w:rPr>
        <w:t>年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val="en-US" w:eastAsia="zh-CN" w:bidi="en-US"/>
        </w:rPr>
        <w:t>8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bidi="en-US"/>
        </w:rPr>
        <w:t>月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val="en-US" w:eastAsia="zh-CN" w:bidi="en-US"/>
        </w:rPr>
        <w:t>1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bidi="en-US"/>
        </w:rPr>
        <w:t>日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前向管理人移交贵方所占有、保管的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eastAsia="zh-CN" w:bidi="en-US"/>
        </w:rPr>
        <w:t>亿贰叁（福建）餐饮管理有限公司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财产、印章和账簿、文书、车辆、工商及税务申报账户信息等资料；逾期未移交或者伪造、销毁有关财产证据材料而使财产状况不明的，管理人将依法提请人民法院对贵司及相关责任人追究相应民事、刑事责任；</w:t>
      </w:r>
    </w:p>
    <w:p w14:paraId="16D5CFFF">
      <w:pPr>
        <w:spacing w:line="360" w:lineRule="auto"/>
        <w:ind w:firstLine="480" w:firstLineChars="200"/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2、请贵方务必于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bidi="en-US"/>
        </w:rPr>
        <w:t>202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val="en-US" w:eastAsia="zh-CN" w:bidi="en-US"/>
        </w:rPr>
        <w:t>5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bidi="en-US"/>
        </w:rPr>
        <w:t>年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val="en-US" w:eastAsia="zh-CN" w:bidi="en-US"/>
        </w:rPr>
        <w:t>8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bidi="en-US"/>
        </w:rPr>
        <w:t>月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val="en-US" w:eastAsia="zh-CN" w:bidi="en-US"/>
        </w:rPr>
        <w:t>1</w:t>
      </w:r>
      <w:r>
        <w:rPr>
          <w:rFonts w:hint="eastAsia" w:ascii="华文宋体" w:hAnsi="华文宋体" w:eastAsia="华文宋体" w:cs="华文宋体"/>
          <w:b w:val="0"/>
          <w:bCs w:val="0"/>
          <w:color w:val="auto"/>
          <w:kern w:val="0"/>
          <w:sz w:val="24"/>
          <w:szCs w:val="24"/>
          <w:highlight w:val="none"/>
          <w:u w:val="none"/>
          <w:lang w:bidi="en-US"/>
        </w:rPr>
        <w:t>日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前向管理人提交财产状况说明、债务清册、债权清册、有关财务会计报告以及职工工资的支付和税款、社会保险费用的缴纳情况；</w:t>
      </w:r>
    </w:p>
    <w:p w14:paraId="431E7D4B">
      <w:pPr>
        <w:spacing w:line="360" w:lineRule="auto"/>
        <w:ind w:firstLine="480" w:firstLineChars="200"/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3、自即日起停止清偿债务；</w:t>
      </w:r>
    </w:p>
    <w:p w14:paraId="7C397AA0">
      <w:pPr>
        <w:spacing w:line="360" w:lineRule="auto"/>
        <w:ind w:firstLine="480" w:firstLineChars="200"/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4、根据《中华人民共和国企业破产法》第三十五条规定，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u w:val="single"/>
          <w:lang w:bidi="en-US"/>
        </w:rPr>
        <w:t>请尚未完全履行出资义务的出资人/股东务必于202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u w:val="single"/>
          <w:lang w:val="en-US" w:eastAsia="zh-CN" w:bidi="en-US"/>
        </w:rPr>
        <w:t>5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u w:val="single"/>
          <w:lang w:bidi="en-US"/>
        </w:rPr>
        <w:t>年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u w:val="single"/>
          <w:lang w:val="en-US" w:eastAsia="zh-CN" w:bidi="en-US"/>
        </w:rPr>
        <w:t>8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u w:val="single"/>
          <w:lang w:bidi="en-US"/>
        </w:rPr>
        <w:t>月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u w:val="single"/>
          <w:lang w:val="en-US" w:eastAsia="zh-CN" w:bidi="en-US"/>
        </w:rPr>
        <w:t>1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u w:val="single"/>
          <w:lang w:bidi="en-US"/>
        </w:rPr>
        <w:t>日前缴纳所认缴的出资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；</w:t>
      </w:r>
    </w:p>
    <w:p w14:paraId="03B98E2D">
      <w:pPr>
        <w:spacing w:line="360" w:lineRule="auto"/>
        <w:ind w:firstLine="480" w:firstLineChars="200"/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5、未经许可，不得离开住所地；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于</w:t>
      </w:r>
      <w:r>
        <w:rPr>
          <w:rFonts w:hint="eastAsia" w:ascii="华文宋体" w:hAnsi="华文宋体" w:eastAsia="华文宋体" w:cs="华文宋体"/>
          <w:b/>
          <w:bCs/>
          <w:color w:val="auto"/>
          <w:spacing w:val="0"/>
          <w:kern w:val="0"/>
          <w:sz w:val="24"/>
          <w:szCs w:val="24"/>
          <w:highlight w:val="none"/>
          <w:u w:val="single"/>
          <w:lang w:eastAsia="zh-CN" w:bidi="en-US"/>
        </w:rPr>
        <w:t>2025年8月27日</w:t>
      </w:r>
      <w:r>
        <w:rPr>
          <w:rFonts w:hint="eastAsia" w:ascii="华文宋体" w:hAnsi="华文宋体" w:eastAsia="华文宋体" w:cs="华文宋体"/>
          <w:b/>
          <w:bCs/>
          <w:color w:val="auto"/>
          <w:spacing w:val="0"/>
          <w:kern w:val="0"/>
          <w:sz w:val="24"/>
          <w:szCs w:val="24"/>
          <w:highlight w:val="none"/>
          <w:u w:val="single"/>
          <w:lang w:val="en-US" w:eastAsia="zh-CN" w:bidi="en-US"/>
        </w:rPr>
        <w:t>9时00分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参加第一次债权人会议。</w:t>
      </w:r>
    </w:p>
    <w:p w14:paraId="0090055B">
      <w:pPr>
        <w:spacing w:line="360" w:lineRule="auto"/>
        <w:ind w:firstLine="480" w:firstLineChars="200"/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6、遵守人民法院要求的其他事项。</w:t>
      </w:r>
    </w:p>
    <w:p w14:paraId="302A1F98">
      <w:pPr>
        <w:spacing w:line="360" w:lineRule="auto"/>
        <w:ind w:firstLine="480" w:firstLineChars="200"/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如上，若有违反，管理人将如实向人民法院汇报并提请人民法院追究贵方相应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u w:val="single"/>
          <w:lang w:bidi="en-US"/>
        </w:rPr>
        <w:t>民事、刑事责任</w:t>
      </w:r>
      <w:r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  <w:t>，务请慎行！</w:t>
      </w:r>
      <w:bookmarkStart w:id="0" w:name="_GoBack"/>
      <w:bookmarkEnd w:id="0"/>
    </w:p>
    <w:p w14:paraId="5B0AD226">
      <w:pPr>
        <w:spacing w:line="360" w:lineRule="auto"/>
        <w:ind w:firstLine="480" w:firstLineChars="200"/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</w:pPr>
    </w:p>
    <w:p w14:paraId="492CEF88">
      <w:pPr>
        <w:spacing w:line="360" w:lineRule="auto"/>
        <w:ind w:firstLine="480" w:firstLineChars="200"/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附：福建省厦门市中级人民法院案号为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eastAsia="zh-CN" w:bidi="en-US"/>
        </w:rPr>
        <w:t>（2025）闽02破申192号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《民事裁定书》以及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val="en-US" w:eastAsia="zh-CN" w:bidi="en-US"/>
        </w:rPr>
        <w:t>厦门市海沧区人民法院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案号为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eastAsia="zh-CN" w:bidi="en-US"/>
        </w:rPr>
        <w:t>（2025）闽0205破1号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的《决定书》《通知书》《公告》。</w:t>
      </w:r>
    </w:p>
    <w:p w14:paraId="5BEE0FF8">
      <w:pPr>
        <w:spacing w:line="360" w:lineRule="auto"/>
        <w:ind w:firstLine="480" w:firstLineChars="200"/>
        <w:jc w:val="right"/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</w:pPr>
    </w:p>
    <w:p w14:paraId="56E77595">
      <w:pPr>
        <w:spacing w:line="360" w:lineRule="auto"/>
        <w:ind w:firstLine="480" w:firstLineChars="200"/>
        <w:jc w:val="right"/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eastAsia="zh-CN" w:bidi="en-US"/>
        </w:rPr>
        <w:t>亿贰叁（福建）餐饮管理有限公司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管理人</w:t>
      </w:r>
    </w:p>
    <w:p w14:paraId="0896C2D4">
      <w:pPr>
        <w:spacing w:line="360" w:lineRule="auto"/>
        <w:ind w:firstLine="480" w:firstLineChars="200"/>
        <w:jc w:val="right"/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202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val="en-US" w:eastAsia="zh-CN" w:bidi="en-US"/>
        </w:rPr>
        <w:t>5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年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val="en-US" w:eastAsia="zh-CN" w:bidi="en-US"/>
        </w:rPr>
        <w:t>7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月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val="en-US" w:eastAsia="zh-CN" w:bidi="en-US"/>
        </w:rPr>
        <w:t>17</w:t>
      </w:r>
      <w:r>
        <w:rPr>
          <w:rFonts w:hint="eastAsia" w:ascii="华文宋体" w:hAnsi="华文宋体" w:eastAsia="华文宋体" w:cs="华文宋体"/>
          <w:b/>
          <w:bCs/>
          <w:color w:val="auto"/>
          <w:kern w:val="0"/>
          <w:sz w:val="24"/>
          <w:szCs w:val="24"/>
          <w:highlight w:val="none"/>
          <w:lang w:bidi="en-US"/>
        </w:rPr>
        <w:t>日</w:t>
      </w:r>
    </w:p>
    <w:p w14:paraId="567D1CA1">
      <w:pPr>
        <w:spacing w:line="480" w:lineRule="exact"/>
        <w:rPr>
          <w:rFonts w:hint="eastAsia" w:ascii="华文宋体" w:hAnsi="华文宋体" w:eastAsia="华文宋体" w:cs="华文宋体"/>
          <w:color w:val="auto"/>
          <w:kern w:val="0"/>
          <w:sz w:val="24"/>
          <w:highlight w:val="none"/>
          <w:lang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highlight w:val="none"/>
          <w:lang w:bidi="en-US"/>
        </w:rPr>
        <w:t>接收地址：</w:t>
      </w:r>
      <w:r>
        <w:rPr>
          <w:rFonts w:hint="eastAsia" w:ascii="华文宋体" w:hAnsi="华文宋体" w:eastAsia="华文宋体" w:cs="华文宋体"/>
          <w:color w:val="auto"/>
          <w:spacing w:val="-8"/>
          <w:sz w:val="24"/>
          <w:szCs w:val="24"/>
          <w:highlight w:val="none"/>
        </w:rPr>
        <w:t>福建省福州市鼓楼区五四路137号信和广场1002室</w:t>
      </w:r>
    </w:p>
    <w:p w14:paraId="43E11E3B">
      <w:pPr>
        <w:spacing w:line="480" w:lineRule="exact"/>
        <w:rPr>
          <w:rFonts w:hint="eastAsia" w:ascii="华文宋体" w:hAnsi="华文宋体" w:eastAsia="华文宋体" w:cs="华文宋体"/>
          <w:color w:val="auto"/>
          <w:kern w:val="0"/>
          <w:sz w:val="24"/>
          <w:highlight w:val="none"/>
          <w:lang w:eastAsia="zh-CN" w:bidi="en-US"/>
        </w:rPr>
      </w:pPr>
      <w:r>
        <w:rPr>
          <w:rFonts w:hint="eastAsia" w:ascii="华文宋体" w:hAnsi="华文宋体" w:eastAsia="华文宋体" w:cs="华文宋体"/>
          <w:color w:val="auto"/>
          <w:kern w:val="0"/>
          <w:sz w:val="24"/>
          <w:highlight w:val="none"/>
          <w:lang w:bidi="en-US"/>
        </w:rPr>
        <w:t>接收人：</w:t>
      </w:r>
      <w:r>
        <w:rPr>
          <w:rFonts w:hint="eastAsia" w:ascii="华文宋体" w:hAnsi="华文宋体" w:eastAsia="华文宋体" w:cs="华文宋体"/>
          <w:color w:val="auto"/>
          <w:spacing w:val="-8"/>
          <w:sz w:val="24"/>
          <w:szCs w:val="24"/>
          <w:highlight w:val="none"/>
        </w:rPr>
        <w:t>吴瑕</w:t>
      </w:r>
      <w:r>
        <w:rPr>
          <w:rFonts w:hint="eastAsia" w:ascii="华文宋体" w:hAnsi="华文宋体" w:eastAsia="华文宋体" w:cs="华文宋体"/>
          <w:color w:val="auto"/>
          <w:spacing w:val="-8"/>
          <w:sz w:val="24"/>
          <w:szCs w:val="24"/>
          <w:highlight w:val="none"/>
          <w:lang w:eastAsia="zh-CN"/>
        </w:rPr>
        <w:t>，</w:t>
      </w:r>
      <w:r>
        <w:rPr>
          <w:rFonts w:hint="eastAsia" w:ascii="华文宋体" w:hAnsi="华文宋体" w:eastAsia="华文宋体" w:cs="华文宋体"/>
          <w:color w:val="auto"/>
          <w:spacing w:val="-8"/>
          <w:sz w:val="24"/>
          <w:szCs w:val="24"/>
          <w:highlight w:val="none"/>
          <w:lang w:val="en-US" w:eastAsia="zh-CN"/>
        </w:rPr>
        <w:t>联系电话：</w:t>
      </w:r>
      <w:r>
        <w:rPr>
          <w:rFonts w:hint="eastAsia" w:ascii="华文宋体" w:hAnsi="华文宋体" w:eastAsia="华文宋体" w:cs="华文宋体"/>
          <w:color w:val="auto"/>
          <w:spacing w:val="-8"/>
          <w:sz w:val="24"/>
          <w:szCs w:val="24"/>
          <w:highlight w:val="none"/>
        </w:rPr>
        <w:t>18559198315</w:t>
      </w:r>
      <w:r>
        <w:rPr>
          <w:rFonts w:hint="eastAsia" w:ascii="华文宋体" w:hAnsi="华文宋体" w:eastAsia="华文宋体" w:cs="华文宋体"/>
          <w:color w:val="auto"/>
          <w:spacing w:val="-8"/>
          <w:sz w:val="24"/>
          <w:szCs w:val="24"/>
          <w:highlight w:val="none"/>
          <w:lang w:eastAsia="zh-CN"/>
        </w:rPr>
        <w:t>、</w:t>
      </w:r>
      <w:r>
        <w:rPr>
          <w:rFonts w:hint="eastAsia" w:ascii="华文宋体" w:hAnsi="华文宋体" w:eastAsia="华文宋体" w:cs="华文宋体"/>
          <w:color w:val="auto"/>
          <w:spacing w:val="-8"/>
          <w:sz w:val="24"/>
          <w:szCs w:val="24"/>
          <w:highlight w:val="none"/>
        </w:rPr>
        <w:t>13779962282</w:t>
      </w:r>
      <w:r>
        <w:rPr>
          <w:rFonts w:hint="eastAsia" w:ascii="华文宋体" w:hAnsi="华文宋体" w:eastAsia="华文宋体" w:cs="华文宋体"/>
          <w:color w:val="auto"/>
          <w:spacing w:val="-8"/>
          <w:sz w:val="24"/>
          <w:szCs w:val="24"/>
          <w:highlight w:val="none"/>
          <w:lang w:eastAsia="zh-CN"/>
        </w:rPr>
        <w:t>（</w:t>
      </w:r>
      <w:r>
        <w:rPr>
          <w:rFonts w:hint="eastAsia" w:ascii="华文宋体" w:hAnsi="华文宋体" w:eastAsia="华文宋体" w:cs="华文宋体"/>
          <w:color w:val="auto"/>
          <w:spacing w:val="-8"/>
          <w:sz w:val="24"/>
          <w:szCs w:val="24"/>
          <w:highlight w:val="none"/>
          <w:lang w:val="en-US" w:eastAsia="zh-CN"/>
        </w:rPr>
        <w:t>联系专用电话</w:t>
      </w:r>
      <w:r>
        <w:rPr>
          <w:rFonts w:hint="eastAsia" w:ascii="华文宋体" w:hAnsi="华文宋体" w:eastAsia="华文宋体" w:cs="华文宋体"/>
          <w:color w:val="auto"/>
          <w:spacing w:val="-8"/>
          <w:sz w:val="24"/>
          <w:szCs w:val="24"/>
          <w:highlight w:val="none"/>
          <w:lang w:eastAsia="zh-CN"/>
        </w:rPr>
        <w:t>）</w:t>
      </w:r>
    </w:p>
    <w:p w14:paraId="30B42731">
      <w:pPr>
        <w:spacing w:line="360" w:lineRule="auto"/>
        <w:rPr>
          <w:rFonts w:hint="eastAsia" w:ascii="华文宋体" w:hAnsi="华文宋体" w:eastAsia="华文宋体" w:cs="华文宋体"/>
          <w:color w:val="auto"/>
          <w:kern w:val="0"/>
          <w:sz w:val="24"/>
          <w:szCs w:val="24"/>
          <w:highlight w:val="none"/>
          <w:lang w:bidi="en-US"/>
        </w:rPr>
      </w:pPr>
    </w:p>
    <w:sectPr>
      <w:pgSz w:w="11900" w:h="16840"/>
      <w:pgMar w:top="737" w:right="1134" w:bottom="62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kM2M1MjcxMzVkM2VhNDgxMTAxMTdiNjBlMjgxZTIifQ=="/>
  </w:docVars>
  <w:rsids>
    <w:rsidRoot w:val="000A0707"/>
    <w:rsid w:val="00014B44"/>
    <w:rsid w:val="000A0707"/>
    <w:rsid w:val="00130D74"/>
    <w:rsid w:val="001951D8"/>
    <w:rsid w:val="001B3D72"/>
    <w:rsid w:val="001E6DDB"/>
    <w:rsid w:val="0020735D"/>
    <w:rsid w:val="00241FDB"/>
    <w:rsid w:val="00257F31"/>
    <w:rsid w:val="00267EEA"/>
    <w:rsid w:val="002D788A"/>
    <w:rsid w:val="00302A91"/>
    <w:rsid w:val="0037445B"/>
    <w:rsid w:val="00385BF6"/>
    <w:rsid w:val="003939D3"/>
    <w:rsid w:val="00393F8C"/>
    <w:rsid w:val="004212CA"/>
    <w:rsid w:val="0046111B"/>
    <w:rsid w:val="00487C49"/>
    <w:rsid w:val="004E1DDC"/>
    <w:rsid w:val="004E1E72"/>
    <w:rsid w:val="005620C9"/>
    <w:rsid w:val="005A57A4"/>
    <w:rsid w:val="005F7DB3"/>
    <w:rsid w:val="00657D43"/>
    <w:rsid w:val="00697427"/>
    <w:rsid w:val="006C0C1D"/>
    <w:rsid w:val="00711C66"/>
    <w:rsid w:val="00746B37"/>
    <w:rsid w:val="00786D68"/>
    <w:rsid w:val="0084270A"/>
    <w:rsid w:val="00855D1E"/>
    <w:rsid w:val="00883E2E"/>
    <w:rsid w:val="008D7625"/>
    <w:rsid w:val="0096398D"/>
    <w:rsid w:val="009E5A08"/>
    <w:rsid w:val="00A21E48"/>
    <w:rsid w:val="00A413FE"/>
    <w:rsid w:val="00A43790"/>
    <w:rsid w:val="00A46DF7"/>
    <w:rsid w:val="00AF2911"/>
    <w:rsid w:val="00AF4AD2"/>
    <w:rsid w:val="00B61154"/>
    <w:rsid w:val="00B76E3B"/>
    <w:rsid w:val="00BB2C03"/>
    <w:rsid w:val="00BD31B7"/>
    <w:rsid w:val="00C11080"/>
    <w:rsid w:val="00C336BE"/>
    <w:rsid w:val="00C81B01"/>
    <w:rsid w:val="00CA6EC7"/>
    <w:rsid w:val="00CC59A6"/>
    <w:rsid w:val="00CF3E9E"/>
    <w:rsid w:val="00D2379F"/>
    <w:rsid w:val="00D43187"/>
    <w:rsid w:val="00D61653"/>
    <w:rsid w:val="00DD146F"/>
    <w:rsid w:val="00E20715"/>
    <w:rsid w:val="00E4375C"/>
    <w:rsid w:val="00E43F26"/>
    <w:rsid w:val="00E96A60"/>
    <w:rsid w:val="00EF37AB"/>
    <w:rsid w:val="00F01C46"/>
    <w:rsid w:val="0D6FE516"/>
    <w:rsid w:val="0FDE93B0"/>
    <w:rsid w:val="19736AA3"/>
    <w:rsid w:val="1BDCE44F"/>
    <w:rsid w:val="1F5FBB81"/>
    <w:rsid w:val="1FCF3A3B"/>
    <w:rsid w:val="1FDB7079"/>
    <w:rsid w:val="291FAE06"/>
    <w:rsid w:val="2E6C8083"/>
    <w:rsid w:val="2EBFA68F"/>
    <w:rsid w:val="2EFBB9C0"/>
    <w:rsid w:val="39FF4D97"/>
    <w:rsid w:val="3AFD3DE7"/>
    <w:rsid w:val="3B9C83BE"/>
    <w:rsid w:val="3E7F7D0A"/>
    <w:rsid w:val="3EB3EAB1"/>
    <w:rsid w:val="3F49F35F"/>
    <w:rsid w:val="3F77DA45"/>
    <w:rsid w:val="3FBE467B"/>
    <w:rsid w:val="4479CA5E"/>
    <w:rsid w:val="4AEEBA65"/>
    <w:rsid w:val="4BFB03F3"/>
    <w:rsid w:val="4FBF9E81"/>
    <w:rsid w:val="4FCFC60C"/>
    <w:rsid w:val="5AF20881"/>
    <w:rsid w:val="5D9D6ACA"/>
    <w:rsid w:val="5E7E7E12"/>
    <w:rsid w:val="5EFE0AA5"/>
    <w:rsid w:val="5FFFF963"/>
    <w:rsid w:val="67DE4D2B"/>
    <w:rsid w:val="6E3E3845"/>
    <w:rsid w:val="6E7B9CC5"/>
    <w:rsid w:val="6FFCEBE1"/>
    <w:rsid w:val="72866BC9"/>
    <w:rsid w:val="73AF1C55"/>
    <w:rsid w:val="73EF4D08"/>
    <w:rsid w:val="73EFC4AD"/>
    <w:rsid w:val="73FE6D56"/>
    <w:rsid w:val="76FA1420"/>
    <w:rsid w:val="79E6822D"/>
    <w:rsid w:val="79FD8339"/>
    <w:rsid w:val="7B6192EA"/>
    <w:rsid w:val="7BCF3088"/>
    <w:rsid w:val="7BF62A48"/>
    <w:rsid w:val="7BFFC249"/>
    <w:rsid w:val="7C37C92A"/>
    <w:rsid w:val="7CCEA12A"/>
    <w:rsid w:val="7CD65CE7"/>
    <w:rsid w:val="7CDE0A87"/>
    <w:rsid w:val="7D722F64"/>
    <w:rsid w:val="7DA5D224"/>
    <w:rsid w:val="7ECF6ACE"/>
    <w:rsid w:val="7EFE3374"/>
    <w:rsid w:val="7F3EFA4B"/>
    <w:rsid w:val="7F58B6A6"/>
    <w:rsid w:val="7F7EA0BE"/>
    <w:rsid w:val="7FB9ED32"/>
    <w:rsid w:val="7FE23DFF"/>
    <w:rsid w:val="7FFF82FC"/>
    <w:rsid w:val="7FFF8DA0"/>
    <w:rsid w:val="7FFFF742"/>
    <w:rsid w:val="9DFF2C2E"/>
    <w:rsid w:val="A9EB1B04"/>
    <w:rsid w:val="AB77C9C9"/>
    <w:rsid w:val="AF5F2146"/>
    <w:rsid w:val="B51DC3C4"/>
    <w:rsid w:val="BE3B84FF"/>
    <w:rsid w:val="BF3F2E06"/>
    <w:rsid w:val="BFFC1DBE"/>
    <w:rsid w:val="BFFD39B1"/>
    <w:rsid w:val="BFFF6FA5"/>
    <w:rsid w:val="C9FFADA2"/>
    <w:rsid w:val="D2EBE7A8"/>
    <w:rsid w:val="D4DF180C"/>
    <w:rsid w:val="D5EDFCC8"/>
    <w:rsid w:val="D7DE3759"/>
    <w:rsid w:val="D9EAC9F0"/>
    <w:rsid w:val="DB597BB9"/>
    <w:rsid w:val="DBFC6250"/>
    <w:rsid w:val="DDDF2C22"/>
    <w:rsid w:val="DEF41EAC"/>
    <w:rsid w:val="DF4E3C7B"/>
    <w:rsid w:val="DFCF9B1E"/>
    <w:rsid w:val="DFE7F6E2"/>
    <w:rsid w:val="DFF7C031"/>
    <w:rsid w:val="DFFFF033"/>
    <w:rsid w:val="ECEE5C4C"/>
    <w:rsid w:val="EFDF976A"/>
    <w:rsid w:val="F5BFFC8D"/>
    <w:rsid w:val="F5DDF6F9"/>
    <w:rsid w:val="F5E68460"/>
    <w:rsid w:val="F5FF52D3"/>
    <w:rsid w:val="F6FBD8BD"/>
    <w:rsid w:val="F6FE6792"/>
    <w:rsid w:val="F9EE8371"/>
    <w:rsid w:val="F9F77F9C"/>
    <w:rsid w:val="F9FF12A8"/>
    <w:rsid w:val="FB6FB2C2"/>
    <w:rsid w:val="FB7F6E0F"/>
    <w:rsid w:val="FB9787B3"/>
    <w:rsid w:val="FBB748FC"/>
    <w:rsid w:val="FBE13E63"/>
    <w:rsid w:val="FBE7F5D1"/>
    <w:rsid w:val="FBEFE243"/>
    <w:rsid w:val="FCB7E95C"/>
    <w:rsid w:val="FCFCA86A"/>
    <w:rsid w:val="FE6F3D6D"/>
    <w:rsid w:val="FE716166"/>
    <w:rsid w:val="FE75F5F9"/>
    <w:rsid w:val="FE7B70B9"/>
    <w:rsid w:val="FEF75D85"/>
    <w:rsid w:val="FEFF7234"/>
    <w:rsid w:val="FF3F7AC8"/>
    <w:rsid w:val="FF4F2EC2"/>
    <w:rsid w:val="FFEB9D30"/>
    <w:rsid w:val="FFEFDF8E"/>
    <w:rsid w:val="FFEFE4F5"/>
    <w:rsid w:val="FFF7B326"/>
    <w:rsid w:val="FFFF3B8E"/>
    <w:rsid w:val="FFFF6A78"/>
    <w:rsid w:val="FFFF9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字符"/>
    <w:basedOn w:val="6"/>
    <w:link w:val="2"/>
    <w:semiHidden/>
    <w:qFormat/>
    <w:uiPriority w:val="99"/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6"/>
    <w:link w:val="4"/>
    <w:qFormat/>
    <w:uiPriority w:val="99"/>
    <w:rPr>
      <w:sz w:val="18"/>
      <w:szCs w:val="18"/>
    </w:rPr>
  </w:style>
  <w:style w:type="paragraph" w:customStyle="1" w:styleId="12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699</Characters>
  <Lines>5</Lines>
  <Paragraphs>1</Paragraphs>
  <TotalTime>0</TotalTime>
  <ScaleCrop>false</ScaleCrop>
  <LinksUpToDate>false</LinksUpToDate>
  <CharactersWithSpaces>820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2024-09-02T19:08:00Z</dcterms:created>
  <dc:creator>Data</dc:creator>
  <cp:lastModifiedBy>林铮铮</cp:lastModifiedBy>
  <dcterms:modified xsi:type="dcterms:W3CDTF">2025-07-22T16:43:51Z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83FF9C225E1766F76D6F6966924595AC_43</vt:lpwstr>
  </property>
</Properties>
</file>