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vertAnchor="page" w:horzAnchor="page" w:tblpX="1682" w:tblpY="2127"/>
        <w:tblOverlap w:val="never"/>
        <w:tblW w:w="0" w:type="auto"/>
        <w:tblInd w:w="79" w:type="dxa"/>
        <w:tblBorders>
          <w:top w:val="none" w:color="auto" w:sz="0" w:space="0"/>
          <w:left w:val="none" w:color="auto" w:sz="0" w:space="0"/>
          <w:bottom w:val="single" w:color="FF0000"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986"/>
      </w:tblGrid>
      <w:tr w14:paraId="546AF728">
        <w:tblPrEx>
          <w:tblBorders>
            <w:top w:val="none" w:color="auto" w:sz="0" w:space="0"/>
            <w:left w:val="none" w:color="auto" w:sz="0" w:space="0"/>
            <w:bottom w:val="single" w:color="FF0000"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4" w:hRule="exact"/>
        </w:trPr>
        <w:tc>
          <w:tcPr>
            <w:tcW w:w="8844" w:type="dxa"/>
            <w:tcBorders>
              <w:tl2br w:val="nil"/>
              <w:tr2bl w:val="nil"/>
            </w:tcBorders>
            <w:vAlign w:val="top"/>
          </w:tcPr>
          <w:p w14:paraId="6E646104">
            <w:pPr>
              <w:widowControl w:val="0"/>
              <w:spacing w:line="257" w:lineRule="auto"/>
              <w:rPr>
                <w:rFonts w:hint="default" w:ascii="宋体" w:hAnsi="宋体" w:eastAsia="宋体" w:cs="宋体"/>
                <w:sz w:val="42"/>
                <w:szCs w:val="42"/>
                <w:vertAlign w:val="baseline"/>
                <w:lang w:val="en-US" w:eastAsia="zh-CN"/>
              </w:rPr>
            </w:pPr>
          </w:p>
          <w:p w14:paraId="70806A9E">
            <w:pPr>
              <w:widowControl w:val="0"/>
              <w:spacing w:line="257" w:lineRule="auto"/>
              <w:rPr>
                <w:rFonts w:hint="eastAsia" w:ascii="宋体" w:hAnsi="宋体" w:eastAsia="宋体" w:cs="宋体"/>
                <w:sz w:val="42"/>
                <w:szCs w:val="42"/>
                <w:vertAlign w:val="baseline"/>
                <w:lang w:val="en-US" w:eastAsia="zh-CN"/>
              </w:rPr>
            </w:pPr>
          </w:p>
          <w:p w14:paraId="0EA5076F">
            <w:pPr>
              <w:widowControl w:val="0"/>
              <w:spacing w:line="257" w:lineRule="auto"/>
              <w:rPr>
                <w:rFonts w:hint="eastAsia" w:ascii="宋体" w:hAnsi="宋体" w:eastAsia="宋体" w:cs="宋体"/>
                <w:sz w:val="42"/>
                <w:szCs w:val="42"/>
                <w:vertAlign w:val="baseline"/>
                <w:lang w:val="en-US" w:eastAsia="zh-CN"/>
              </w:rPr>
            </w:pPr>
          </w:p>
          <w:p w14:paraId="41AACAB7">
            <w:pPr>
              <w:widowControl w:val="0"/>
              <w:spacing w:line="257" w:lineRule="auto"/>
              <w:rPr>
                <w:rFonts w:hint="default" w:ascii="宋体" w:hAnsi="宋体" w:eastAsia="宋体" w:cs="宋体"/>
                <w:sz w:val="42"/>
                <w:szCs w:val="42"/>
                <w:vertAlign w:val="baseline"/>
                <w:lang w:val="en-US" w:eastAsia="zh-CN"/>
              </w:rPr>
            </w:pPr>
          </w:p>
        </w:tc>
      </w:tr>
      <w:tr w14:paraId="6364C9CE">
        <w:tblPrEx>
          <w:tblBorders>
            <w:top w:val="none" w:color="auto" w:sz="0" w:space="0"/>
            <w:left w:val="none" w:color="auto" w:sz="0" w:space="0"/>
            <w:bottom w:val="single" w:color="FF0000"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exact"/>
        </w:trPr>
        <w:tc>
          <w:tcPr>
            <w:tcW w:w="8844" w:type="dxa"/>
            <w:tcBorders>
              <w:tl2br w:val="nil"/>
              <w:tr2bl w:val="nil"/>
            </w:tcBorders>
            <w:vAlign w:val="top"/>
          </w:tcPr>
          <w:p w14:paraId="7EEC72F4">
            <w:pPr>
              <w:keepNext w:val="0"/>
              <w:keepLines w:val="0"/>
              <w:pageBreakBefore w:val="0"/>
              <w:widowControl/>
              <w:kinsoku w:val="0"/>
              <w:wordWrap/>
              <w:overflowPunct/>
              <w:topLinePunct w:val="0"/>
              <w:autoSpaceDE w:val="0"/>
              <w:autoSpaceDN w:val="0"/>
              <w:bidi w:val="0"/>
              <w:adjustRightInd w:val="0"/>
              <w:snapToGrid w:val="0"/>
              <w:spacing w:line="257" w:lineRule="auto"/>
              <w:ind w:left="105" w:leftChars="50" w:right="105" w:rightChars="50"/>
              <w:jc w:val="distribute"/>
              <w:textAlignment w:val="baseline"/>
              <w:rPr>
                <w:rFonts w:hint="eastAsia" w:ascii="宋体" w:hAnsi="宋体" w:eastAsia="宋体" w:cs="宋体"/>
                <w:sz w:val="42"/>
                <w:szCs w:val="42"/>
                <w:vertAlign w:val="baseline"/>
              </w:rPr>
            </w:pPr>
            <w:r>
              <w:rPr>
                <w:rFonts w:hint="eastAsia" w:ascii="宋体" w:hAnsi="宋体" w:eastAsia="宋体" w:cs="宋体"/>
                <w:color w:val="E53516"/>
                <w:spacing w:val="1"/>
                <w:w w:val="73"/>
                <w:kern w:val="0"/>
                <w:position w:val="9"/>
                <w:sz w:val="74"/>
                <w:szCs w:val="74"/>
                <w:fitText w:val="8722" w:id="1649237515"/>
                <w:lang w:val="en-US" w:eastAsia="zh-CN"/>
                <w14:textOutline w14:w="13436" w14:cap="flat" w14:cmpd="sng">
                  <w14:solidFill>
                    <w14:srgbClr w14:val="E53516"/>
                  </w14:solidFill>
                  <w14:prstDash w14:val="solid"/>
                  <w14:miter w14:val="0"/>
                </w14:textOutline>
              </w:rPr>
              <w:t>厦门逗丁儿文化艺术有限公司管理</w:t>
            </w:r>
            <w:r>
              <w:rPr>
                <w:rFonts w:hint="eastAsia" w:ascii="宋体" w:hAnsi="宋体" w:eastAsia="宋体" w:cs="宋体"/>
                <w:color w:val="E53516"/>
                <w:spacing w:val="45"/>
                <w:w w:val="73"/>
                <w:kern w:val="0"/>
                <w:position w:val="9"/>
                <w:sz w:val="74"/>
                <w:szCs w:val="74"/>
                <w:fitText w:val="8722" w:id="1649237515"/>
                <w:lang w:val="en-US" w:eastAsia="zh-CN"/>
                <w14:textOutline w14:w="13436" w14:cap="flat" w14:cmpd="sng">
                  <w14:solidFill>
                    <w14:srgbClr w14:val="E53516"/>
                  </w14:solidFill>
                  <w14:prstDash w14:val="solid"/>
                  <w14:miter w14:val="0"/>
                </w14:textOutline>
              </w:rPr>
              <w:t>人</w:t>
            </w:r>
          </w:p>
        </w:tc>
      </w:tr>
      <w:tr w14:paraId="0C0156A4">
        <w:tblPrEx>
          <w:tblBorders>
            <w:top w:val="none" w:color="auto" w:sz="0" w:space="0"/>
            <w:left w:val="none" w:color="auto" w:sz="0" w:space="0"/>
            <w:bottom w:val="single" w:color="FF0000"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7" w:hRule="exact"/>
        </w:trPr>
        <w:tc>
          <w:tcPr>
            <w:tcW w:w="8844" w:type="dxa"/>
            <w:tcBorders>
              <w:tl2br w:val="nil"/>
              <w:tr2bl w:val="nil"/>
            </w:tcBorders>
            <w:vAlign w:val="top"/>
          </w:tcPr>
          <w:p w14:paraId="097CE12E">
            <w:pPr>
              <w:widowControl w:val="0"/>
              <w:spacing w:line="257" w:lineRule="auto"/>
              <w:rPr>
                <w:rFonts w:hint="default" w:ascii="宋体" w:hAnsi="宋体" w:eastAsia="宋体" w:cs="宋体"/>
                <w:sz w:val="42"/>
                <w:szCs w:val="42"/>
                <w:vertAlign w:val="baseline"/>
                <w:lang w:val="en-US" w:eastAsia="zh-CN"/>
              </w:rPr>
            </w:pPr>
          </w:p>
          <w:p w14:paraId="0122C1B1">
            <w:pPr>
              <w:widowControl w:val="0"/>
              <w:spacing w:line="257" w:lineRule="auto"/>
              <w:rPr>
                <w:rFonts w:hint="eastAsia" w:ascii="宋体" w:hAnsi="宋体" w:eastAsia="宋体" w:cs="宋体"/>
                <w:sz w:val="42"/>
                <w:szCs w:val="42"/>
                <w:vertAlign w:val="baseline"/>
              </w:rPr>
            </w:pPr>
          </w:p>
          <w:p w14:paraId="4CCA4026">
            <w:pPr>
              <w:widowControl w:val="0"/>
              <w:spacing w:line="257" w:lineRule="auto"/>
              <w:rPr>
                <w:rFonts w:hint="eastAsia" w:ascii="宋体" w:hAnsi="宋体" w:eastAsia="宋体" w:cs="宋体"/>
                <w:sz w:val="42"/>
                <w:szCs w:val="42"/>
                <w:vertAlign w:val="baseline"/>
              </w:rPr>
            </w:pPr>
          </w:p>
        </w:tc>
      </w:tr>
      <w:tr w14:paraId="3781648A">
        <w:tblPrEx>
          <w:tblBorders>
            <w:top w:val="none" w:color="auto" w:sz="0" w:space="0"/>
            <w:left w:val="none" w:color="auto" w:sz="0" w:space="0"/>
            <w:bottom w:val="single" w:color="FF0000"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2" w:hRule="exact"/>
        </w:trPr>
        <w:tc>
          <w:tcPr>
            <w:tcW w:w="8844" w:type="dxa"/>
            <w:tcBorders>
              <w:tl2br w:val="nil"/>
              <w:tr2bl w:val="nil"/>
            </w:tcBorders>
            <w:vAlign w:val="center"/>
          </w:tcPr>
          <w:p w14:paraId="4F62B610">
            <w:pPr>
              <w:keepNext w:val="0"/>
              <w:keepLines w:val="0"/>
              <w:pageBreakBefore w:val="0"/>
              <w:widowControl/>
              <w:kinsoku w:val="0"/>
              <w:wordWrap/>
              <w:overflowPunct/>
              <w:topLinePunct w:val="0"/>
              <w:autoSpaceDE w:val="0"/>
              <w:autoSpaceDN w:val="0"/>
              <w:bidi w:val="0"/>
              <w:adjustRightInd w:val="0"/>
              <w:snapToGrid w:val="0"/>
              <w:spacing w:before="116" w:line="257" w:lineRule="auto"/>
              <w:jc w:val="center"/>
              <w:textAlignment w:val="baseline"/>
              <w:rPr>
                <w:rFonts w:hint="default" w:ascii="宋体" w:hAnsi="宋体" w:eastAsia="微软雅黑" w:cs="宋体"/>
                <w:sz w:val="42"/>
                <w:szCs w:val="42"/>
                <w:vertAlign w:val="baseline"/>
                <w:lang w:val="en-US" w:eastAsia="zh-CN"/>
              </w:rPr>
            </w:pPr>
            <w:r>
              <w:rPr>
                <w:rFonts w:hint="eastAsia" w:ascii="仿宋" w:hAnsi="仿宋" w:eastAsia="仿宋" w:cs="仿宋"/>
                <w:sz w:val="30"/>
                <w:szCs w:val="30"/>
              </w:rPr>
              <w:t>〔202</w:t>
            </w:r>
            <w:r>
              <w:rPr>
                <w:rFonts w:hint="eastAsia" w:ascii="仿宋" w:hAnsi="仿宋" w:eastAsia="仿宋" w:cs="仿宋"/>
                <w:sz w:val="30"/>
                <w:szCs w:val="30"/>
                <w:lang w:val="en-US" w:eastAsia="zh-CN"/>
              </w:rPr>
              <w:t>5</w:t>
            </w:r>
            <w:r>
              <w:rPr>
                <w:rFonts w:hint="eastAsia" w:ascii="仿宋" w:hAnsi="仿宋" w:eastAsia="仿宋" w:cs="仿宋"/>
                <w:sz w:val="30"/>
                <w:szCs w:val="30"/>
              </w:rPr>
              <w:t>〕</w:t>
            </w:r>
            <w:r>
              <w:rPr>
                <w:rFonts w:hint="eastAsia" w:ascii="仿宋" w:hAnsi="仿宋" w:eastAsia="仿宋" w:cs="仿宋"/>
                <w:color w:val="auto"/>
                <w:sz w:val="32"/>
                <w:szCs w:val="32"/>
                <w:lang w:val="en-US" w:eastAsia="zh-CN"/>
              </w:rPr>
              <w:t>逗丁儿</w:t>
            </w:r>
            <w:r>
              <w:rPr>
                <w:rFonts w:hint="eastAsia" w:ascii="仿宋" w:hAnsi="仿宋" w:eastAsia="仿宋" w:cs="仿宋"/>
                <w:sz w:val="30"/>
                <w:szCs w:val="30"/>
              </w:rPr>
              <w:t>破管字</w:t>
            </w:r>
            <w:r>
              <w:rPr>
                <w:rFonts w:hint="eastAsia" w:ascii="仿宋" w:hAnsi="仿宋" w:eastAsia="仿宋" w:cs="仿宋"/>
                <w:sz w:val="30"/>
                <w:szCs w:val="30"/>
                <w:lang w:val="en-US" w:eastAsia="zh-CN"/>
              </w:rPr>
              <w:t>2</w:t>
            </w:r>
            <w:r>
              <w:rPr>
                <w:rFonts w:hint="eastAsia" w:ascii="仿宋" w:hAnsi="仿宋" w:eastAsia="仿宋" w:cs="仿宋"/>
                <w:sz w:val="30"/>
                <w:szCs w:val="30"/>
              </w:rPr>
              <w:t>号</w:t>
            </w:r>
          </w:p>
        </w:tc>
      </w:tr>
    </w:tbl>
    <w:p w14:paraId="574CD8BF">
      <w:pPr>
        <w:keepNext w:val="0"/>
        <w:keepLines w:val="0"/>
        <w:pageBreakBefore w:val="0"/>
        <w:widowControl/>
        <w:kinsoku w:val="0"/>
        <w:wordWrap/>
        <w:overflowPunct/>
        <w:topLinePunct w:val="0"/>
        <w:autoSpaceDE w:val="0"/>
        <w:autoSpaceDN w:val="0"/>
        <w:bidi w:val="0"/>
        <w:adjustRightInd w:val="0"/>
        <w:snapToGrid w:val="0"/>
        <w:spacing w:before="0" w:beforeLines="290" w:after="0" w:afterLines="100" w:line="341" w:lineRule="auto"/>
        <w:jc w:val="center"/>
        <w:textAlignment w:val="baseline"/>
        <w:rPr>
          <w:rFonts w:hint="default" w:ascii="宋体" w:hAnsi="宋体" w:eastAsia="黑体" w:cs="宋体"/>
          <w:spacing w:val="-5"/>
          <w:sz w:val="42"/>
          <w:szCs w:val="42"/>
          <w:lang w:val="en-US" w:eastAsia="zh-CN"/>
          <w14:textOutline w14:w="7632" w14:cap="flat" w14:cmpd="sng">
            <w14:solidFill>
              <w14:srgbClr w14:val="000000"/>
            </w14:solidFill>
            <w14:prstDash w14:val="solid"/>
            <w14:miter w14:val="0"/>
          </w14:textOutline>
        </w:rPr>
      </w:pPr>
      <w:r>
        <w:rPr>
          <w:rFonts w:hint="eastAsia" w:ascii="宋体" w:hAnsi="宋体" w:eastAsia="宋体" w:cs="宋体"/>
          <w:spacing w:val="-5"/>
          <w:sz w:val="42"/>
          <w:szCs w:val="42"/>
          <w14:textOutline w14:w="7632" w14:cap="flat" w14:cmpd="sng" w14:algn="ctr">
            <w14:solidFill>
              <w14:srgbClr w14:val="000000"/>
            </w14:solidFill>
            <w14:prstDash w14:val="solid"/>
            <w14:miter w14:val="0"/>
          </w14:textOutline>
        </w:rPr>
        <w:t>关于厦门</w:t>
      </w:r>
      <w:r>
        <w:rPr>
          <w:rFonts w:hint="eastAsia" w:ascii="宋体" w:hAnsi="宋体" w:eastAsia="宋体" w:cs="宋体"/>
          <w:spacing w:val="-5"/>
          <w:sz w:val="42"/>
          <w:szCs w:val="42"/>
          <w:lang w:eastAsia="zh-CN"/>
          <w14:textOutline w14:w="7632" w14:cap="flat" w14:cmpd="sng" w14:algn="ctr">
            <w14:solidFill>
              <w14:srgbClr w14:val="000000"/>
            </w14:solidFill>
            <w14:prstDash w14:val="solid"/>
            <w14:miter w14:val="0"/>
          </w14:textOutline>
        </w:rPr>
        <w:t>逗丁儿文化艺术有限公司</w:t>
      </w:r>
      <w:r>
        <w:rPr>
          <w:rFonts w:hint="eastAsia" w:ascii="宋体" w:hAnsi="宋体" w:eastAsia="宋体" w:cs="宋体"/>
          <w:spacing w:val="-5"/>
          <w:sz w:val="42"/>
          <w:szCs w:val="42"/>
          <w14:textOutline w14:w="7632" w14:cap="flat" w14:cmpd="sng" w14:algn="ctr">
            <w14:solidFill>
              <w14:srgbClr w14:val="000000"/>
            </w14:solidFill>
            <w14:prstDash w14:val="solid"/>
            <w14:miter w14:val="0"/>
          </w14:textOutline>
        </w:rPr>
        <w:t>破产清算案债权申报暨第一次债权人会议的通知</w:t>
      </w:r>
    </w:p>
    <w:p w14:paraId="0A82E64B">
      <w:pPr>
        <w:spacing w:after="0" w:line="360" w:lineRule="auto"/>
        <w:rPr>
          <w:rFonts w:ascii="仿宋" w:hAnsi="仿宋" w:eastAsia="仿宋" w:cs="仿宋"/>
          <w:b/>
          <w:bCs/>
          <w:sz w:val="32"/>
          <w:szCs w:val="32"/>
        </w:rPr>
      </w:pPr>
      <w:r>
        <w:rPr>
          <w:rFonts w:hint="eastAsia" w:ascii="仿宋" w:hAnsi="仿宋" w:eastAsia="仿宋" w:cs="仿宋"/>
          <w:b/>
          <w:bCs/>
          <w:sz w:val="32"/>
          <w:szCs w:val="32"/>
          <w:lang w:eastAsia="zh-CN"/>
        </w:rPr>
        <w:t>厦门逗丁儿文化艺术有限公司</w:t>
      </w:r>
      <w:r>
        <w:rPr>
          <w:rFonts w:hint="eastAsia" w:ascii="仿宋" w:hAnsi="仿宋" w:eastAsia="仿宋" w:cs="仿宋"/>
          <w:b/>
          <w:bCs/>
          <w:sz w:val="32"/>
          <w:szCs w:val="32"/>
          <w:lang w:val="en-US" w:eastAsia="zh-CN"/>
        </w:rPr>
        <w:t>债权人：</w:t>
      </w:r>
    </w:p>
    <w:p w14:paraId="75FD1370">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2025年5月22日，福建省厦门市中级人民法院根据刘诗宜的申请，作出(2025)闽02破申200号民事裁定书，裁定受理厦门逗丁儿文化艺术有限公司（以下简称逗丁儿公司）破产清算一案，并指令厦门市思明区人民法院审理。厦门市思明区人民法院于2025年7月16日作出（2025）闽0203破4号决定书，指定重庆海川企业清算有限公司厦门分公司担任本案的管理人。</w:t>
      </w:r>
    </w:p>
    <w:p w14:paraId="0375513B">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管理人依法负责债权申报工作，现就有关事项通知如下：</w:t>
      </w:r>
    </w:p>
    <w:p w14:paraId="11D97C6D">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一、各债权人</w:t>
      </w:r>
      <w:r>
        <w:rPr>
          <w:rFonts w:hint="eastAsia" w:ascii="仿宋" w:hAnsi="仿宋" w:eastAsia="仿宋" w:cs="仿宋"/>
          <w:color w:val="auto"/>
          <w:sz w:val="32"/>
          <w:szCs w:val="32"/>
          <w:highlight w:val="none"/>
          <w:lang w:val="en-US" w:eastAsia="zh-CN"/>
        </w:rPr>
        <w:t>应于</w:t>
      </w:r>
      <w:r>
        <w:rPr>
          <w:rFonts w:hint="eastAsia" w:ascii="仿宋" w:hAnsi="仿宋" w:eastAsia="仿宋" w:cs="仿宋"/>
          <w:b/>
          <w:bCs/>
          <w:color w:val="auto"/>
          <w:sz w:val="32"/>
          <w:szCs w:val="32"/>
          <w:highlight w:val="none"/>
          <w:lang w:val="en-US" w:eastAsia="zh-CN"/>
        </w:rPr>
        <w:t>2025年8月27日前</w:t>
      </w:r>
      <w:r>
        <w:rPr>
          <w:rFonts w:hint="eastAsia" w:ascii="仿宋" w:hAnsi="仿宋" w:eastAsia="仿宋" w:cs="仿宋"/>
          <w:color w:val="auto"/>
          <w:sz w:val="32"/>
          <w:szCs w:val="32"/>
          <w:highlight w:val="none"/>
          <w:lang w:val="en-US" w:eastAsia="zh-CN"/>
        </w:rPr>
        <w:t>向管理人</w:t>
      </w:r>
      <w:r>
        <w:rPr>
          <w:rFonts w:hint="eastAsia" w:ascii="仿宋" w:hAnsi="仿宋" w:eastAsia="仿宋" w:cs="仿宋"/>
          <w:color w:val="auto"/>
          <w:sz w:val="32"/>
          <w:szCs w:val="32"/>
          <w:lang w:val="en-US" w:eastAsia="zh-CN"/>
        </w:rPr>
        <w:t>申报债权，书面说明债权数额、有无财产担保及是否属于连带债权，并提供相关证据材料。未在上述期限内申报债权的，可以在破产财产最后一次分配前补充申报，但对此前已进行的分配无权要求补充分配，同时要承担为审查和确认补充申报债权所产生的费用。未依法申报债权的，不得依照《中华人民共和国企业破产法》规定的程序行使权利。</w:t>
      </w:r>
    </w:p>
    <w:p w14:paraId="4CE037AB">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二、债权申报</w:t>
      </w:r>
    </w:p>
    <w:p w14:paraId="7368C8AF">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请债权人务必在债权申报期限内（即</w:t>
      </w:r>
      <w:r>
        <w:rPr>
          <w:rFonts w:hint="eastAsia" w:ascii="仿宋" w:hAnsi="仿宋" w:eastAsia="仿宋" w:cs="仿宋"/>
          <w:color w:val="auto"/>
          <w:sz w:val="32"/>
          <w:szCs w:val="32"/>
          <w:highlight w:val="none"/>
          <w:lang w:val="en-US" w:eastAsia="zh-CN"/>
        </w:rPr>
        <w:t>2025年8月27日</w:t>
      </w:r>
      <w:r>
        <w:rPr>
          <w:rFonts w:hint="eastAsia" w:ascii="仿宋" w:hAnsi="仿宋" w:eastAsia="仿宋" w:cs="仿宋"/>
          <w:color w:val="auto"/>
          <w:sz w:val="32"/>
          <w:szCs w:val="32"/>
          <w:lang w:val="en-US" w:eastAsia="zh-CN"/>
        </w:rPr>
        <w:t>前）向管理人申报债权：</w:t>
      </w:r>
    </w:p>
    <w:p w14:paraId="735C830B">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1、邮寄申报</w:t>
      </w:r>
    </w:p>
    <w:p w14:paraId="68053B08">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将债权申报书面材料邮寄至管理人通信地址（福建省泉州市丰泽区东海街道滨海街连捷国际中心609室海川福建运营服务中心。收件人：郭女士18950221901）</w:t>
      </w:r>
    </w:p>
    <w:p w14:paraId="4F1B4781">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Hans"/>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val="en-US" w:eastAsia="zh-Hans"/>
        </w:rPr>
        <w:t>网络申报</w:t>
      </w:r>
    </w:p>
    <w:p w14:paraId="7D331A8C">
      <w:pPr>
        <w:widowControl w:val="0"/>
        <w:kinsoku/>
        <w:autoSpaceDE/>
        <w:autoSpaceDN/>
        <w:adjustRightInd/>
        <w:snapToGrid/>
        <w:spacing w:after="0" w:line="360" w:lineRule="auto"/>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登陆破产案件辅助系统（网址：xmcourtpcw.com）或通过微信搜索小程序“法政阳光线上会议”申报债权。</w:t>
      </w:r>
    </w:p>
    <w:p w14:paraId="1F342A4A">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网络申报注意事项：</w:t>
      </w:r>
    </w:p>
    <w:p w14:paraId="702D16ED">
      <w:pPr>
        <w:widowControl w:val="0"/>
        <w:kinsoku/>
        <w:autoSpaceDE/>
        <w:autoSpaceDN/>
        <w:adjustRightInd/>
        <w:snapToGrid/>
        <w:spacing w:after="0" w:line="360" w:lineRule="auto"/>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（1）申报人需如实、完整填写材料，并按系统引导要求上传相关证明文件。</w:t>
      </w:r>
    </w:p>
    <w:p w14:paraId="3B5DB130">
      <w:pPr>
        <w:widowControl w:val="0"/>
        <w:kinsoku/>
        <w:autoSpaceDE/>
        <w:autoSpaceDN/>
        <w:adjustRightInd/>
        <w:snapToGrid/>
        <w:spacing w:after="0" w:line="360" w:lineRule="auto"/>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（2）网络申报完成后，请及时联系管理人工作人员，告知已完成网络申报。</w:t>
      </w:r>
    </w:p>
    <w:p w14:paraId="64061FF1">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（3）申报人需按管理人要求提供纸质申报材料并提供材料原件核对。</w:t>
      </w:r>
    </w:p>
    <w:p w14:paraId="172F3B12">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三、债权申报材料</w:t>
      </w:r>
    </w:p>
    <w:p w14:paraId="5C46B75B">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经申报人填写、签字盖章的债权申报表、债权申报文件清单、债权计算清单、法定代表人（负责人）身份证明书、授权委托书、送达地址及银行账户确认书、财产线索征集表、债权申报承诺书、送达回证各一份。</w:t>
      </w:r>
    </w:p>
    <w:p w14:paraId="06D5594C">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2.提供能够证明债权存在事实及债权情况的相关证据材料。申报人申报时须提交证据材料复印件一式一份，并提供证据材料原件供管理人核对。证据材料包括但不限于：</w:t>
      </w:r>
    </w:p>
    <w:p w14:paraId="20DCE644">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（1）合同/协议；</w:t>
      </w:r>
    </w:p>
    <w:p w14:paraId="79C3FD76">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（2）往来账、对账单及相关凭证、收款或付款凭证（如发票、收款收据、银行流水记录等）；</w:t>
      </w:r>
    </w:p>
    <w:p w14:paraId="1C09F2B0">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（3）判决书、调解书、裁定书、仲裁裁决书、法律文书生效证明、强制执行文书；</w:t>
      </w:r>
    </w:p>
    <w:p w14:paraId="378795D9">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（4）利息或违约金计算明细等书面材料；</w:t>
      </w:r>
    </w:p>
    <w:p w14:paraId="0C0BA79E">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（5）申报人认为与其主张的权利有关的其他材料。</w:t>
      </w:r>
    </w:p>
    <w:p w14:paraId="3E10F8AC">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申报人系法人或其它组织的，以上所附证据材料的复印件等书面材料应加盖公章；申报人系自然人的，以上所附证据材料的复印件等书面材料应签名或捺手印。</w:t>
      </w:r>
    </w:p>
    <w:p w14:paraId="54B5B515">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3.主体资格材料</w:t>
      </w:r>
    </w:p>
    <w:p w14:paraId="6A1C2025">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申报人系法人或其他组织的，需提交加盖公章的以下材料：①营业执照或其他单位主体资格证明文件（曾变更单位名称且债权申报材料反映您单位变更前名称的，请提交相关证明文件）。②法定代表人/负责人身份证明书。③法定代表人/负责人身份证件复印件。</w:t>
      </w:r>
    </w:p>
    <w:p w14:paraId="1893D0FF">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（2）申报人系自然人的，应提交个人身份证件复印件一份，并在复印件上签名、捺手印。</w:t>
      </w:r>
    </w:p>
    <w:p w14:paraId="0437FA68">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如申报人委托代理人申报债权，还需提供《授权委托书》及代理人有效身份证明。代理人系自然人的，应提交其本人身份证件复印件一份并在复印件上签名、捺手印；代理人是律师的，应提供有效的律师执业证复印件一份及所属律师事务所指派函一份。</w:t>
      </w:r>
    </w:p>
    <w:p w14:paraId="18770348">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四、申报注意事项</w:t>
      </w:r>
    </w:p>
    <w:p w14:paraId="7F5AC264">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1.申报人应提供原件及与原件一致的复印件（均为A4纸）以便管理人核对。</w:t>
      </w:r>
    </w:p>
    <w:p w14:paraId="75866335">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2.如有多笔债权请分别填写《债权申报表》。</w:t>
      </w:r>
    </w:p>
    <w:p w14:paraId="2F720E9B">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3.申报人应当如实、详细填写申报表并提供完整、真实有效的申报材料和确认文书。申报人不得编造虚假债权或虚构相关事实，否则，将依法承担相应的法律责任；情节严重构成犯罪的，将移交司法机关处理。</w:t>
      </w:r>
    </w:p>
    <w:p w14:paraId="516C99F4">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4.申报人应当积极配合管理人工作人员的审查工作，如实回答管理人工作人员的询问并按管理人工作人员要求补充提供申报资料。</w:t>
      </w:r>
    </w:p>
    <w:p w14:paraId="726480CA">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5.债权申报通知及管理人接收申报材料的行为，不影响债务人对申报债权包括但不限于时效等实体或程序上的任何抗辩。申报的债权由管理人依法进行审查，最终由人民法院裁定确认。</w:t>
      </w:r>
    </w:p>
    <w:p w14:paraId="43E6A863">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五、债权人除在全国企业破产重整案件信息网查看案件公告、通知外，还可通过微信搜索或扫描下方二维码关注“海川福建企业清算重整”微信公众号，以便及时获取案件最新资讯。</w:t>
      </w:r>
    </w:p>
    <w:p w14:paraId="335B6CDE">
      <w:pPr>
        <w:widowControl w:val="0"/>
        <w:kinsoku/>
        <w:autoSpaceDE/>
        <w:autoSpaceDN/>
        <w:adjustRightInd/>
        <w:snapToGrid/>
        <w:spacing w:after="0" w:line="360" w:lineRule="auto"/>
        <w:ind w:firstLine="640" w:firstLineChars="200"/>
        <w:jc w:val="center"/>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drawing>
          <wp:inline distT="0" distB="0" distL="114300" distR="114300">
            <wp:extent cx="1454150" cy="1492250"/>
            <wp:effectExtent l="0" t="0" r="8890" b="1270"/>
            <wp:docPr id="2" name="图片 2" descr="649f68ed6c95f50e9ef4e1b8433c9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49f68ed6c95f50e9ef4e1b8433c94c"/>
                    <pic:cNvPicPr>
                      <a:picLocks noChangeAspect="1"/>
                    </pic:cNvPicPr>
                  </pic:nvPicPr>
                  <pic:blipFill>
                    <a:blip r:embed="rId8"/>
                    <a:stretch>
                      <a:fillRect/>
                    </a:stretch>
                  </pic:blipFill>
                  <pic:spPr>
                    <a:xfrm>
                      <a:off x="0" y="0"/>
                      <a:ext cx="1454150" cy="1492250"/>
                    </a:xfrm>
                    <a:prstGeom prst="rect">
                      <a:avLst/>
                    </a:prstGeom>
                  </pic:spPr>
                </pic:pic>
              </a:graphicData>
            </a:graphic>
          </wp:inline>
        </w:drawing>
      </w:r>
    </w:p>
    <w:p w14:paraId="28D4AD0E">
      <w:pPr>
        <w:widowControl w:val="0"/>
        <w:kinsoku/>
        <w:autoSpaceDE/>
        <w:autoSpaceDN/>
        <w:adjustRightInd/>
        <w:snapToGrid/>
        <w:spacing w:after="0" w:line="360" w:lineRule="auto"/>
        <w:ind w:firstLine="640" w:firstLineChars="200"/>
        <w:jc w:val="both"/>
        <w:textAlignment w:val="auto"/>
        <w:rPr>
          <w:rFonts w:hint="default" w:ascii="仿宋" w:hAnsi="仿宋" w:eastAsia="仿宋" w:cs="仿宋"/>
          <w:color w:val="auto"/>
          <w:sz w:val="32"/>
          <w:szCs w:val="32"/>
          <w:lang w:val="en-US" w:eastAsia="zh-Hans"/>
        </w:rPr>
      </w:pPr>
      <w:r>
        <w:rPr>
          <w:rFonts w:hint="eastAsia" w:ascii="仿宋" w:hAnsi="仿宋" w:eastAsia="仿宋" w:cs="仿宋"/>
          <w:color w:val="auto"/>
          <w:sz w:val="32"/>
          <w:szCs w:val="32"/>
          <w:lang w:val="en-US" w:eastAsia="zh-CN"/>
        </w:rPr>
        <w:t>六、第一次债权人会议将于2025年9月2日10时整通过破产案件辅助系统（电脑端登陆网址：xmcourtpcw.com或移动端微信小程序“法政阳光线上会议”）线上召开，请债权人准时参加。</w:t>
      </w:r>
    </w:p>
    <w:p w14:paraId="72DF57CE">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特此通知。</w:t>
      </w:r>
    </w:p>
    <w:p w14:paraId="10533DA0">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w:t>
      </w:r>
    </w:p>
    <w:p w14:paraId="42AA7D9C">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w:t>
      </w:r>
      <w:r>
        <w:rPr>
          <w:rFonts w:hint="eastAsia" w:ascii="仿宋" w:hAnsi="仿宋" w:eastAsia="仿宋" w:cs="仿宋"/>
          <w:color w:val="auto"/>
          <w:kern w:val="0"/>
          <w:sz w:val="32"/>
          <w:szCs w:val="32"/>
          <w:lang w:eastAsia="zh-CN" w:bidi="ar"/>
        </w:rPr>
        <w:t>(2025)闽02破申200号</w:t>
      </w:r>
      <w:r>
        <w:rPr>
          <w:rFonts w:hint="eastAsia" w:ascii="仿宋" w:hAnsi="仿宋" w:eastAsia="仿宋" w:cs="仿宋"/>
          <w:color w:val="auto"/>
          <w:sz w:val="32"/>
          <w:szCs w:val="32"/>
          <w:lang w:val="en-US" w:eastAsia="zh-CN"/>
        </w:rPr>
        <w:t>民事裁定书复印件1份</w:t>
      </w:r>
    </w:p>
    <w:p w14:paraId="7F3C35E6">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kern w:val="0"/>
          <w:sz w:val="32"/>
          <w:szCs w:val="32"/>
          <w:lang w:eastAsia="zh-CN" w:bidi="ar"/>
        </w:rPr>
        <w:t>（2025）闽0203破4号决定书</w:t>
      </w:r>
      <w:r>
        <w:rPr>
          <w:rFonts w:hint="eastAsia" w:ascii="仿宋" w:hAnsi="仿宋" w:eastAsia="仿宋" w:cs="仿宋"/>
          <w:color w:val="auto"/>
          <w:sz w:val="32"/>
          <w:szCs w:val="32"/>
          <w:lang w:val="en-US" w:eastAsia="zh-CN"/>
        </w:rPr>
        <w:t>复印件1份</w:t>
      </w:r>
    </w:p>
    <w:p w14:paraId="50EF7C25">
      <w:pPr>
        <w:widowControl w:val="0"/>
        <w:kinsoku/>
        <w:autoSpaceDE/>
        <w:autoSpaceDN/>
        <w:adjustRightInd/>
        <w:snapToGrid/>
        <w:spacing w:after="0" w:line="360" w:lineRule="auto"/>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 公告复印件1份</w:t>
      </w:r>
    </w:p>
    <w:p w14:paraId="3127681F">
      <w:pPr>
        <w:widowControl w:val="0"/>
        <w:kinsoku/>
        <w:autoSpaceDE/>
        <w:autoSpaceDN/>
        <w:adjustRightInd/>
        <w:snapToGrid/>
        <w:spacing w:after="0" w:line="360" w:lineRule="auto"/>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 空白债权申报材料1份</w:t>
      </w:r>
    </w:p>
    <w:p w14:paraId="6786CBA7">
      <w:pPr>
        <w:widowControl w:val="0"/>
        <w:kinsoku/>
        <w:autoSpaceDE/>
        <w:autoSpaceDN/>
        <w:adjustRightInd/>
        <w:snapToGrid/>
        <w:spacing w:after="0" w:line="360" w:lineRule="auto"/>
        <w:ind w:firstLine="640" w:firstLineChars="200"/>
        <w:jc w:val="both"/>
        <w:textAlignment w:val="auto"/>
        <w:rPr>
          <w:rFonts w:ascii="仿宋" w:hAnsi="仿宋" w:eastAsia="仿宋" w:cs="仿宋"/>
          <w:color w:val="auto"/>
          <w:sz w:val="32"/>
          <w:szCs w:val="32"/>
        </w:rPr>
      </w:pPr>
    </w:p>
    <w:p w14:paraId="4A6BC793">
      <w:pPr>
        <w:widowControl w:val="0"/>
        <w:kinsoku/>
        <w:autoSpaceDE/>
        <w:autoSpaceDN/>
        <w:adjustRightInd/>
        <w:snapToGrid/>
        <w:spacing w:after="0" w:line="360" w:lineRule="auto"/>
        <w:ind w:firstLine="640" w:firstLineChars="200"/>
        <w:jc w:val="both"/>
        <w:textAlignment w:val="auto"/>
        <w:rPr>
          <w:rFonts w:ascii="仿宋" w:hAnsi="仿宋" w:eastAsia="仿宋" w:cs="仿宋"/>
          <w:color w:val="auto"/>
          <w:sz w:val="32"/>
          <w:szCs w:val="32"/>
        </w:rPr>
      </w:pPr>
    </w:p>
    <w:p w14:paraId="041B48ED">
      <w:pPr>
        <w:spacing w:after="0" w:line="360" w:lineRule="auto"/>
        <w:ind w:firstLine="640" w:firstLineChars="200"/>
        <w:jc w:val="right"/>
        <w:rPr>
          <w:rFonts w:ascii="仿宋" w:hAnsi="仿宋" w:eastAsia="仿宋" w:cs="仿宋"/>
          <w:color w:val="auto"/>
          <w:sz w:val="32"/>
          <w:szCs w:val="32"/>
          <w:lang w:bidi="ar"/>
        </w:rPr>
      </w:pPr>
      <w:r>
        <w:rPr>
          <w:rFonts w:hint="eastAsia" w:ascii="仿宋" w:hAnsi="仿宋" w:eastAsia="仿宋" w:cs="仿宋"/>
          <w:color w:val="auto"/>
          <w:sz w:val="32"/>
          <w:szCs w:val="32"/>
          <w:lang w:eastAsia="zh-CN"/>
        </w:rPr>
        <w:t>厦门逗丁儿文化艺术有限公司</w:t>
      </w:r>
      <w:r>
        <w:rPr>
          <w:rFonts w:hint="eastAsia" w:ascii="仿宋" w:hAnsi="仿宋" w:eastAsia="仿宋" w:cs="仿宋"/>
          <w:color w:val="auto"/>
          <w:sz w:val="32"/>
          <w:szCs w:val="32"/>
          <w:lang w:bidi="ar"/>
        </w:rPr>
        <w:t>管理人</w:t>
      </w:r>
    </w:p>
    <w:p w14:paraId="45D0182A">
      <w:pPr>
        <w:tabs>
          <w:tab w:val="center" w:pos="4440"/>
          <w:tab w:val="right" w:pos="9001"/>
        </w:tabs>
        <w:spacing w:after="0" w:line="360" w:lineRule="auto"/>
        <w:ind w:firstLine="640" w:firstLineChars="200"/>
        <w:rPr>
          <w:rFonts w:hint="eastAsia" w:ascii="仿宋" w:hAnsi="仿宋" w:eastAsia="仿宋" w:cs="仿宋"/>
          <w:sz w:val="32"/>
          <w:szCs w:val="32"/>
          <w:lang w:eastAsia="zh-CN"/>
        </w:rPr>
      </w:pPr>
      <w:r>
        <w:rPr>
          <w:rFonts w:hint="eastAsia" w:ascii="仿宋" w:hAnsi="仿宋" w:eastAsia="仿宋" w:cs="仿宋"/>
          <w:color w:val="auto"/>
          <w:sz w:val="32"/>
          <w:szCs w:val="32"/>
          <w:lang w:bidi="ar"/>
        </w:rPr>
        <w:tab/>
      </w:r>
      <w:r>
        <w:rPr>
          <w:rFonts w:hint="eastAsia" w:ascii="仿宋" w:hAnsi="仿宋" w:eastAsia="仿宋" w:cs="仿宋"/>
          <w:color w:val="auto"/>
          <w:sz w:val="32"/>
          <w:szCs w:val="32"/>
          <w:lang w:bidi="ar"/>
        </w:rPr>
        <w:tab/>
      </w:r>
      <w:r>
        <w:rPr>
          <w:rFonts w:hint="eastAsia" w:ascii="仿宋" w:hAnsi="仿宋" w:eastAsia="仿宋" w:cs="仿宋"/>
          <w:color w:val="auto"/>
          <w:sz w:val="32"/>
          <w:szCs w:val="32"/>
          <w:lang w:eastAsia="zh-CN" w:bidi="ar"/>
        </w:rPr>
        <w:t>2025年7月18日</w:t>
      </w:r>
    </w:p>
    <w:p w14:paraId="3B5E3E27">
      <w:pPr>
        <w:keepNext w:val="0"/>
        <w:keepLines w:val="0"/>
        <w:pageBreakBefore w:val="0"/>
        <w:widowControl/>
        <w:numPr>
          <w:ilvl w:val="0"/>
          <w:numId w:val="0"/>
        </w:numPr>
        <w:kinsoku/>
        <w:wordWrap/>
        <w:overflowPunct w:val="0"/>
        <w:topLinePunct w:val="0"/>
        <w:autoSpaceDE w:val="0"/>
        <w:autoSpaceDN w:val="0"/>
        <w:bidi w:val="0"/>
        <w:adjustRightInd w:val="0"/>
        <w:snapToGrid w:val="0"/>
        <w:spacing w:line="336" w:lineRule="auto"/>
        <w:ind w:firstLine="1920" w:firstLineChars="600"/>
        <w:jc w:val="right"/>
        <w:textAlignment w:val="baseline"/>
        <w:rPr>
          <w:rFonts w:hint="eastAsia" w:ascii="仿宋" w:hAnsi="仿宋" w:eastAsia="仿宋" w:cs="仿宋"/>
          <w:sz w:val="32"/>
          <w:szCs w:val="32"/>
          <w:highlight w:val="none"/>
          <w:lang w:val="en-US" w:eastAsia="zh-CN"/>
        </w:rPr>
      </w:pPr>
    </w:p>
    <w:p w14:paraId="4BD81214">
      <w:pPr>
        <w:widowControl/>
        <w:numPr>
          <w:ilvl w:val="0"/>
          <w:numId w:val="0"/>
        </w:numPr>
        <w:spacing w:line="360" w:lineRule="auto"/>
        <w:ind w:firstLine="640" w:firstLineChars="200"/>
        <w:rPr>
          <w:rFonts w:hint="eastAsia" w:asciiTheme="majorEastAsia" w:hAnsiTheme="majorEastAsia" w:eastAsiaTheme="majorEastAsia"/>
          <w:sz w:val="32"/>
          <w:szCs w:val="32"/>
          <w:lang w:val="en-US" w:eastAsia="zh-CN"/>
        </w:rPr>
      </w:pPr>
    </w:p>
    <w:p w14:paraId="3796A857">
      <w:pPr>
        <w:ind w:firstLine="640" w:firstLineChars="200"/>
        <w:rPr>
          <w:rFonts w:ascii="仿宋" w:hAnsi="仿宋" w:eastAsia="仿宋" w:cs="宋体"/>
          <w:sz w:val="32"/>
          <w:szCs w:val="32"/>
        </w:rPr>
      </w:pPr>
    </w:p>
    <w:p w14:paraId="5EFD08B7">
      <w:pPr>
        <w:keepNext w:val="0"/>
        <w:keepLines w:val="0"/>
        <w:pageBreakBefore w:val="0"/>
        <w:widowControl/>
        <w:kinsoku/>
        <w:wordWrap/>
        <w:overflowPunct w:val="0"/>
        <w:topLinePunct w:val="0"/>
        <w:autoSpaceDE w:val="0"/>
        <w:autoSpaceDN w:val="0"/>
        <w:bidi w:val="0"/>
        <w:adjustRightInd w:val="0"/>
        <w:snapToGrid w:val="0"/>
        <w:spacing w:line="360" w:lineRule="auto"/>
        <w:ind w:firstLine="640" w:firstLineChars="200"/>
        <w:jc w:val="right"/>
        <w:textAlignment w:val="baseline"/>
        <w:rPr>
          <w:rFonts w:hint="eastAsia" w:ascii="仿宋" w:hAnsi="仿宋" w:eastAsia="仿宋" w:cs="仿宋"/>
          <w:kern w:val="0"/>
          <w:sz w:val="32"/>
          <w:szCs w:val="32"/>
          <w:lang w:val="en-US" w:eastAsia="zh-CN" w:bidi="ar"/>
        </w:rPr>
      </w:pPr>
    </w:p>
    <w:p w14:paraId="7DF35401">
      <w:pPr>
        <w:keepNext w:val="0"/>
        <w:keepLines w:val="0"/>
        <w:pageBreakBefore w:val="0"/>
        <w:widowControl/>
        <w:kinsoku/>
        <w:wordWrap/>
        <w:overflowPunct w:val="0"/>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kern w:val="0"/>
          <w:sz w:val="32"/>
          <w:szCs w:val="32"/>
          <w:lang w:val="en-US" w:eastAsia="zh-CN" w:bidi="ar"/>
        </w:rPr>
      </w:pPr>
    </w:p>
    <w:p w14:paraId="43FC9F9B">
      <w:pPr>
        <w:keepNext w:val="0"/>
        <w:keepLines w:val="0"/>
        <w:pageBreakBefore w:val="0"/>
        <w:widowControl/>
        <w:kinsoku/>
        <w:wordWrap/>
        <w:overflowPunct w:val="0"/>
        <w:topLinePunct w:val="0"/>
        <w:autoSpaceDE w:val="0"/>
        <w:autoSpaceDN w:val="0"/>
        <w:bidi w:val="0"/>
        <w:adjustRightInd w:val="0"/>
        <w:snapToGrid w:val="0"/>
        <w:spacing w:line="360" w:lineRule="auto"/>
        <w:ind w:firstLine="640" w:firstLineChars="200"/>
        <w:jc w:val="both"/>
        <w:textAlignment w:val="baseline"/>
        <w:rPr>
          <w:rFonts w:hint="eastAsia" w:ascii="仿宋" w:hAnsi="仿宋" w:eastAsia="仿宋" w:cs="仿宋"/>
          <w:kern w:val="0"/>
          <w:sz w:val="32"/>
          <w:szCs w:val="32"/>
          <w:lang w:val="en-US" w:eastAsia="zh-CN" w:bidi="ar"/>
        </w:rPr>
      </w:pPr>
    </w:p>
    <w:p w14:paraId="5CDD4227">
      <w:pPr>
        <w:pStyle w:val="3"/>
        <w:rPr>
          <w:rFonts w:hint="default" w:ascii="仿宋" w:hAnsi="仿宋" w:eastAsia="仿宋"/>
          <w:sz w:val="24"/>
          <w:szCs w:val="24"/>
          <w:lang w:val="en-US" w:eastAsia="zh-CN"/>
        </w:rPr>
      </w:pPr>
    </w:p>
    <w:p w14:paraId="10CFA332">
      <w:pPr>
        <w:pStyle w:val="3"/>
        <w:rPr>
          <w:rFonts w:hint="default" w:ascii="仿宋" w:hAnsi="仿宋" w:eastAsia="仿宋"/>
          <w:sz w:val="24"/>
          <w:szCs w:val="24"/>
          <w:lang w:val="en-US" w:eastAsia="zh-CN"/>
        </w:rPr>
      </w:pPr>
    </w:p>
    <w:p w14:paraId="6F225BE1">
      <w:pPr>
        <w:pStyle w:val="3"/>
        <w:rPr>
          <w:rFonts w:hint="default" w:ascii="仿宋" w:hAnsi="仿宋" w:eastAsia="仿宋"/>
          <w:sz w:val="24"/>
          <w:szCs w:val="24"/>
          <w:lang w:val="en-US" w:eastAsia="zh-CN"/>
        </w:rPr>
      </w:pPr>
    </w:p>
    <w:p w14:paraId="74329BD6">
      <w:pPr>
        <w:pStyle w:val="3"/>
        <w:rPr>
          <w:rFonts w:hint="default" w:ascii="仿宋" w:hAnsi="仿宋" w:eastAsia="仿宋"/>
          <w:sz w:val="24"/>
          <w:szCs w:val="24"/>
          <w:lang w:val="en-US" w:eastAsia="zh-CN"/>
        </w:rPr>
      </w:pPr>
    </w:p>
    <w:p w14:paraId="613F2A3F">
      <w:pPr>
        <w:pStyle w:val="3"/>
        <w:rPr>
          <w:rFonts w:hint="default" w:ascii="仿宋" w:hAnsi="仿宋" w:eastAsia="仿宋"/>
          <w:sz w:val="24"/>
          <w:szCs w:val="24"/>
          <w:lang w:val="en-US" w:eastAsia="zh-CN"/>
        </w:rPr>
      </w:pPr>
    </w:p>
    <w:p w14:paraId="4AD9967B">
      <w:pPr>
        <w:pStyle w:val="3"/>
        <w:rPr>
          <w:rFonts w:hint="default" w:ascii="仿宋" w:hAnsi="仿宋" w:eastAsia="仿宋"/>
          <w:sz w:val="24"/>
          <w:szCs w:val="24"/>
          <w:lang w:val="en-US" w:eastAsia="zh-CN"/>
        </w:rPr>
      </w:pPr>
    </w:p>
    <w:p w14:paraId="78E159E9">
      <w:pPr>
        <w:pStyle w:val="3"/>
        <w:rPr>
          <w:rFonts w:hint="default" w:ascii="仿宋" w:hAnsi="仿宋" w:eastAsia="仿宋"/>
          <w:sz w:val="24"/>
          <w:szCs w:val="24"/>
          <w:lang w:val="en-US" w:eastAsia="zh-CN"/>
        </w:rPr>
      </w:pPr>
    </w:p>
    <w:p w14:paraId="7C0F7C71">
      <w:pPr>
        <w:pStyle w:val="3"/>
        <w:rPr>
          <w:rFonts w:hint="default" w:ascii="仿宋" w:hAnsi="仿宋" w:eastAsia="仿宋"/>
          <w:sz w:val="24"/>
          <w:szCs w:val="24"/>
          <w:lang w:val="en-US" w:eastAsia="zh-CN"/>
        </w:rPr>
      </w:pPr>
    </w:p>
    <w:p w14:paraId="6BFADEB2">
      <w:pPr>
        <w:pStyle w:val="3"/>
        <w:rPr>
          <w:rFonts w:hint="default" w:ascii="仿宋" w:hAnsi="仿宋" w:eastAsia="仿宋"/>
          <w:sz w:val="24"/>
          <w:szCs w:val="24"/>
          <w:lang w:val="en-US" w:eastAsia="zh-CN"/>
        </w:rPr>
      </w:pPr>
    </w:p>
    <w:p w14:paraId="1B6B97F8">
      <w:pPr>
        <w:pStyle w:val="3"/>
        <w:rPr>
          <w:rFonts w:hint="default" w:ascii="仿宋" w:hAnsi="仿宋" w:eastAsia="仿宋"/>
          <w:sz w:val="24"/>
          <w:szCs w:val="24"/>
          <w:lang w:val="en-US" w:eastAsia="zh-CN"/>
        </w:rPr>
      </w:pPr>
    </w:p>
    <w:p w14:paraId="0A08B61C">
      <w:pPr>
        <w:pStyle w:val="3"/>
        <w:rPr>
          <w:rFonts w:hint="default" w:ascii="仿宋" w:hAnsi="仿宋" w:eastAsia="仿宋"/>
          <w:sz w:val="24"/>
          <w:szCs w:val="24"/>
          <w:lang w:val="en-US" w:eastAsia="zh-CN"/>
        </w:rPr>
      </w:pPr>
    </w:p>
    <w:p w14:paraId="6735803C">
      <w:pPr>
        <w:pStyle w:val="3"/>
        <w:rPr>
          <w:rFonts w:hint="default" w:ascii="仿宋" w:hAnsi="仿宋" w:eastAsia="仿宋"/>
          <w:sz w:val="24"/>
          <w:szCs w:val="24"/>
          <w:lang w:val="en-US" w:eastAsia="zh-CN"/>
        </w:rPr>
      </w:pPr>
    </w:p>
    <w:p w14:paraId="081F48EE">
      <w:pPr>
        <w:pStyle w:val="3"/>
        <w:rPr>
          <w:rFonts w:hint="default" w:ascii="仿宋" w:hAnsi="仿宋" w:eastAsia="仿宋"/>
          <w:sz w:val="24"/>
          <w:szCs w:val="24"/>
          <w:lang w:val="en-US" w:eastAsia="zh-CN"/>
        </w:rPr>
      </w:pPr>
    </w:p>
    <w:p w14:paraId="4C3782AA">
      <w:pPr>
        <w:pStyle w:val="3"/>
        <w:rPr>
          <w:rFonts w:hint="default" w:ascii="仿宋" w:hAnsi="仿宋" w:eastAsia="仿宋"/>
          <w:sz w:val="24"/>
          <w:szCs w:val="24"/>
          <w:lang w:val="en-US" w:eastAsia="zh-CN"/>
        </w:rPr>
      </w:pPr>
    </w:p>
    <w:p w14:paraId="258710AF">
      <w:pPr>
        <w:pStyle w:val="3"/>
        <w:rPr>
          <w:rFonts w:hint="default" w:ascii="仿宋" w:hAnsi="仿宋" w:eastAsia="仿宋"/>
          <w:sz w:val="24"/>
          <w:szCs w:val="24"/>
          <w:lang w:val="en-US" w:eastAsia="zh-CN"/>
        </w:rPr>
      </w:pPr>
    </w:p>
    <w:p w14:paraId="1B971D09">
      <w:pPr>
        <w:pStyle w:val="3"/>
        <w:rPr>
          <w:rFonts w:hint="default" w:ascii="仿宋" w:hAnsi="仿宋" w:eastAsia="仿宋"/>
          <w:sz w:val="24"/>
          <w:szCs w:val="24"/>
          <w:lang w:val="en-US" w:eastAsia="zh-CN"/>
        </w:rPr>
      </w:pPr>
    </w:p>
    <w:p w14:paraId="04B2939A">
      <w:pPr>
        <w:pStyle w:val="3"/>
        <w:rPr>
          <w:rFonts w:hint="default" w:ascii="仿宋" w:hAnsi="仿宋" w:eastAsia="仿宋"/>
          <w:sz w:val="24"/>
          <w:szCs w:val="24"/>
          <w:lang w:val="en-US" w:eastAsia="zh-CN"/>
        </w:rPr>
      </w:pPr>
    </w:p>
    <w:p w14:paraId="70A62C0E">
      <w:pPr>
        <w:pStyle w:val="3"/>
        <w:rPr>
          <w:rFonts w:hint="default" w:ascii="仿宋" w:hAnsi="仿宋" w:eastAsia="仿宋"/>
          <w:sz w:val="24"/>
          <w:szCs w:val="24"/>
          <w:lang w:val="en-US" w:eastAsia="zh-CN"/>
        </w:rPr>
      </w:pPr>
    </w:p>
    <w:p w14:paraId="43AC7C33">
      <w:pPr>
        <w:pStyle w:val="3"/>
        <w:rPr>
          <w:rFonts w:hint="default" w:ascii="仿宋" w:hAnsi="仿宋" w:eastAsia="仿宋"/>
          <w:sz w:val="32"/>
          <w:szCs w:val="32"/>
          <w:lang w:val="en-US" w:eastAsia="zh-CN"/>
        </w:rPr>
      </w:pPr>
    </w:p>
    <w:p w14:paraId="28AF4BF3">
      <w:pPr>
        <w:pStyle w:val="3"/>
        <w:rPr>
          <w:rFonts w:hint="default" w:ascii="仿宋" w:hAnsi="仿宋" w:eastAsia="仿宋"/>
          <w:sz w:val="32"/>
          <w:szCs w:val="32"/>
          <w:lang w:val="en-US" w:eastAsia="zh-CN"/>
        </w:rPr>
      </w:pPr>
    </w:p>
    <w:p w14:paraId="68FA5637">
      <w:pPr>
        <w:pStyle w:val="3"/>
        <w:rPr>
          <w:rFonts w:hint="default" w:ascii="仿宋" w:hAnsi="仿宋" w:eastAsia="仿宋"/>
          <w:sz w:val="32"/>
          <w:szCs w:val="32"/>
          <w:lang w:val="en-US" w:eastAsia="zh-CN"/>
        </w:rPr>
      </w:pPr>
    </w:p>
    <w:p w14:paraId="000E80F4">
      <w:pPr>
        <w:pStyle w:val="3"/>
        <w:rPr>
          <w:rFonts w:hint="default" w:ascii="仿宋" w:hAnsi="仿宋" w:eastAsia="仿宋"/>
          <w:sz w:val="32"/>
          <w:szCs w:val="32"/>
          <w:lang w:val="en-US" w:eastAsia="zh-CN"/>
        </w:rPr>
      </w:pPr>
    </w:p>
    <w:p w14:paraId="74FFD6BB">
      <w:pPr>
        <w:pStyle w:val="3"/>
        <w:rPr>
          <w:rFonts w:hint="default" w:ascii="仿宋" w:hAnsi="仿宋" w:eastAsia="仿宋"/>
          <w:sz w:val="32"/>
          <w:szCs w:val="32"/>
          <w:lang w:val="en-US" w:eastAsia="zh-CN"/>
        </w:rPr>
      </w:pPr>
    </w:p>
    <w:p w14:paraId="207E4142">
      <w:pPr>
        <w:pStyle w:val="3"/>
        <w:rPr>
          <w:rFonts w:hint="default" w:ascii="仿宋" w:hAnsi="仿宋" w:eastAsia="仿宋"/>
          <w:sz w:val="32"/>
          <w:szCs w:val="32"/>
          <w:lang w:val="en-US" w:eastAsia="zh-CN"/>
        </w:rPr>
      </w:pPr>
    </w:p>
    <w:p w14:paraId="3F488482">
      <w:pPr>
        <w:pStyle w:val="3"/>
        <w:rPr>
          <w:rFonts w:hint="default" w:ascii="仿宋" w:hAnsi="仿宋" w:eastAsia="仿宋"/>
          <w:sz w:val="32"/>
          <w:szCs w:val="32"/>
          <w:lang w:val="en-US" w:eastAsia="zh-CN"/>
        </w:rPr>
      </w:pPr>
    </w:p>
    <w:p w14:paraId="1732BA9C">
      <w:pPr>
        <w:pStyle w:val="3"/>
        <w:rPr>
          <w:rFonts w:hint="default" w:ascii="仿宋" w:hAnsi="仿宋" w:eastAsia="仿宋"/>
          <w:sz w:val="32"/>
          <w:szCs w:val="32"/>
          <w:lang w:val="en-US" w:eastAsia="zh-CN"/>
        </w:rPr>
      </w:pPr>
    </w:p>
    <w:p w14:paraId="050265E9">
      <w:pPr>
        <w:pStyle w:val="3"/>
        <w:rPr>
          <w:rFonts w:hint="default" w:ascii="仿宋" w:hAnsi="仿宋" w:eastAsia="仿宋"/>
          <w:sz w:val="32"/>
          <w:szCs w:val="32"/>
          <w:lang w:val="en-US" w:eastAsia="zh-CN"/>
        </w:rPr>
      </w:pPr>
    </w:p>
    <w:p w14:paraId="7801E253">
      <w:pPr>
        <w:pStyle w:val="3"/>
        <w:rPr>
          <w:rFonts w:hint="default" w:ascii="仿宋" w:hAnsi="仿宋" w:eastAsia="仿宋"/>
          <w:sz w:val="32"/>
          <w:szCs w:val="32"/>
          <w:lang w:val="en-US" w:eastAsia="zh-CN"/>
        </w:rPr>
      </w:pPr>
    </w:p>
    <w:p w14:paraId="1ABAD9DB">
      <w:pPr>
        <w:pStyle w:val="3"/>
        <w:rPr>
          <w:rFonts w:hint="default" w:ascii="仿宋" w:hAnsi="仿宋" w:eastAsia="仿宋"/>
          <w:sz w:val="32"/>
          <w:szCs w:val="32"/>
          <w:lang w:val="en-US" w:eastAsia="zh-CN"/>
        </w:rPr>
      </w:pPr>
    </w:p>
    <w:p w14:paraId="5C95EEF9">
      <w:pPr>
        <w:pStyle w:val="3"/>
        <w:rPr>
          <w:rFonts w:hint="default" w:ascii="仿宋" w:hAnsi="仿宋" w:eastAsia="仿宋"/>
          <w:sz w:val="32"/>
          <w:szCs w:val="32"/>
          <w:lang w:val="en-US" w:eastAsia="zh-CN"/>
        </w:rPr>
      </w:pPr>
    </w:p>
    <w:p w14:paraId="2C0F9FE3">
      <w:pPr>
        <w:pStyle w:val="3"/>
        <w:rPr>
          <w:rFonts w:hint="default" w:ascii="仿宋" w:hAnsi="仿宋" w:eastAsia="仿宋"/>
          <w:sz w:val="32"/>
          <w:szCs w:val="32"/>
          <w:lang w:val="en-US" w:eastAsia="zh-CN"/>
        </w:rPr>
      </w:pPr>
    </w:p>
    <w:p w14:paraId="726415D8">
      <w:pPr>
        <w:pStyle w:val="3"/>
        <w:rPr>
          <w:rFonts w:hint="default" w:ascii="仿宋" w:hAnsi="仿宋" w:eastAsia="仿宋"/>
          <w:sz w:val="32"/>
          <w:szCs w:val="32"/>
          <w:lang w:val="en-US" w:eastAsia="zh-CN"/>
        </w:rPr>
      </w:pPr>
    </w:p>
    <w:p w14:paraId="3CC09DB5">
      <w:pPr>
        <w:pStyle w:val="3"/>
        <w:rPr>
          <w:rFonts w:hint="default" w:ascii="仿宋" w:hAnsi="仿宋" w:eastAsia="仿宋"/>
          <w:sz w:val="32"/>
          <w:szCs w:val="32"/>
          <w:lang w:val="en-US" w:eastAsia="zh-CN"/>
        </w:rPr>
      </w:pPr>
    </w:p>
    <w:p w14:paraId="12ED14C1">
      <w:pPr>
        <w:pStyle w:val="3"/>
        <w:rPr>
          <w:rFonts w:hint="default" w:ascii="仿宋" w:hAnsi="仿宋" w:eastAsia="仿宋"/>
          <w:sz w:val="32"/>
          <w:szCs w:val="32"/>
          <w:lang w:val="en-US" w:eastAsia="zh-CN"/>
        </w:rPr>
      </w:pPr>
    </w:p>
    <w:p w14:paraId="6557E699">
      <w:pPr>
        <w:pStyle w:val="3"/>
        <w:rPr>
          <w:rFonts w:hint="default" w:ascii="仿宋" w:hAnsi="仿宋" w:eastAsia="仿宋"/>
          <w:sz w:val="32"/>
          <w:szCs w:val="32"/>
          <w:lang w:val="en-US" w:eastAsia="zh-CN"/>
        </w:rPr>
      </w:pPr>
    </w:p>
    <w:p w14:paraId="6F697538">
      <w:pPr>
        <w:pStyle w:val="3"/>
        <w:rPr>
          <w:rFonts w:hint="default" w:ascii="仿宋" w:hAnsi="仿宋" w:eastAsia="仿宋"/>
          <w:sz w:val="32"/>
          <w:szCs w:val="32"/>
          <w:lang w:val="en-US" w:eastAsia="zh-CN"/>
        </w:rPr>
      </w:pPr>
    </w:p>
    <w:p w14:paraId="1523460C">
      <w:pPr>
        <w:pStyle w:val="3"/>
        <w:rPr>
          <w:rFonts w:hint="default" w:ascii="仿宋" w:hAnsi="仿宋" w:eastAsia="仿宋"/>
          <w:sz w:val="32"/>
          <w:szCs w:val="32"/>
          <w:lang w:val="en-US" w:eastAsia="zh-CN"/>
        </w:rPr>
      </w:pPr>
    </w:p>
    <w:p w14:paraId="27BBC086">
      <w:pPr>
        <w:pStyle w:val="3"/>
        <w:rPr>
          <w:rFonts w:hint="default" w:ascii="仿宋" w:hAnsi="仿宋" w:eastAsia="仿宋"/>
          <w:sz w:val="32"/>
          <w:szCs w:val="32"/>
          <w:lang w:val="en-US" w:eastAsia="zh-CN"/>
        </w:rPr>
      </w:pPr>
    </w:p>
    <w:p w14:paraId="1B1A8920">
      <w:pPr>
        <w:pStyle w:val="3"/>
        <w:rPr>
          <w:rFonts w:hint="default" w:ascii="仿宋" w:hAnsi="仿宋" w:eastAsia="仿宋"/>
          <w:sz w:val="32"/>
          <w:szCs w:val="32"/>
          <w:lang w:val="en-US" w:eastAsia="zh-CN"/>
        </w:rPr>
      </w:pPr>
    </w:p>
    <w:p w14:paraId="77B2968A">
      <w:pPr>
        <w:pStyle w:val="3"/>
        <w:rPr>
          <w:rFonts w:hint="default" w:ascii="仿宋" w:hAnsi="仿宋" w:eastAsia="仿宋"/>
          <w:sz w:val="32"/>
          <w:szCs w:val="32"/>
          <w:lang w:val="en-US" w:eastAsia="zh-CN"/>
        </w:rPr>
      </w:pPr>
    </w:p>
    <w:p w14:paraId="6FF9B426">
      <w:pPr>
        <w:pStyle w:val="2"/>
        <w:keepNext w:val="0"/>
        <w:keepLines w:val="0"/>
        <w:pageBreakBefore w:val="0"/>
        <w:widowControl/>
        <w:pBdr>
          <w:top w:val="single" w:color="auto" w:sz="4" w:space="0"/>
          <w:between w:val="single" w:color="auto" w:sz="4" w:space="0"/>
        </w:pBdr>
        <w:kinsoku w:val="0"/>
        <w:wordWrap/>
        <w:overflowPunct/>
        <w:topLinePunct w:val="0"/>
        <w:autoSpaceDE w:val="0"/>
        <w:autoSpaceDN w:val="0"/>
        <w:bidi w:val="0"/>
        <w:adjustRightInd w:val="0"/>
        <w:snapToGrid w:val="0"/>
        <w:spacing w:before="20" w:after="20" w:line="600" w:lineRule="exact"/>
        <w:jc w:val="both"/>
        <w:textAlignment w:val="baseline"/>
        <w:rPr>
          <w:rFonts w:hint="default" w:ascii="仿宋" w:hAnsi="仿宋" w:eastAsia="仿宋" w:cs="Arial"/>
          <w:b w:val="0"/>
          <w:bCs w:val="0"/>
          <w:snapToGrid w:val="0"/>
          <w:color w:val="000000"/>
          <w:kern w:val="0"/>
          <w:sz w:val="32"/>
          <w:szCs w:val="32"/>
          <w:lang w:val="en-US" w:eastAsia="zh-CN"/>
        </w:rPr>
      </w:pPr>
      <w:r>
        <w:rPr>
          <w:rFonts w:hint="eastAsia" w:ascii="仿宋" w:hAnsi="仿宋" w:eastAsia="仿宋" w:cs="Arial"/>
          <w:snapToGrid w:val="0"/>
          <w:color w:val="000000"/>
          <w:kern w:val="0"/>
          <w:sz w:val="32"/>
          <w:szCs w:val="32"/>
          <w:lang w:val="en-US" w:eastAsia="zh-CN"/>
        </w:rPr>
        <w:t>主送：</w:t>
      </w:r>
      <w:r>
        <w:rPr>
          <w:rFonts w:hint="eastAsia" w:ascii="仿宋" w:hAnsi="仿宋" w:eastAsia="仿宋" w:cs="仿宋"/>
          <w:b w:val="0"/>
          <w:bCs w:val="0"/>
          <w:sz w:val="32"/>
          <w:szCs w:val="32"/>
          <w:lang w:eastAsia="zh-CN"/>
        </w:rPr>
        <w:t>厦门逗丁儿文化艺术有限公司</w:t>
      </w:r>
      <w:r>
        <w:rPr>
          <w:rFonts w:hint="eastAsia" w:ascii="仿宋" w:hAnsi="仿宋" w:eastAsia="仿宋" w:cs="仿宋"/>
          <w:b w:val="0"/>
          <w:bCs w:val="0"/>
          <w:sz w:val="32"/>
          <w:szCs w:val="32"/>
          <w:lang w:val="en-US" w:eastAsia="zh-CN"/>
        </w:rPr>
        <w:t>债权人</w:t>
      </w:r>
    </w:p>
    <w:p w14:paraId="2288EDDC">
      <w:pPr>
        <w:pStyle w:val="2"/>
        <w:keepNext w:val="0"/>
        <w:keepLines w:val="0"/>
        <w:pageBreakBefore w:val="0"/>
        <w:widowControl/>
        <w:pBdr>
          <w:top w:val="single" w:color="auto" w:sz="4" w:space="0"/>
          <w:bottom w:val="single" w:color="auto" w:sz="4" w:space="0"/>
          <w:between w:val="single" w:color="auto" w:sz="4" w:space="0"/>
        </w:pBdr>
        <w:kinsoku w:val="0"/>
        <w:wordWrap/>
        <w:overflowPunct/>
        <w:topLinePunct w:val="0"/>
        <w:autoSpaceDE w:val="0"/>
        <w:autoSpaceDN w:val="0"/>
        <w:bidi w:val="0"/>
        <w:adjustRightInd w:val="0"/>
        <w:snapToGrid w:val="0"/>
        <w:spacing w:before="20" w:after="20" w:line="600" w:lineRule="exact"/>
        <w:jc w:val="both"/>
        <w:textAlignment w:val="baseline"/>
        <w:rPr>
          <w:sz w:val="32"/>
          <w:szCs w:val="32"/>
        </w:rPr>
      </w:pPr>
      <w:r>
        <w:rPr>
          <w:rFonts w:hint="eastAsia" w:ascii="仿宋" w:hAnsi="仿宋" w:eastAsia="仿宋" w:cs="仿宋"/>
          <w:snapToGrid/>
          <w:color w:val="auto"/>
          <w:kern w:val="0"/>
          <w:sz w:val="32"/>
          <w:szCs w:val="32"/>
          <w:highlight w:val="none"/>
          <w:lang w:val="en-US" w:eastAsia="zh-CN" w:bidi="ar"/>
        </w:rPr>
        <w:t>厦门逗丁儿文化艺术有限公司</w:t>
      </w:r>
      <w:r>
        <w:rPr>
          <w:rFonts w:hint="eastAsia" w:ascii="仿宋" w:hAnsi="仿宋" w:eastAsia="仿宋" w:cs="Arial"/>
          <w:snapToGrid w:val="0"/>
          <w:color w:val="000000"/>
          <w:kern w:val="0"/>
          <w:sz w:val="32"/>
          <w:szCs w:val="32"/>
          <w:lang w:val="en-US" w:eastAsia="zh-CN"/>
        </w:rPr>
        <w:t xml:space="preserve">管理人    </w:t>
      </w:r>
      <w:bookmarkStart w:id="0" w:name="_GoBack"/>
      <w:bookmarkEnd w:id="0"/>
      <w:r>
        <w:rPr>
          <w:rFonts w:hint="eastAsia" w:ascii="仿宋" w:hAnsi="仿宋" w:eastAsia="仿宋" w:cs="Arial"/>
          <w:snapToGrid w:val="0"/>
          <w:color w:val="000000"/>
          <w:kern w:val="0"/>
          <w:sz w:val="32"/>
          <w:szCs w:val="32"/>
          <w:lang w:val="en-US" w:eastAsia="zh-CN"/>
        </w:rPr>
        <w:t xml:space="preserve">  </w:t>
      </w:r>
      <w:r>
        <w:rPr>
          <w:rFonts w:hint="eastAsia" w:ascii="仿宋" w:hAnsi="仿宋" w:eastAsia="仿宋" w:cs="仿宋"/>
          <w:sz w:val="32"/>
          <w:szCs w:val="32"/>
          <w:lang w:val="en-US" w:eastAsia="zh-CN"/>
        </w:rPr>
        <w:t>2025年7月18日</w:t>
      </w:r>
      <w:r>
        <w:rPr>
          <w:rFonts w:hint="eastAsia" w:ascii="仿宋" w:hAnsi="仿宋" w:eastAsia="仿宋" w:cs="Arial"/>
          <w:snapToGrid w:val="0"/>
          <w:color w:val="000000"/>
          <w:kern w:val="0"/>
          <w:sz w:val="32"/>
          <w:szCs w:val="32"/>
          <w:lang w:val="en-US" w:eastAsia="zh-CN"/>
        </w:rPr>
        <w:t>印发</w:t>
      </w:r>
    </w:p>
    <w:sectPr>
      <w:headerReference r:id="rId5" w:type="default"/>
      <w:footerReference r:id="rId6" w:type="default"/>
      <w:pgSz w:w="11910" w:h="16840"/>
      <w:pgMar w:top="2098" w:right="1474" w:bottom="1984" w:left="1587" w:header="850" w:footer="1417" w:gutter="0"/>
      <w:pgBorders>
        <w:top w:val="none" w:sz="0" w:space="0"/>
        <w:left w:val="none" w:sz="0" w:space="0"/>
        <w:bottom w:val="none" w:sz="0" w:space="0"/>
        <w:right w:val="none" w:sz="0" w:space="0"/>
      </w:pgBorders>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2"/>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F71C30">
    <w:pPr>
      <w:keepNext w:val="0"/>
      <w:keepLines w:val="0"/>
      <w:pageBreakBefore w:val="0"/>
      <w:widowControl/>
      <w:kinsoku w:val="0"/>
      <w:wordWrap/>
      <w:overflowPunct/>
      <w:topLinePunct w:val="0"/>
      <w:autoSpaceDE w:val="0"/>
      <w:autoSpaceDN w:val="0"/>
      <w:bidi w:val="0"/>
      <w:adjustRightInd w:val="0"/>
      <w:snapToGrid w:val="0"/>
      <w:spacing w:after="0" w:afterLines="100"/>
      <w:ind w:firstLine="7000" w:firstLineChars="2500"/>
      <w:textAlignment w:val="baseline"/>
      <w:rPr>
        <w:rFonts w:hint="eastAsia" w:ascii="仿宋" w:hAnsi="仿宋" w:eastAsia="仿宋" w:cs="仿宋"/>
        <w:sz w:val="28"/>
        <w:szCs w:val="28"/>
        <w:lang w:val="en-US" w:eastAsia="zh-CN"/>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960866">
                          <w:pPr>
                            <w:pStyle w:val="3"/>
                            <w:keepNext w:val="0"/>
                            <w:keepLines w:val="0"/>
                            <w:pageBreakBefore w:val="0"/>
                            <w:widowControl/>
                            <w:kinsoku w:val="0"/>
                            <w:wordWrap/>
                            <w:overflowPunct/>
                            <w:topLinePunct w:val="0"/>
                            <w:autoSpaceDE w:val="0"/>
                            <w:autoSpaceDN w:val="0"/>
                            <w:bidi w:val="0"/>
                            <w:adjustRightInd w:val="0"/>
                            <w:snapToGrid w:val="0"/>
                            <w:spacing w:before="397"/>
                            <w:ind w:left="210" w:leftChars="100" w:right="210" w:rightChars="100"/>
                            <w:textAlignment w:val="baseline"/>
                          </w:pPr>
                          <w:r>
                            <w:rPr>
                              <w:rFonts w:hint="eastAsia" w:ascii="仿宋" w:hAnsi="仿宋" w:eastAsia="仿宋" w:cs="仿宋"/>
                              <w:sz w:val="28"/>
                              <w:szCs w:val="28"/>
                            </w:rPr>
                            <w:t>—</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72960866">
                    <w:pPr>
                      <w:pStyle w:val="3"/>
                      <w:keepNext w:val="0"/>
                      <w:keepLines w:val="0"/>
                      <w:pageBreakBefore w:val="0"/>
                      <w:widowControl/>
                      <w:kinsoku w:val="0"/>
                      <w:wordWrap/>
                      <w:overflowPunct/>
                      <w:topLinePunct w:val="0"/>
                      <w:autoSpaceDE w:val="0"/>
                      <w:autoSpaceDN w:val="0"/>
                      <w:bidi w:val="0"/>
                      <w:adjustRightInd w:val="0"/>
                      <w:snapToGrid w:val="0"/>
                      <w:spacing w:before="397"/>
                      <w:ind w:left="210" w:leftChars="100" w:right="210" w:rightChars="100"/>
                      <w:textAlignment w:val="baseline"/>
                    </w:pPr>
                    <w:r>
                      <w:rPr>
                        <w:rFonts w:hint="eastAsia" w:ascii="仿宋" w:hAnsi="仿宋" w:eastAsia="仿宋" w:cs="仿宋"/>
                        <w:sz w:val="28"/>
                        <w:szCs w:val="28"/>
                      </w:rPr>
                      <w:t>—</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8B338">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hYWIzNmJjZDBkYTBiNWJkZjQzNzc0MDcyZGYyYmIifQ=="/>
  </w:docVars>
  <w:rsids>
    <w:rsidRoot w:val="579D157B"/>
    <w:rsid w:val="000E3FC3"/>
    <w:rsid w:val="00793B28"/>
    <w:rsid w:val="00C14B91"/>
    <w:rsid w:val="01050F22"/>
    <w:rsid w:val="01675739"/>
    <w:rsid w:val="021F4265"/>
    <w:rsid w:val="02C13975"/>
    <w:rsid w:val="03321D76"/>
    <w:rsid w:val="03934A27"/>
    <w:rsid w:val="03C31F68"/>
    <w:rsid w:val="04073203"/>
    <w:rsid w:val="04B30D02"/>
    <w:rsid w:val="04B50EB1"/>
    <w:rsid w:val="04D408FB"/>
    <w:rsid w:val="04E94D71"/>
    <w:rsid w:val="059750CC"/>
    <w:rsid w:val="096E162E"/>
    <w:rsid w:val="0A217932"/>
    <w:rsid w:val="0AAF0C2E"/>
    <w:rsid w:val="0C9E6A93"/>
    <w:rsid w:val="0D91375B"/>
    <w:rsid w:val="0E0B3F48"/>
    <w:rsid w:val="0E7748E8"/>
    <w:rsid w:val="0EF80318"/>
    <w:rsid w:val="0F072309"/>
    <w:rsid w:val="0F333741"/>
    <w:rsid w:val="0F661726"/>
    <w:rsid w:val="0FB73D2F"/>
    <w:rsid w:val="10E30B54"/>
    <w:rsid w:val="116752E1"/>
    <w:rsid w:val="118714DF"/>
    <w:rsid w:val="13BE103E"/>
    <w:rsid w:val="13C22CA3"/>
    <w:rsid w:val="1468384A"/>
    <w:rsid w:val="14E1184E"/>
    <w:rsid w:val="15CC7E09"/>
    <w:rsid w:val="16734728"/>
    <w:rsid w:val="16CD5BE6"/>
    <w:rsid w:val="17626C76"/>
    <w:rsid w:val="179C102A"/>
    <w:rsid w:val="183028D1"/>
    <w:rsid w:val="18EB7D4F"/>
    <w:rsid w:val="1B0C7A7A"/>
    <w:rsid w:val="1C281B11"/>
    <w:rsid w:val="1CE23666"/>
    <w:rsid w:val="1CFC2AAC"/>
    <w:rsid w:val="1D773AAF"/>
    <w:rsid w:val="1E3E39E6"/>
    <w:rsid w:val="1EC472AF"/>
    <w:rsid w:val="1FC722E1"/>
    <w:rsid w:val="220D5A31"/>
    <w:rsid w:val="22603BAD"/>
    <w:rsid w:val="23EE53EE"/>
    <w:rsid w:val="25CB19DA"/>
    <w:rsid w:val="25D845A8"/>
    <w:rsid w:val="26E52AD8"/>
    <w:rsid w:val="28AC2DD8"/>
    <w:rsid w:val="2A783C63"/>
    <w:rsid w:val="2CF54C59"/>
    <w:rsid w:val="2D3C541C"/>
    <w:rsid w:val="2DDC528E"/>
    <w:rsid w:val="32496EE1"/>
    <w:rsid w:val="329A6E6D"/>
    <w:rsid w:val="330271A1"/>
    <w:rsid w:val="3419320B"/>
    <w:rsid w:val="35071D38"/>
    <w:rsid w:val="35CB77C0"/>
    <w:rsid w:val="365466DC"/>
    <w:rsid w:val="37E22DBE"/>
    <w:rsid w:val="37FC5ED4"/>
    <w:rsid w:val="38434BFD"/>
    <w:rsid w:val="39402985"/>
    <w:rsid w:val="3A0948D8"/>
    <w:rsid w:val="3AEE05C8"/>
    <w:rsid w:val="3B653D90"/>
    <w:rsid w:val="3B7245D6"/>
    <w:rsid w:val="3BF176A1"/>
    <w:rsid w:val="3C0179AB"/>
    <w:rsid w:val="3C0C3A85"/>
    <w:rsid w:val="3CC57C5B"/>
    <w:rsid w:val="3D7D7AB7"/>
    <w:rsid w:val="3DEC2546"/>
    <w:rsid w:val="400022D9"/>
    <w:rsid w:val="40C6737B"/>
    <w:rsid w:val="41C71831"/>
    <w:rsid w:val="42621029"/>
    <w:rsid w:val="43036368"/>
    <w:rsid w:val="432F1853"/>
    <w:rsid w:val="43AF029E"/>
    <w:rsid w:val="44B43444"/>
    <w:rsid w:val="457458B0"/>
    <w:rsid w:val="4597723C"/>
    <w:rsid w:val="46647A66"/>
    <w:rsid w:val="468974CC"/>
    <w:rsid w:val="46EC0B3D"/>
    <w:rsid w:val="477A0BC3"/>
    <w:rsid w:val="477F442B"/>
    <w:rsid w:val="478A52AA"/>
    <w:rsid w:val="47EB77D5"/>
    <w:rsid w:val="481903DC"/>
    <w:rsid w:val="48883761"/>
    <w:rsid w:val="48CC18F2"/>
    <w:rsid w:val="49033566"/>
    <w:rsid w:val="498875C7"/>
    <w:rsid w:val="49EB6971"/>
    <w:rsid w:val="4ACB6C1B"/>
    <w:rsid w:val="4B080F91"/>
    <w:rsid w:val="4C9B5863"/>
    <w:rsid w:val="4CFB4554"/>
    <w:rsid w:val="4DF3347D"/>
    <w:rsid w:val="4E2875CB"/>
    <w:rsid w:val="4F304531"/>
    <w:rsid w:val="4FD36FEC"/>
    <w:rsid w:val="51713037"/>
    <w:rsid w:val="51E732F9"/>
    <w:rsid w:val="520B348B"/>
    <w:rsid w:val="52EF06B7"/>
    <w:rsid w:val="540208BE"/>
    <w:rsid w:val="54092CA3"/>
    <w:rsid w:val="545666FE"/>
    <w:rsid w:val="54E96546"/>
    <w:rsid w:val="55911633"/>
    <w:rsid w:val="579D157B"/>
    <w:rsid w:val="58AB71D7"/>
    <w:rsid w:val="59A541C5"/>
    <w:rsid w:val="5A096502"/>
    <w:rsid w:val="5B7C2D04"/>
    <w:rsid w:val="5C3E620B"/>
    <w:rsid w:val="5CC420C9"/>
    <w:rsid w:val="5D5932FD"/>
    <w:rsid w:val="5D5C2DED"/>
    <w:rsid w:val="5DE74DAC"/>
    <w:rsid w:val="5F487ACD"/>
    <w:rsid w:val="6008725C"/>
    <w:rsid w:val="61730705"/>
    <w:rsid w:val="61880654"/>
    <w:rsid w:val="62377985"/>
    <w:rsid w:val="62DB2A06"/>
    <w:rsid w:val="62DC3E7F"/>
    <w:rsid w:val="62FD472A"/>
    <w:rsid w:val="63065CD5"/>
    <w:rsid w:val="63A1155A"/>
    <w:rsid w:val="63FD1F54"/>
    <w:rsid w:val="64376C20"/>
    <w:rsid w:val="64EC3E94"/>
    <w:rsid w:val="65E77495"/>
    <w:rsid w:val="662E164B"/>
    <w:rsid w:val="67254250"/>
    <w:rsid w:val="679C7A1F"/>
    <w:rsid w:val="67B53825"/>
    <w:rsid w:val="67D6379C"/>
    <w:rsid w:val="68BC0BE4"/>
    <w:rsid w:val="696C43B8"/>
    <w:rsid w:val="6AAF4147"/>
    <w:rsid w:val="6BAF2294"/>
    <w:rsid w:val="6C32281D"/>
    <w:rsid w:val="6D275E98"/>
    <w:rsid w:val="6D880331"/>
    <w:rsid w:val="6E851A78"/>
    <w:rsid w:val="6FFB7AFD"/>
    <w:rsid w:val="70231548"/>
    <w:rsid w:val="70337903"/>
    <w:rsid w:val="709C1A26"/>
    <w:rsid w:val="70EA1CED"/>
    <w:rsid w:val="70F839F0"/>
    <w:rsid w:val="71B903B6"/>
    <w:rsid w:val="7221675B"/>
    <w:rsid w:val="722C2936"/>
    <w:rsid w:val="731A1328"/>
    <w:rsid w:val="73893DB8"/>
    <w:rsid w:val="743C0E2B"/>
    <w:rsid w:val="751C598D"/>
    <w:rsid w:val="755521A4"/>
    <w:rsid w:val="78106856"/>
    <w:rsid w:val="78395DAD"/>
    <w:rsid w:val="79425135"/>
    <w:rsid w:val="7A2B5BC9"/>
    <w:rsid w:val="7A863779"/>
    <w:rsid w:val="7AFE6E3A"/>
    <w:rsid w:val="7B327FE6"/>
    <w:rsid w:val="7B8F72B3"/>
    <w:rsid w:val="7BE14791"/>
    <w:rsid w:val="7D5D44AD"/>
    <w:rsid w:val="7DC223A1"/>
    <w:rsid w:val="7DD0257F"/>
    <w:rsid w:val="7E9A5A22"/>
    <w:rsid w:val="7ECB17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8"/>
      <w:szCs w:val="2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表格"/>
    <w:basedOn w:val="1"/>
    <w:autoRedefine/>
    <w:qFormat/>
    <w:uiPriority w:val="0"/>
    <w:pPr>
      <w:kinsoku/>
      <w:overflowPunct w:val="0"/>
      <w:spacing w:line="240" w:lineRule="auto"/>
      <w:jc w:val="center"/>
    </w:pPr>
    <w:rPr>
      <w:rFonts w:hint="eastAsia" w:ascii="仿宋" w:hAnsi="仿宋" w:eastAsia="仿宋" w:cs="仿宋"/>
      <w:snapToGrid w:val="0"/>
      <w:color w:val="000000"/>
      <w:kern w:val="0"/>
      <w:sz w:val="30"/>
      <w:szCs w:val="30"/>
      <w:lang w:val="en-US" w:eastAsia="zh-CN" w:bidi="ar"/>
    </w:rPr>
  </w:style>
  <w:style w:type="paragraph" w:customStyle="1" w:styleId="9">
    <w:name w:val="Table Paragraph"/>
    <w:basedOn w:val="1"/>
    <w:qFormat/>
    <w:uiPriority w:val="1"/>
    <w:pPr>
      <w:jc w:val="center"/>
    </w:pPr>
    <w:rPr>
      <w:rFonts w:ascii="仿宋" w:hAnsi="仿宋" w:eastAsia="仿宋" w:cs="仿宋"/>
      <w:lang w:val="zh-CN" w:eastAsia="zh-CN" w:bidi="zh-CN"/>
    </w:rPr>
  </w:style>
  <w:style w:type="paragraph" w:customStyle="1" w:styleId="10">
    <w:name w:val="文章标题"/>
    <w:basedOn w:val="1"/>
    <w:autoRedefine/>
    <w:qFormat/>
    <w:uiPriority w:val="99"/>
    <w:pPr>
      <w:spacing w:beforeLines="100"/>
      <w:ind w:firstLine="0" w:firstLineChars="0"/>
      <w:jc w:val="center"/>
    </w:pPr>
    <w:rPr>
      <w:rFonts w:ascii="宋体" w:hAnsi="宋体" w:eastAsia="黑体"/>
      <w:b/>
      <w:sz w:val="44"/>
      <w:szCs w:val="5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1942</Words>
  <Characters>2055</Characters>
  <Lines>0</Lines>
  <Paragraphs>0</Paragraphs>
  <TotalTime>0</TotalTime>
  <ScaleCrop>false</ScaleCrop>
  <LinksUpToDate>false</LinksUpToDate>
  <CharactersWithSpaces>2063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2024-07-19T01:56:00Z</dcterms:created>
  <dc:creator>Я</dc:creator>
  <cp:lastModifiedBy>luohe</cp:lastModifiedBy>
  <dcterms:modified xsi:type="dcterms:W3CDTF">2025-07-18T09:16:37Z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A8D243A32AFD4986A857CE18F8B501E9_11</vt:lpwstr>
  </property>
  <property fmtid="{D5CDD505-2E9C-101B-9397-08002B2CF9AE}" pid="4" name="KSOTemplateDocerSaveRecord">
    <vt:lpwstr>eyJoZGlkIjoiYzFhYWIzNmJjZDBkYTBiNWJkZjQzNzc0MDcyZGYyYmIiLCJ1c2VySWQiOiI1NjAyNTIzMTQifQ==</vt:lpwstr>
  </property>
</Properties>
</file>