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F12919">
      <w:pPr>
        <w:jc w:val="center"/>
        <w:rPr>
          <w:rFonts w:hint="eastAsia" w:ascii="仿宋" w:hAnsi="仿宋" w:eastAsia="仿宋" w:cs="仿宋"/>
          <w:sz w:val="28"/>
          <w:szCs w:val="28"/>
        </w:rPr>
      </w:pPr>
      <w:r>
        <w:rPr>
          <w:rFonts w:hint="eastAsia" w:ascii="仿宋" w:hAnsi="仿宋" w:eastAsia="仿宋" w:cs="仿宋"/>
          <w:b/>
          <w:bCs/>
          <w:sz w:val="32"/>
          <w:szCs w:val="32"/>
          <w:lang w:eastAsia="zh-CN"/>
        </w:rPr>
        <w:t>四川国际科技合作总公司</w:t>
      </w:r>
      <w:r>
        <w:rPr>
          <w:rFonts w:hint="eastAsia" w:ascii="仿宋" w:hAnsi="仿宋" w:eastAsia="仿宋" w:cs="仿宋"/>
          <w:b/>
          <w:bCs/>
          <w:sz w:val="32"/>
          <w:szCs w:val="32"/>
        </w:rPr>
        <w:t>清算案债权申报</w:t>
      </w:r>
      <w:r>
        <w:rPr>
          <w:rFonts w:hint="eastAsia" w:ascii="仿宋" w:hAnsi="仿宋" w:eastAsia="仿宋" w:cs="仿宋"/>
          <w:b/>
          <w:bCs/>
          <w:sz w:val="32"/>
          <w:szCs w:val="32"/>
          <w:lang w:val="en-US" w:eastAsia="zh-CN"/>
        </w:rPr>
        <w:t>须知</w:t>
      </w:r>
    </w:p>
    <w:p w14:paraId="211A535D">
      <w:pPr>
        <w:rPr>
          <w:rFonts w:hint="eastAsia" w:ascii="仿宋" w:hAnsi="仿宋" w:eastAsia="仿宋" w:cs="仿宋"/>
          <w:sz w:val="28"/>
          <w:szCs w:val="28"/>
        </w:rPr>
      </w:pPr>
    </w:p>
    <w:p w14:paraId="269BBBAB">
      <w:pPr>
        <w:rPr>
          <w:rFonts w:hint="eastAsia" w:ascii="仿宋" w:hAnsi="仿宋" w:eastAsia="仿宋" w:cs="仿宋"/>
          <w:sz w:val="28"/>
          <w:szCs w:val="28"/>
        </w:rPr>
      </w:pPr>
      <w:r>
        <w:rPr>
          <w:rFonts w:hint="eastAsia" w:ascii="仿宋" w:hAnsi="仿宋" w:eastAsia="仿宋" w:cs="仿宋"/>
          <w:sz w:val="28"/>
          <w:szCs w:val="28"/>
          <w:lang w:eastAsia="zh-CN"/>
        </w:rPr>
        <w:t>四川国际科技合作总公司</w:t>
      </w:r>
      <w:r>
        <w:rPr>
          <w:rFonts w:hint="eastAsia" w:ascii="仿宋" w:hAnsi="仿宋" w:eastAsia="仿宋" w:cs="仿宋"/>
          <w:sz w:val="28"/>
          <w:szCs w:val="28"/>
        </w:rPr>
        <w:t>债权人：</w:t>
      </w:r>
    </w:p>
    <w:p w14:paraId="25F6185B">
      <w:pPr>
        <w:rPr>
          <w:rFonts w:hint="eastAsia" w:ascii="仿宋" w:hAnsi="仿宋" w:eastAsia="仿宋" w:cs="仿宋"/>
          <w:sz w:val="28"/>
          <w:szCs w:val="28"/>
        </w:rPr>
      </w:pPr>
      <w:r>
        <w:rPr>
          <w:rFonts w:hint="eastAsia" w:ascii="仿宋" w:hAnsi="仿宋" w:eastAsia="仿宋" w:cs="仿宋"/>
          <w:sz w:val="28"/>
          <w:szCs w:val="28"/>
          <w:lang w:val="en-US" w:eastAsia="zh-CN"/>
        </w:rPr>
        <w:t xml:space="preserve">    请在申报债权前仔细阅读本须知，并严格按照《四川国际科技合作总公司清算案债权申报通知书》及本须知有关要求向四川国际科技合作总公司（以下简称“国科公司”）清算组进行债权申报，否则由债权人自行承担全部不利后果。</w:t>
      </w:r>
    </w:p>
    <w:p w14:paraId="2C2AA9C9">
      <w:pPr>
        <w:ind w:firstLine="562" w:firstLineChars="200"/>
        <w:rPr>
          <w:rFonts w:hint="eastAsia" w:ascii="仿宋" w:hAnsi="仿宋" w:eastAsia="仿宋" w:cs="仿宋"/>
          <w:sz w:val="28"/>
          <w:szCs w:val="28"/>
        </w:rPr>
      </w:pPr>
      <w:r>
        <w:rPr>
          <w:rFonts w:hint="eastAsia" w:ascii="仿宋" w:hAnsi="仿宋" w:eastAsia="仿宋" w:cs="仿宋"/>
          <w:b/>
          <w:bCs/>
          <w:sz w:val="28"/>
          <w:szCs w:val="28"/>
        </w:rPr>
        <w:t>一</w:t>
      </w:r>
      <w:r>
        <w:rPr>
          <w:rFonts w:hint="eastAsia" w:ascii="仿宋" w:hAnsi="仿宋" w:eastAsia="仿宋" w:cs="仿宋"/>
          <w:b/>
          <w:bCs/>
          <w:sz w:val="28"/>
          <w:szCs w:val="28"/>
          <w:lang w:eastAsia="zh-CN"/>
        </w:rPr>
        <w:t>、</w:t>
      </w:r>
      <w:r>
        <w:rPr>
          <w:rFonts w:hint="eastAsia" w:ascii="仿宋" w:hAnsi="仿宋" w:eastAsia="仿宋" w:cs="仿宋"/>
          <w:b/>
          <w:bCs/>
          <w:sz w:val="28"/>
          <w:szCs w:val="28"/>
        </w:rPr>
        <w:t>债权申报所需材料</w:t>
      </w:r>
    </w:p>
    <w:p w14:paraId="0B4BEEA9">
      <w:pPr>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债权人</w:t>
      </w:r>
      <w:r>
        <w:rPr>
          <w:rFonts w:hint="eastAsia" w:ascii="仿宋" w:hAnsi="仿宋" w:eastAsia="仿宋" w:cs="仿宋"/>
          <w:sz w:val="28"/>
          <w:szCs w:val="28"/>
        </w:rPr>
        <w:t>申报债权时，需提供下列资料：</w:t>
      </w:r>
    </w:p>
    <w:p w14:paraId="7D0ADAE1">
      <w:pPr>
        <w:ind w:firstLine="560" w:firstLineChars="200"/>
        <w:rPr>
          <w:rFonts w:hint="eastAsia" w:ascii="仿宋" w:hAnsi="仿宋" w:eastAsia="仿宋" w:cs="仿宋"/>
          <w:sz w:val="28"/>
          <w:szCs w:val="28"/>
        </w:rPr>
      </w:pPr>
      <w:r>
        <w:rPr>
          <w:rFonts w:hint="eastAsia" w:ascii="仿宋" w:hAnsi="仿宋" w:eastAsia="仿宋" w:cs="仿宋"/>
          <w:sz w:val="28"/>
          <w:szCs w:val="28"/>
        </w:rPr>
        <w:t>1、债权申报</w:t>
      </w:r>
      <w:r>
        <w:rPr>
          <w:rFonts w:hint="eastAsia" w:ascii="仿宋" w:hAnsi="仿宋" w:eastAsia="仿宋" w:cs="仿宋"/>
          <w:sz w:val="28"/>
          <w:szCs w:val="28"/>
          <w:lang w:val="en-US" w:eastAsia="zh-CN"/>
        </w:rPr>
        <w:t>文件清单</w:t>
      </w:r>
      <w:r>
        <w:rPr>
          <w:rFonts w:hint="eastAsia" w:ascii="仿宋" w:hAnsi="仿宋" w:eastAsia="仿宋" w:cs="仿宋"/>
          <w:sz w:val="28"/>
          <w:szCs w:val="28"/>
        </w:rPr>
        <w:t>；</w:t>
      </w:r>
    </w:p>
    <w:p w14:paraId="1C9D2049">
      <w:pPr>
        <w:ind w:firstLine="560" w:firstLineChars="200"/>
        <w:rPr>
          <w:rFonts w:hint="eastAsia" w:ascii="仿宋" w:hAnsi="仿宋" w:eastAsia="仿宋" w:cs="仿宋"/>
          <w:sz w:val="28"/>
          <w:szCs w:val="28"/>
        </w:rPr>
      </w:pPr>
      <w:r>
        <w:rPr>
          <w:rFonts w:hint="eastAsia" w:ascii="仿宋" w:hAnsi="仿宋" w:eastAsia="仿宋" w:cs="仿宋"/>
          <w:sz w:val="28"/>
          <w:szCs w:val="28"/>
        </w:rPr>
        <w:t>2、债权申报</w:t>
      </w:r>
      <w:r>
        <w:rPr>
          <w:rFonts w:hint="eastAsia" w:ascii="仿宋" w:hAnsi="仿宋" w:eastAsia="仿宋" w:cs="仿宋"/>
          <w:sz w:val="28"/>
          <w:szCs w:val="28"/>
          <w:lang w:val="en-US" w:eastAsia="zh-CN"/>
        </w:rPr>
        <w:t>表</w:t>
      </w:r>
      <w:r>
        <w:rPr>
          <w:rFonts w:hint="eastAsia" w:ascii="仿宋" w:hAnsi="仿宋" w:eastAsia="仿宋" w:cs="仿宋"/>
          <w:sz w:val="28"/>
          <w:szCs w:val="28"/>
        </w:rPr>
        <w:t>；</w:t>
      </w:r>
    </w:p>
    <w:p w14:paraId="10CD91BC">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3、债权申报书；</w:t>
      </w:r>
    </w:p>
    <w:p w14:paraId="78240C7B">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、债权人身份证明</w:t>
      </w:r>
      <w:r>
        <w:rPr>
          <w:rFonts w:hint="eastAsia" w:ascii="仿宋" w:hAnsi="仿宋" w:eastAsia="仿宋" w:cs="仿宋"/>
          <w:sz w:val="28"/>
          <w:szCs w:val="28"/>
          <w:lang w:eastAsia="zh-CN"/>
        </w:rPr>
        <w:t>：</w:t>
      </w:r>
    </w:p>
    <w:p w14:paraId="34D092E1">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(1)</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债权人是单位的，需提交营业执照或统一社会信用代码证（复印件加盖公章）、法定代表人/负责人身份证明书（原件）、法定代表人身份证（复印件加盖公章）;</w:t>
      </w:r>
    </w:p>
    <w:p w14:paraId="7D63AB8D">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债权人是自然人的，需提供个人身份证（复印件签字捺印确认）。</w:t>
      </w:r>
    </w:p>
    <w:p w14:paraId="2BA2DE55">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、授权委托书：</w:t>
      </w:r>
    </w:p>
    <w:p w14:paraId="493CD50F">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(1)</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委托代理人申报的，需提交授权委托书原件及代理人身份证明；</w:t>
      </w:r>
    </w:p>
    <w:p w14:paraId="20DB05AF">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委托代理人是律师的，还应当提交律师事务所的所函原件、律师执业证复印件；</w:t>
      </w:r>
    </w:p>
    <w:p w14:paraId="2359C1C9">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债权人本人或者法定代表人、负责人申报的，无需提供授权委托书。</w:t>
      </w:r>
    </w:p>
    <w:p w14:paraId="4589EBCF">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、送达地址及银行账户确认书；</w:t>
      </w:r>
    </w:p>
    <w:p w14:paraId="261510E1">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7、诚信申报债权承诺书；</w:t>
      </w:r>
    </w:p>
    <w:p w14:paraId="5640DA4F">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、证明债权的证据材料；</w:t>
      </w:r>
    </w:p>
    <w:p w14:paraId="04705AA2">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债权人应当以与证据原件核对无误的复印件申报（在复印件上注明“与原件核对无异”并签名或盖章），证据材料应当附证据清单。证据材料包括但不限于：</w:t>
      </w:r>
    </w:p>
    <w:p w14:paraId="05C39324">
      <w:pPr>
        <w:numPr>
          <w:ilvl w:val="0"/>
          <w:numId w:val="1"/>
        </w:num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各类合同及票据、交货凭证、付款凭证等履行凭证；</w:t>
      </w:r>
    </w:p>
    <w:p w14:paraId="302DA479">
      <w:pPr>
        <w:numPr>
          <w:ilvl w:val="0"/>
          <w:numId w:val="1"/>
        </w:numPr>
        <w:ind w:left="0" w:leftChars="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债权人如有建设工程价款优先受偿权、财产担保等优先权的，还须提交证明优先权的材料；</w:t>
      </w:r>
    </w:p>
    <w:p w14:paraId="105A7B60">
      <w:pPr>
        <w:numPr>
          <w:ilvl w:val="0"/>
          <w:numId w:val="1"/>
        </w:numPr>
        <w:ind w:left="0" w:leftChars="0"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债权如有生效法律文书支持的，须提交该生效法律文书，并提交有关机关出具的法律文书生效证明；如果经过两级法院审理的，一、二审法院的法律文书皆需提供；仲裁机关出具的生效法律文书应附上仲裁机关关于法律文书已经生效的函件或双方当事人已签收的送达回执；行政机关出具的生效行政法律文书应附上当事人已签收的送达回执以及证据材料。如已申请人民法院强制执行的，还须提交人民法院执行立案通知书、中止执行裁定书等相关文件；</w:t>
      </w:r>
    </w:p>
    <w:p w14:paraId="1870B93F">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(4)</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债权人在诉讼或仲裁程序中申请财产保全的，须提交人民法院作出的保全裁定书等相关文件；</w:t>
      </w:r>
    </w:p>
    <w:p w14:paraId="20999616">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(5)</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能够证明债权发生、变更、存续的债权金额证明材料及诉讼时效中止、中断、延长的证明材料；</w:t>
      </w:r>
    </w:p>
    <w:p w14:paraId="3EBD2A01">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债权如有偿还或其他抵债情形的，则须提供偿债凭证、协议或以物抵债协议等。如该等偿债或以物抵债是由执行法院裁定认可的，须同时提交裁定书等相关文件；</w:t>
      </w:r>
    </w:p>
    <w:p w14:paraId="2FE182EB">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(7)</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申报的债权涉及利息、罚息、违约金、滞纳金的，债权人应提供利息、罚息、违约金、滞纳金计算表，说明计算依据、计算方法和计算结果；</w:t>
      </w:r>
    </w:p>
    <w:p w14:paraId="5364444A">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(8)</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其他能够证明债权成立、有效的证据；</w:t>
      </w:r>
    </w:p>
    <w:p w14:paraId="15CBFB79">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(9)</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债权人申报的债权还有其他债务人的，应当说明其他债务人的履行情况。</w:t>
      </w:r>
    </w:p>
    <w:p w14:paraId="7741BE49">
      <w:pPr>
        <w:ind w:firstLine="562" w:firstLineChars="200"/>
        <w:rPr>
          <w:rFonts w:hint="eastAsia" w:ascii="仿宋" w:hAnsi="仿宋" w:eastAsia="仿宋" w:cs="仿宋"/>
          <w:sz w:val="28"/>
          <w:szCs w:val="28"/>
          <w:lang w:eastAsia="zh-CN"/>
        </w:rPr>
      </w:pPr>
      <w:r>
        <w:rPr>
          <w:rFonts w:hint="eastAsia" w:ascii="仿宋" w:hAnsi="仿宋" w:eastAsia="仿宋" w:cs="仿宋"/>
          <w:b/>
          <w:bCs/>
          <w:sz w:val="28"/>
          <w:szCs w:val="28"/>
          <w:lang w:eastAsia="zh-CN"/>
        </w:rPr>
        <w:t>二、债权申报文本的获取</w:t>
      </w:r>
    </w:p>
    <w:p w14:paraId="71D1B13E">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对于债权申报材料</w:t>
      </w:r>
      <w:r>
        <w:rPr>
          <w:rFonts w:hint="eastAsia" w:ascii="仿宋" w:hAnsi="仿宋" w:eastAsia="仿宋" w:cs="仿宋"/>
          <w:sz w:val="28"/>
          <w:szCs w:val="28"/>
          <w:lang w:val="en-US" w:eastAsia="zh-CN"/>
        </w:rPr>
        <w:t>中有</w:t>
      </w:r>
      <w:r>
        <w:rPr>
          <w:rFonts w:hint="eastAsia" w:ascii="仿宋" w:hAnsi="仿宋" w:eastAsia="仿宋" w:cs="仿宋"/>
          <w:sz w:val="28"/>
          <w:szCs w:val="28"/>
          <w:lang w:eastAsia="zh-CN"/>
        </w:rPr>
        <w:t>统一格式文本</w:t>
      </w:r>
      <w:r>
        <w:rPr>
          <w:rFonts w:hint="eastAsia" w:ascii="仿宋" w:hAnsi="仿宋" w:eastAsia="仿宋" w:cs="仿宋"/>
          <w:sz w:val="28"/>
          <w:szCs w:val="28"/>
          <w:lang w:val="en-US" w:eastAsia="zh-CN"/>
        </w:rPr>
        <w:t>的</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请</w:t>
      </w:r>
      <w:r>
        <w:rPr>
          <w:rFonts w:hint="eastAsia" w:ascii="仿宋" w:hAnsi="仿宋" w:eastAsia="仿宋" w:cs="仿宋"/>
          <w:sz w:val="28"/>
          <w:szCs w:val="28"/>
          <w:lang w:eastAsia="zh-CN"/>
        </w:rPr>
        <w:t>债权人</w:t>
      </w:r>
      <w:r>
        <w:rPr>
          <w:rFonts w:hint="eastAsia" w:ascii="仿宋" w:hAnsi="仿宋" w:eastAsia="仿宋" w:cs="仿宋"/>
          <w:sz w:val="28"/>
          <w:szCs w:val="28"/>
          <w:lang w:val="en-US" w:eastAsia="zh-CN"/>
        </w:rPr>
        <w:t>自行在</w:t>
      </w:r>
      <w:r>
        <w:rPr>
          <w:rFonts w:hint="eastAsia" w:ascii="仿宋" w:hAnsi="仿宋" w:eastAsia="仿宋" w:cs="仿宋"/>
          <w:sz w:val="28"/>
          <w:szCs w:val="28"/>
          <w:highlight w:val="none"/>
          <w:lang w:eastAsia="zh-CN"/>
        </w:rPr>
        <w:t>“全国企业破产重整案件信息网”</w:t>
      </w:r>
      <w:r>
        <w:rPr>
          <w:rFonts w:hint="eastAsia" w:ascii="仿宋" w:hAnsi="仿宋" w:eastAsia="仿宋" w:cs="仿宋"/>
          <w:sz w:val="28"/>
          <w:szCs w:val="28"/>
          <w:highlight w:val="none"/>
          <w:lang w:val="en-US" w:eastAsia="zh-CN"/>
        </w:rPr>
        <w:t>公布的“</w:t>
      </w:r>
      <w:r>
        <w:rPr>
          <w:rFonts w:hint="eastAsia" w:ascii="仿宋" w:hAnsi="仿宋" w:eastAsia="仿宋" w:cs="仿宋"/>
          <w:sz w:val="28"/>
          <w:szCs w:val="28"/>
          <w:highlight w:val="none"/>
          <w:lang w:eastAsia="zh-CN"/>
        </w:rPr>
        <w:t>四川国际科技合作总公司清算案债权申报通知书”</w:t>
      </w:r>
      <w:r>
        <w:rPr>
          <w:rFonts w:hint="eastAsia" w:ascii="仿宋" w:hAnsi="仿宋" w:eastAsia="仿宋" w:cs="仿宋"/>
          <w:sz w:val="28"/>
          <w:szCs w:val="28"/>
          <w:highlight w:val="none"/>
          <w:lang w:val="en-US" w:eastAsia="zh-CN"/>
        </w:rPr>
        <w:t>中下载</w:t>
      </w:r>
      <w:r>
        <w:rPr>
          <w:rFonts w:hint="eastAsia" w:ascii="仿宋" w:hAnsi="仿宋" w:eastAsia="仿宋" w:cs="仿宋"/>
          <w:sz w:val="28"/>
          <w:szCs w:val="28"/>
          <w:highlight w:val="none"/>
          <w:lang w:eastAsia="zh-CN"/>
        </w:rPr>
        <w:t>附件《四川国际科技合作总公司清算案债权申报材料模板》</w:t>
      </w:r>
      <w:r>
        <w:rPr>
          <w:rFonts w:hint="eastAsia" w:ascii="仿宋" w:hAnsi="仿宋" w:eastAsia="仿宋" w:cs="仿宋"/>
          <w:sz w:val="28"/>
          <w:szCs w:val="28"/>
          <w:highlight w:val="none"/>
          <w:lang w:val="en-US" w:eastAsia="zh-CN"/>
        </w:rPr>
        <w:t>获取</w:t>
      </w:r>
      <w:r>
        <w:rPr>
          <w:rFonts w:hint="eastAsia" w:ascii="仿宋" w:hAnsi="仿宋" w:eastAsia="仿宋" w:cs="仿宋"/>
          <w:sz w:val="28"/>
          <w:szCs w:val="28"/>
          <w:highlight w:val="none"/>
          <w:lang w:eastAsia="zh-CN"/>
        </w:rPr>
        <w:t>。</w:t>
      </w:r>
      <w:r>
        <w:rPr>
          <w:rFonts w:hint="eastAsia" w:ascii="仿宋" w:hAnsi="仿宋" w:eastAsia="仿宋" w:cs="仿宋"/>
          <w:sz w:val="28"/>
          <w:szCs w:val="28"/>
          <w:lang w:eastAsia="zh-CN"/>
        </w:rPr>
        <w:t>债权人获得文本后根据债权情况认真填写后提交。</w:t>
      </w:r>
    </w:p>
    <w:p w14:paraId="14E4F4CA">
      <w:pPr>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三、提交材料注意事项</w:t>
      </w:r>
    </w:p>
    <w:p w14:paraId="249F77D1">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1、申报材料必须符合《四川国际科技合作总公司清算案债权申报通知书》要求，按照规定的顺序整理</w:t>
      </w:r>
      <w:r>
        <w:rPr>
          <w:rFonts w:hint="eastAsia" w:ascii="仿宋" w:hAnsi="仿宋" w:eastAsia="仿宋" w:cs="仿宋"/>
          <w:sz w:val="28"/>
          <w:szCs w:val="28"/>
          <w:lang w:val="en-US" w:eastAsia="zh-CN"/>
        </w:rPr>
        <w:t>提交给清算组</w:t>
      </w:r>
      <w:r>
        <w:rPr>
          <w:rFonts w:hint="eastAsia" w:ascii="仿宋" w:hAnsi="仿宋" w:eastAsia="仿宋" w:cs="仿宋"/>
          <w:sz w:val="28"/>
          <w:szCs w:val="28"/>
          <w:lang w:eastAsia="zh-CN"/>
        </w:rPr>
        <w:t>。现场申报的，需现场提交申报材料一式两份，并提供申报材料原件供清算组核实；邮寄申报的，应在规定时间内邮寄一式两份申报材料至清算组，根据清算组要求及时提供申报材料原件供清算组核实，逾期未提供的，清算组将不予确认或暂缓确认。</w:t>
      </w:r>
    </w:p>
    <w:p w14:paraId="76B45479">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2、债权人申报债权时应当明确是否主张对国科公司特定财产享有的担保权、建设工程价款优先受偿权等优先权，并明确说明优先权的标的物、债权额等情况。申报债权时未主张优先权的，视为放弃优先权。</w:t>
      </w:r>
    </w:p>
    <w:p w14:paraId="5E49CE29">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3、申报债权数额必须具体明确，同一债权人只能申报一个债权总额。</w:t>
      </w:r>
    </w:p>
    <w:p w14:paraId="28A44046">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4、申报债权时未申报的利息、罚息、违约金、滞纳金，视为放弃主张。</w:t>
      </w:r>
    </w:p>
    <w:p w14:paraId="6CF3339D">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5、申报债权中包含法院案件受理费、诉讼保全费的，债权人应确保申报的案件受理费、诉讼保全费未向人民法院申请退回。</w:t>
      </w:r>
    </w:p>
    <w:p w14:paraId="30E724EC">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6、债权人提交的资料不是简体中文版本的，需提供有翻译资质的翻译机构作出的简体中文译本。</w:t>
      </w:r>
    </w:p>
    <w:p w14:paraId="2EDD352B">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7、清算组不收取证明债权的证据材料原件，债权人通过邮寄等方式提供原件的，应自行承担毁损灭失的风险。</w:t>
      </w:r>
    </w:p>
    <w:p w14:paraId="554971B0">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8、债权人如提交伪造、变造等虚假证据及相关材料，以及对重要事实虚假、隐瞒陈述或拒绝陈述的，将承担相应的法律责任，如构成犯罪的，清算组将移交司法机关进行处理。</w:t>
      </w:r>
    </w:p>
    <w:p w14:paraId="11BA9693">
      <w:pPr>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四、特别提示</w:t>
      </w:r>
    </w:p>
    <w:p w14:paraId="26295594">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1、未到期的债权，在裁定受理清算时视为到期。附条件、附期限的债权和诉讼、仲裁未决的债权，债权人可以申报。</w:t>
      </w:r>
    </w:p>
    <w:p w14:paraId="04746BCB">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2、连带债权人可以由其中一人代表全体连带债权人申报债权，也可以共同申报债权。</w:t>
      </w:r>
    </w:p>
    <w:p w14:paraId="6076BEE6">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3、国科公司的保证人或者其他连带债务人已经代替国科公司清偿债务的，以其对国科公司的求偿权申报债权。</w:t>
      </w:r>
    </w:p>
    <w:p w14:paraId="2D79E2AF">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4、国科公司的保证人或者其他连带债务人尚未代替国科公司清偿债务的，以其对国科公司的将来求偿权申报债权。但是，债权人已经向清算组申报全部债权的除外。</w:t>
      </w:r>
    </w:p>
    <w:p w14:paraId="0AAC2243">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5、连带债务人数人被裁定适用法律规定程序的，其债权人有权就全部债权分别在各清算案件中申报债权。</w:t>
      </w:r>
    </w:p>
    <w:p w14:paraId="492DC680">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6、清算组或者国科公司依照公司法的规定解除合同的，对方当事人以因合同解除所产生的损害赔偿请求权申报债权。</w:t>
      </w:r>
    </w:p>
    <w:p w14:paraId="51850FF8">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7、国科公司是委托合同的委托人，受托人不知国科公司被裁定强制清算事实而继续处理委托事务的，受托人以由此产生的请求权申报债权。</w:t>
      </w:r>
    </w:p>
    <w:p w14:paraId="4D4E4F2A">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8、国科公司是票据的出票人，该票据的付款人继续付款或者承兑的，付款人以由此产生的请求权申报债权。</w:t>
      </w:r>
    </w:p>
    <w:p w14:paraId="5367E179">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9、债权人申报的债权如系自他人处受让，债权人申报债权时，应当提交相关证据材料。</w:t>
      </w:r>
    </w:p>
    <w:p w14:paraId="775DDD9E">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10、债权人已经从</w:t>
      </w:r>
      <w:r>
        <w:rPr>
          <w:rFonts w:hint="eastAsia" w:ascii="仿宋" w:hAnsi="仿宋" w:eastAsia="仿宋" w:cs="仿宋"/>
          <w:sz w:val="28"/>
          <w:szCs w:val="28"/>
          <w:lang w:val="en-US" w:eastAsia="zh-CN"/>
        </w:rPr>
        <w:t>国科</w:t>
      </w:r>
      <w:r>
        <w:rPr>
          <w:rFonts w:hint="eastAsia" w:ascii="仿宋" w:hAnsi="仿宋" w:eastAsia="仿宋" w:cs="仿宋"/>
          <w:sz w:val="28"/>
          <w:szCs w:val="28"/>
          <w:lang w:eastAsia="zh-CN"/>
        </w:rPr>
        <w:t>公司或其他第三方受偿全部或部分债权，导致</w:t>
      </w:r>
      <w:r>
        <w:rPr>
          <w:rFonts w:hint="eastAsia" w:ascii="仿宋" w:hAnsi="仿宋" w:eastAsia="仿宋" w:cs="仿宋"/>
          <w:sz w:val="28"/>
          <w:szCs w:val="28"/>
          <w:lang w:val="en-US" w:eastAsia="zh-CN"/>
        </w:rPr>
        <w:t>国科</w:t>
      </w:r>
      <w:r>
        <w:rPr>
          <w:rFonts w:hint="eastAsia" w:ascii="仿宋" w:hAnsi="仿宋" w:eastAsia="仿宋" w:cs="仿宋"/>
          <w:sz w:val="28"/>
          <w:szCs w:val="28"/>
          <w:lang w:eastAsia="zh-CN"/>
        </w:rPr>
        <w:t>公司不应再承担相应债务的，债权人不能就已受偿部分进行申报。</w:t>
      </w:r>
    </w:p>
    <w:p w14:paraId="04A71DBA">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11、</w:t>
      </w:r>
      <w:r>
        <w:rPr>
          <w:rFonts w:hint="eastAsia" w:ascii="仿宋" w:hAnsi="仿宋" w:eastAsia="仿宋" w:cs="仿宋"/>
          <w:sz w:val="28"/>
          <w:szCs w:val="28"/>
          <w:lang w:eastAsia="zh-CN"/>
        </w:rPr>
        <w:t>债权申报后，债权人从其他第三方受偿债权导致</w:t>
      </w:r>
      <w:r>
        <w:rPr>
          <w:rFonts w:hint="eastAsia" w:ascii="仿宋" w:hAnsi="仿宋" w:eastAsia="仿宋" w:cs="仿宋"/>
          <w:sz w:val="28"/>
          <w:szCs w:val="28"/>
          <w:lang w:val="en-US" w:eastAsia="zh-CN"/>
        </w:rPr>
        <w:t>国科</w:t>
      </w:r>
      <w:r>
        <w:rPr>
          <w:rFonts w:hint="eastAsia" w:ascii="仿宋" w:hAnsi="仿宋" w:eastAsia="仿宋" w:cs="仿宋"/>
          <w:sz w:val="28"/>
          <w:szCs w:val="28"/>
          <w:lang w:eastAsia="zh-CN"/>
        </w:rPr>
        <w:t>公司应承担的债务减少的，债权人应当在</w:t>
      </w:r>
      <w:r>
        <w:rPr>
          <w:rFonts w:hint="eastAsia" w:ascii="仿宋" w:hAnsi="仿宋" w:eastAsia="仿宋" w:cs="仿宋"/>
          <w:sz w:val="28"/>
          <w:szCs w:val="28"/>
          <w:lang w:val="en-US" w:eastAsia="zh-CN"/>
        </w:rPr>
        <w:t>受偿之日起</w:t>
      </w:r>
      <w:r>
        <w:rPr>
          <w:rFonts w:hint="eastAsia" w:ascii="仿宋" w:hAnsi="仿宋" w:eastAsia="仿宋" w:cs="仿宋"/>
          <w:sz w:val="28"/>
          <w:szCs w:val="28"/>
          <w:lang w:eastAsia="zh-CN"/>
        </w:rPr>
        <w:t>一周内书面告知管理人。</w:t>
      </w:r>
    </w:p>
    <w:p w14:paraId="29BEF4D9">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12、</w:t>
      </w:r>
      <w:r>
        <w:rPr>
          <w:rFonts w:hint="eastAsia" w:ascii="仿宋" w:hAnsi="仿宋" w:eastAsia="仿宋" w:cs="仿宋"/>
          <w:sz w:val="28"/>
          <w:szCs w:val="28"/>
          <w:lang w:eastAsia="zh-CN"/>
        </w:rPr>
        <w:t>国科公司的债务人或财产持有人应当向清算组清偿债务或交付财产。</w:t>
      </w:r>
    </w:p>
    <w:p w14:paraId="3B7C3865">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、国科公司的债务人或财产持有人应向清算组清偿债务或交付财产。如有其他相关事宜，请与清算组联系。</w:t>
      </w:r>
    </w:p>
    <w:p w14:paraId="72FFC0B0">
      <w:pPr>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五、关于境外债权人的法律要求</w:t>
      </w:r>
    </w:p>
    <w:p w14:paraId="66995968">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如债权人为境外或属境外企业（注册地为台湾、香港、澳门地区的参照境外债权人规定），债权人提交的所有资料需符合民事诉讼法的规定。</w:t>
      </w:r>
    </w:p>
    <w:p w14:paraId="4078A74D">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14:paraId="4CCA0E65">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以上须知内容望各债权人仔细阅读并遵守。</w:t>
      </w:r>
    </w:p>
    <w:p w14:paraId="0CEA2AE3">
      <w:pPr>
        <w:ind w:firstLine="560" w:firstLineChars="200"/>
        <w:jc w:val="right"/>
        <w:rPr>
          <w:rFonts w:hint="eastAsia" w:ascii="仿宋" w:hAnsi="仿宋" w:eastAsia="仿宋" w:cs="仿宋"/>
          <w:sz w:val="28"/>
          <w:szCs w:val="28"/>
          <w:lang w:eastAsia="zh-CN"/>
        </w:rPr>
      </w:pPr>
    </w:p>
    <w:p w14:paraId="00A78806">
      <w:pPr>
        <w:ind w:firstLine="560" w:firstLineChars="200"/>
        <w:jc w:val="right"/>
        <w:rPr>
          <w:rFonts w:hint="eastAsia" w:ascii="仿宋" w:hAnsi="仿宋" w:eastAsia="仿宋" w:cs="仿宋"/>
          <w:sz w:val="28"/>
          <w:szCs w:val="28"/>
          <w:lang w:eastAsia="zh-CN"/>
        </w:rPr>
      </w:pPr>
      <w:r>
        <w:rPr>
          <w:rFonts w:hint="eastAsia" w:ascii="仿宋" w:hAnsi="仿宋" w:eastAsia="仿宋" w:cs="仿宋"/>
          <w:sz w:val="28"/>
          <w:szCs w:val="28"/>
          <w:lang w:eastAsia="zh-CN"/>
        </w:rPr>
        <w:t>四川国际科技合作总公司清算组</w:t>
      </w:r>
    </w:p>
    <w:p w14:paraId="03AC97E1">
      <w:pPr>
        <w:ind w:firstLine="560" w:firstLineChars="200"/>
        <w:jc w:val="right"/>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二〇二</w:t>
      </w:r>
      <w:r>
        <w:rPr>
          <w:rFonts w:hint="eastAsia" w:ascii="仿宋" w:hAnsi="仿宋" w:eastAsia="仿宋" w:cs="仿宋"/>
          <w:sz w:val="28"/>
          <w:szCs w:val="28"/>
          <w:highlight w:val="none"/>
          <w:lang w:eastAsia="zh-CN"/>
        </w:rPr>
        <w:t>五年</w:t>
      </w:r>
      <w:r>
        <w:rPr>
          <w:rFonts w:hint="eastAsia" w:ascii="仿宋" w:hAnsi="仿宋" w:eastAsia="仿宋" w:cs="仿宋"/>
          <w:sz w:val="28"/>
          <w:szCs w:val="28"/>
          <w:highlight w:val="none"/>
          <w:lang w:val="en-US" w:eastAsia="zh-CN"/>
        </w:rPr>
        <w:t>七</w:t>
      </w:r>
      <w:r>
        <w:rPr>
          <w:rFonts w:hint="eastAsia" w:ascii="仿宋" w:hAnsi="仿宋" w:eastAsia="仿宋" w:cs="仿宋"/>
          <w:sz w:val="28"/>
          <w:szCs w:val="28"/>
          <w:highlight w:val="none"/>
          <w:lang w:eastAsia="zh-CN"/>
        </w:rPr>
        <w:t>月</w:t>
      </w:r>
      <w:r>
        <w:rPr>
          <w:rFonts w:hint="eastAsia" w:ascii="仿宋" w:hAnsi="仿宋" w:eastAsia="仿宋" w:cs="仿宋"/>
          <w:sz w:val="28"/>
          <w:szCs w:val="28"/>
          <w:highlight w:val="none"/>
          <w:lang w:val="en-US" w:eastAsia="zh-CN"/>
        </w:rPr>
        <w:t>十七</w:t>
      </w:r>
      <w:bookmarkStart w:id="0" w:name="_GoBack"/>
      <w:bookmarkEnd w:id="0"/>
      <w:r>
        <w:rPr>
          <w:rFonts w:hint="eastAsia" w:ascii="仿宋" w:hAnsi="仿宋" w:eastAsia="仿宋" w:cs="仿宋"/>
          <w:sz w:val="28"/>
          <w:szCs w:val="28"/>
          <w:highlight w:val="none"/>
          <w:lang w:eastAsia="zh-CN"/>
        </w:rPr>
        <w:t>日</w:t>
      </w:r>
    </w:p>
    <w:p w14:paraId="43AB1A6A">
      <w:pPr>
        <w:ind w:firstLine="560" w:firstLineChars="200"/>
        <w:rPr>
          <w:rFonts w:hint="eastAsia" w:ascii="仿宋" w:hAnsi="仿宋" w:eastAsia="仿宋" w:cs="仿宋"/>
          <w:sz w:val="28"/>
          <w:szCs w:val="28"/>
          <w:lang w:eastAsia="zh-CN"/>
        </w:rPr>
      </w:pPr>
    </w:p>
    <w:p w14:paraId="2B1EE8C1">
      <w:pPr>
        <w:ind w:firstLine="560" w:firstLineChars="200"/>
        <w:rPr>
          <w:rFonts w:hint="eastAsia" w:ascii="仿宋" w:hAnsi="仿宋" w:eastAsia="仿宋" w:cs="仿宋"/>
          <w:sz w:val="28"/>
          <w:szCs w:val="28"/>
          <w:lang w:eastAsia="zh-CN"/>
        </w:rPr>
      </w:pPr>
    </w:p>
    <w:p w14:paraId="27104992">
      <w:pPr>
        <w:ind w:firstLine="560" w:firstLineChars="200"/>
        <w:rPr>
          <w:rFonts w:hint="eastAsia" w:ascii="仿宋" w:hAnsi="仿宋" w:eastAsia="仿宋" w:cs="仿宋"/>
          <w:sz w:val="28"/>
          <w:szCs w:val="28"/>
          <w:lang w:eastAsia="zh-CN"/>
        </w:rPr>
      </w:pPr>
    </w:p>
    <w:p w14:paraId="29048841">
      <w:pPr>
        <w:ind w:firstLine="560" w:firstLineChars="200"/>
        <w:rPr>
          <w:rFonts w:hint="eastAsia" w:ascii="仿宋" w:hAnsi="仿宋" w:eastAsia="仿宋" w:cs="仿宋"/>
          <w:sz w:val="28"/>
          <w:szCs w:val="28"/>
          <w:lang w:eastAsia="zh-CN"/>
        </w:rPr>
      </w:pPr>
    </w:p>
    <w:p w14:paraId="15057D57">
      <w:pPr>
        <w:ind w:firstLine="560" w:firstLineChars="200"/>
        <w:rPr>
          <w:rFonts w:hint="eastAsia" w:ascii="仿宋" w:hAnsi="仿宋" w:eastAsia="仿宋" w:cs="仿宋"/>
          <w:sz w:val="28"/>
          <w:szCs w:val="28"/>
          <w:lang w:eastAsia="zh-CN"/>
        </w:rPr>
      </w:pPr>
    </w:p>
    <w:p w14:paraId="7AB1FE0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2EBEFE"/>
    <w:multiLevelType w:val="singleLevel"/>
    <w:tmpl w:val="8F2EBEFE"/>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4NWYzZGFkNDJiYTY1ODFjMTg3YjM5MmNjODNlNDkifQ=="/>
  </w:docVars>
  <w:rsids>
    <w:rsidRoot w:val="188F7E74"/>
    <w:rsid w:val="039F71A2"/>
    <w:rsid w:val="188F7E74"/>
    <w:rsid w:val="3B5C031E"/>
    <w:rsid w:val="55320D27"/>
    <w:rsid w:val="6BA01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2514</Words>
  <Characters>2540</Characters>
  <Lines>0</Lines>
  <Paragraphs>0</Paragraphs>
  <TotalTime>101</TotalTime>
  <ScaleCrop>false</ScaleCrop>
  <LinksUpToDate>false</LinksUpToDate>
  <CharactersWithSpaces>2559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2025-07-09T06:03:00Z</dcterms:created>
  <dc:creator>林珊</dc:creator>
  <cp:lastModifiedBy>廖文瑄</cp:lastModifiedBy>
  <dcterms:modified xsi:type="dcterms:W3CDTF">2025-07-17T02:06:43Z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58DAC72FA42B42BD9CA92E252038D99D_11</vt:lpwstr>
  </property>
  <property fmtid="{D5CDD505-2E9C-101B-9397-08002B2CF9AE}" pid="4" name="KSOTemplateDocerSaveRecord">
    <vt:lpwstr>eyJoZGlkIjoiMmFjOWY0NWJjZjA0ZDBkMWYxMzI5NTQ0MTUzYjExODciLCJ1c2VySWQiOiIxMDc4MTM3MzI1In0=</vt:lpwstr>
  </property>
</Properties>
</file>