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DBD49">
      <w:pPr>
        <w:spacing w:line="700" w:lineRule="exact"/>
        <w:jc w:val="center"/>
        <w:rPr>
          <w:rFonts w:ascii="微软雅黑" w:hAnsi="微软雅黑" w:eastAsia="微软雅黑" w:cs="微软雅黑"/>
          <w:b/>
          <w:bCs/>
          <w:color w:val="FF0000"/>
          <w:sz w:val="52"/>
          <w:szCs w:val="52"/>
          <w:highlight w:val="none"/>
        </w:rPr>
      </w:pPr>
      <w:r>
        <w:rPr>
          <w:rFonts w:hint="eastAsia" w:ascii="宋体" w:hAnsi="宋体" w:cs="宋体"/>
          <w:b/>
          <w:bCs/>
          <w:color w:val="FF0000"/>
          <w:sz w:val="52"/>
          <w:szCs w:val="52"/>
          <w:highlight w:val="none"/>
          <w:lang w:eastAsia="zh-CN"/>
        </w:rPr>
        <w:t>华育教育信息产业有限责任公司</w:t>
      </w:r>
      <w:r>
        <w:rPr>
          <w:rFonts w:hint="eastAsia" w:ascii="宋体" w:hAnsi="宋体" w:cs="宋体"/>
          <w:b/>
          <w:bCs/>
          <w:color w:val="FF0000"/>
          <w:sz w:val="52"/>
          <w:szCs w:val="52"/>
          <w:highlight w:val="none"/>
        </w:rPr>
        <w:t>管理人文件</w:t>
      </w:r>
    </w:p>
    <w:p w14:paraId="3976FCC7">
      <w:pPr>
        <w:spacing w:line="360" w:lineRule="auto"/>
        <w:jc w:val="left"/>
        <w:rPr>
          <w:rFonts w:ascii="宋体" w:hAnsi="宋体" w:cs="宋体"/>
          <w:color w:val="auto"/>
          <w:sz w:val="44"/>
          <w:szCs w:val="44"/>
          <w:highlight w:val="none"/>
        </w:rPr>
      </w:pPr>
      <w:r>
        <w:rPr>
          <w:rFonts w:ascii="宋体" w:hAnsi="宋体" w:cs="宋体"/>
          <w:color w:val="auto"/>
          <w:sz w:val="44"/>
          <w:szCs w:val="44"/>
          <w:highlight w:val="none"/>
        </w:rPr>
        <mc:AlternateContent>
          <mc:Choice Requires="wps">
            <w:drawing>
              <wp:anchor distT="0" distB="0" distL="114300" distR="114300" simplePos="0" relativeHeight="251660288" behindDoc="0" locked="0" layoutInCell="1" allowOverlap="1">
                <wp:simplePos x="0" y="0"/>
                <wp:positionH relativeFrom="column">
                  <wp:posOffset>-171450</wp:posOffset>
                </wp:positionH>
                <wp:positionV relativeFrom="paragraph">
                  <wp:posOffset>149860</wp:posOffset>
                </wp:positionV>
                <wp:extent cx="5385435" cy="3810"/>
                <wp:effectExtent l="0" t="19050" r="5715" b="15240"/>
                <wp:wrapNone/>
                <wp:docPr id="2" name="直接箭头连接符 1"/>
                <wp:cNvGraphicFramePr/>
                <a:graphic xmlns:a="http://schemas.openxmlformats.org/drawingml/2006/main">
                  <a:graphicData uri="http://schemas.microsoft.com/office/word/2010/wordprocessingShape">
                    <wps:wsp>
                      <wps:cNvCnPr/>
                      <wps:spPr>
                        <a:xfrm>
                          <a:off x="0" y="0"/>
                          <a:ext cx="5385435" cy="3810"/>
                        </a:xfrm>
                        <a:prstGeom prst="straightConnector1">
                          <a:avLst/>
                        </a:prstGeom>
                        <a:noFill/>
                        <a:ln w="28575" cap="flat" cmpd="sng" algn="ctr">
                          <a:solidFill>
                            <a:srgbClr val="FF0000"/>
                          </a:solidFill>
                          <a:prstDash val="solid"/>
                          <a:miter lim="800000"/>
                          <a:headEnd type="none" w="med" len="med"/>
                          <a:tailEnd type="none" w="med" len="med"/>
                        </a:ln>
                      </wps:spPr>
                      <wps:bodyPr/>
                    </wps:wsp>
                  </a:graphicData>
                </a:graphic>
              </wp:anchor>
            </w:drawing>
          </mc:Choice>
          <mc:Fallback>
            <w:pict>
              <v:shape id="直接箭头连接符 1" o:spid="_x0000_s1026" o:spt="32" type="#_x0000_t32" style="position:absolute;left:0pt;margin-left:-13.5pt;margin-top:11.8pt;height:0.3pt;width:424.05pt;z-index:251660288;mso-width-relative:page;mso-height-relative:page;" filled="f" stroked="t" coordsize="21600,21600" o:gfxdata="UEsDBAoAAAAAAIdO4kAAAAAAAAAAAAAAAAAEAAAAZHJzL1BLAwQUAAAACACHTuJA10/UZtkAAAAJ&#10;AQAADwAAAGRycy9kb3ducmV2LnhtbE2PwU7DMBBE70j8g7VI3FonAZUQ4lRA1QsHVAJIHN3YJBH2&#10;Ooo3bfr3LKdynJ3R7JtyPXsnDnaMfUAF6TIBYbEJpsdWwcf7dpGDiKTRaBfQKjjZCOvq8qLUhQlH&#10;fLOHmlrBJRgLraAjGgopY9NZr+MyDBbZ+w6j18RybKUZ9ZHLvZNZkqyk1z3yh04P9rmzzU89eQXT&#10;PW3z4fFr17vXekenz/lls3lS6voqTR5AkJ3pHIY/fEaHipn2YUIThVOwyO54CynIblYgOJBnaQpi&#10;z4fbDGRVyv8Lql9QSwMEFAAAAAgAh07iQPgoMPgaAgAAHQQAAA4AAABkcnMvZTJvRG9jLnhtbK1T&#10;S44TMRDdI3EHy3vS+RCIonRmkRA2CEYCDuC43d2W/FOVJ51cggsgsQJWMKvZcxoYjkHZHTIwbLIg&#10;i075U6/qvXpeXOytYTsFqL0r+Wgw5Ew56SvtmpK/fbN5NOMMo3CVMN6pkh8U8ovlwweLLszV2Lfe&#10;VAoYgTicd6HkbYxhXhQoW2UFDnxQjg5rD1ZEWkJTVCA6QremGA+HT4rOQxXAS4VIu+v+kB8R4RxA&#10;X9daqrWXV1a52KOCMiISJWx1QL7M3da1kvFVXaOKzJScmMb8pSIUb9O3WC7EvAERWi2PLYhzWrjH&#10;yQrtqOgJai2iYFeg/4GyWoJHX8eB9LboiWRFiMVoeE+b160IKnMhqTGcRMf/Bytf7i6B6arkY86c&#10;sDTw2/c3P959ur3++v3jzc9vH1L85TMbJam6gHPKWLlLOK4wXELiva/Bpn9ixPZZ3sNJXrWPTNLm&#10;dDKbPp5MOZN0NpmNsvrFXW4AjM+VtywFJccIQjdtXHnnaI4eRllhsXuBkapT4u+EVNj5jTYmj9M4&#10;1hGf2fRpqiXIozV5g0IbiCe6hjNhGjK/jJAh0RtdpfQEhNBsVwbYTpBlNpsh/RJ1KvfXtVR7LbDt&#10;7+Wj3kxWR3ofRtuSz1Ly0WOtEtUzV7F4CKSxo6fFU5dWVZwZRc2kKLcfhTbn3KSOjKPG0lD6MaRo&#10;66tDnk7eJ9fk1o8OT7b8c52z71718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XT9Rm2QAAAAkB&#10;AAAPAAAAAAAAAAEAIAAAACIAAABkcnMvZG93bnJldi54bWxQSwECFAAUAAAACACHTuJA+Cgw+BoC&#10;AAAdBAAADgAAAAAAAAABACAAAAAoAQAAZHJzL2Uyb0RvYy54bWxQSwUGAAAAAAYABgBZAQAAtAUA&#10;AAAA&#10;">
                <v:fill on="f" focussize="0,0"/>
                <v:stroke weight="2.25pt" color="#FF0000" miterlimit="8" joinstyle="miter"/>
                <v:imagedata o:title=""/>
                <o:lock v:ext="edit" aspectratio="f"/>
              </v:shape>
            </w:pict>
          </mc:Fallback>
        </mc:AlternateContent>
      </w:r>
    </w:p>
    <w:p w14:paraId="28B8B789">
      <w:pPr>
        <w:spacing w:line="360" w:lineRule="auto"/>
        <w:jc w:val="center"/>
        <w:rPr>
          <w:rFonts w:ascii="仿宋" w:hAnsi="仿宋" w:eastAsia="仿宋" w:cs="仿宋"/>
          <w:color w:val="auto"/>
          <w:sz w:val="36"/>
          <w:szCs w:val="36"/>
          <w:highlight w:val="none"/>
        </w:rPr>
      </w:pPr>
      <w:r>
        <w:rPr>
          <w:rFonts w:hint="eastAsia" w:ascii="仿宋" w:hAnsi="仿宋" w:eastAsia="仿宋" w:cs="仿宋"/>
          <w:b/>
          <w:color w:val="auto"/>
          <w:sz w:val="36"/>
          <w:szCs w:val="36"/>
          <w:highlight w:val="none"/>
          <w:lang w:eastAsia="zh-CN"/>
        </w:rPr>
        <w:t>华育教育信息产业有限责任公司</w:t>
      </w:r>
      <w:r>
        <w:rPr>
          <w:rFonts w:hint="eastAsia" w:ascii="仿宋" w:hAnsi="仿宋" w:eastAsia="仿宋" w:cs="仿宋"/>
          <w:b/>
          <w:color w:val="auto"/>
          <w:sz w:val="36"/>
          <w:szCs w:val="36"/>
          <w:highlight w:val="none"/>
        </w:rPr>
        <w:t>债权申报须知</w:t>
      </w:r>
    </w:p>
    <w:p w14:paraId="6192AE47">
      <w:pPr>
        <w:snapToGrid w:val="0"/>
        <w:spacing w:line="520" w:lineRule="exact"/>
        <w:ind w:right="560"/>
        <w:rPr>
          <w:rFonts w:ascii="仿宋" w:hAnsi="仿宋" w:eastAsia="仿宋" w:cs="仿宋"/>
          <w:b/>
          <w:bCs/>
          <w:color w:val="auto"/>
          <w:sz w:val="24"/>
          <w:highlight w:val="none"/>
        </w:rPr>
      </w:pPr>
    </w:p>
    <w:p w14:paraId="1738C7FD">
      <w:pPr>
        <w:snapToGrid w:val="0"/>
        <w:spacing w:line="520" w:lineRule="exact"/>
        <w:ind w:right="560"/>
        <w:rPr>
          <w:rFonts w:ascii="仿宋" w:hAnsi="仿宋" w:eastAsia="仿宋" w:cs="仿宋"/>
          <w:b/>
          <w:bCs/>
          <w:color w:val="auto"/>
          <w:sz w:val="28"/>
          <w:szCs w:val="28"/>
          <w:highlight w:val="none"/>
        </w:rPr>
      </w:pPr>
      <w:bookmarkStart w:id="0" w:name="_GoBack"/>
      <w:r>
        <w:rPr>
          <w:rFonts w:hint="eastAsia" w:ascii="仿宋" w:hAnsi="仿宋" w:eastAsia="仿宋" w:cs="仿宋"/>
          <w:b/>
          <w:bCs/>
          <w:color w:val="auto"/>
          <w:sz w:val="28"/>
          <w:szCs w:val="28"/>
          <w:highlight w:val="none"/>
          <w:lang w:eastAsia="zh-CN"/>
        </w:rPr>
        <w:t>华育教育信息产业有限责任公司</w:t>
      </w:r>
      <w:bookmarkEnd w:id="0"/>
      <w:r>
        <w:rPr>
          <w:rFonts w:hint="eastAsia" w:ascii="仿宋" w:hAnsi="仿宋" w:eastAsia="仿宋" w:cs="仿宋"/>
          <w:b/>
          <w:bCs/>
          <w:color w:val="auto"/>
          <w:sz w:val="28"/>
          <w:szCs w:val="28"/>
          <w:highlight w:val="none"/>
        </w:rPr>
        <w:t>各债权人：</w:t>
      </w:r>
    </w:p>
    <w:p w14:paraId="24D8BE63">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经</w:t>
      </w:r>
      <w:r>
        <w:rPr>
          <w:rFonts w:hint="eastAsia" w:ascii="仿宋" w:hAnsi="仿宋" w:eastAsia="仿宋" w:cs="仿宋"/>
          <w:sz w:val="28"/>
          <w:szCs w:val="28"/>
          <w:lang w:eastAsia="zh-CN"/>
        </w:rPr>
        <w:t>中国教育出版传媒集团有限公司</w:t>
      </w:r>
      <w:r>
        <w:rPr>
          <w:rFonts w:hint="eastAsia" w:ascii="仿宋" w:hAnsi="仿宋" w:eastAsia="仿宋" w:cs="仿宋"/>
          <w:sz w:val="28"/>
          <w:szCs w:val="28"/>
        </w:rPr>
        <w:t>申请，东莞市中级人民法院于</w:t>
      </w:r>
      <w:r>
        <w:rPr>
          <w:rFonts w:hint="eastAsia" w:ascii="仿宋" w:hAnsi="仿宋" w:eastAsia="仿宋" w:cs="仿宋"/>
          <w:sz w:val="28"/>
          <w:szCs w:val="28"/>
          <w:lang w:eastAsia="zh-CN"/>
        </w:rPr>
        <w:t>2025年6月25日</w:t>
      </w:r>
      <w:r>
        <w:rPr>
          <w:rFonts w:hint="eastAsia" w:ascii="仿宋" w:hAnsi="仿宋" w:eastAsia="仿宋" w:cs="仿宋"/>
          <w:sz w:val="28"/>
          <w:szCs w:val="28"/>
        </w:rPr>
        <w:t>裁定受理</w:t>
      </w:r>
      <w:r>
        <w:rPr>
          <w:rFonts w:hint="eastAsia" w:ascii="仿宋" w:hAnsi="仿宋" w:eastAsia="仿宋" w:cs="仿宋"/>
          <w:color w:val="000000"/>
          <w:sz w:val="28"/>
          <w:szCs w:val="28"/>
          <w:lang w:eastAsia="zh-CN"/>
        </w:rPr>
        <w:t>华育教育信息产业有限责任公司</w:t>
      </w:r>
      <w:r>
        <w:rPr>
          <w:rFonts w:hint="eastAsia" w:ascii="仿宋" w:hAnsi="仿宋" w:eastAsia="仿宋" w:cs="仿宋"/>
          <w:color w:val="000000"/>
          <w:sz w:val="28"/>
          <w:szCs w:val="28"/>
        </w:rPr>
        <w:t>（以下简称“</w:t>
      </w:r>
      <w:r>
        <w:rPr>
          <w:rFonts w:hint="eastAsia" w:ascii="仿宋" w:hAnsi="仿宋" w:eastAsia="仿宋" w:cs="仿宋"/>
          <w:color w:val="000000"/>
          <w:sz w:val="28"/>
          <w:szCs w:val="28"/>
          <w:lang w:eastAsia="zh-CN"/>
        </w:rPr>
        <w:t>华育教育公司</w:t>
      </w:r>
      <w:r>
        <w:rPr>
          <w:rFonts w:hint="eastAsia" w:ascii="仿宋" w:hAnsi="仿宋" w:eastAsia="仿宋" w:cs="仿宋"/>
          <w:color w:val="000000"/>
          <w:sz w:val="28"/>
          <w:szCs w:val="28"/>
        </w:rPr>
        <w:t>”）</w:t>
      </w:r>
      <w:r>
        <w:rPr>
          <w:rFonts w:hint="eastAsia" w:ascii="仿宋" w:hAnsi="仿宋" w:eastAsia="仿宋" w:cs="仿宋"/>
          <w:sz w:val="28"/>
          <w:szCs w:val="28"/>
        </w:rPr>
        <w:t xml:space="preserve"> 强制清算一案，并于</w:t>
      </w:r>
      <w:r>
        <w:rPr>
          <w:rFonts w:hint="eastAsia" w:ascii="仿宋" w:hAnsi="仿宋" w:eastAsia="仿宋" w:cs="仿宋"/>
          <w:sz w:val="28"/>
          <w:szCs w:val="28"/>
          <w:lang w:val="en-US" w:eastAsia="zh-CN"/>
        </w:rPr>
        <w:t>同</w:t>
      </w:r>
      <w:r>
        <w:rPr>
          <w:rFonts w:hint="eastAsia" w:ascii="仿宋" w:hAnsi="仿宋" w:eastAsia="仿宋" w:cs="仿宋"/>
          <w:sz w:val="28"/>
          <w:szCs w:val="28"/>
          <w:lang w:eastAsia="zh-CN"/>
        </w:rPr>
        <w:t>日</w:t>
      </w:r>
      <w:r>
        <w:rPr>
          <w:rFonts w:hint="eastAsia" w:ascii="仿宋" w:hAnsi="仿宋" w:eastAsia="仿宋" w:cs="仿宋"/>
          <w:sz w:val="28"/>
          <w:szCs w:val="28"/>
        </w:rPr>
        <w:t>指定</w:t>
      </w:r>
      <w:r>
        <w:rPr>
          <w:rFonts w:hint="eastAsia" w:ascii="仿宋" w:hAnsi="仿宋" w:eastAsia="仿宋" w:cs="仿宋"/>
          <w:sz w:val="28"/>
          <w:szCs w:val="28"/>
          <w:lang w:val="en-US" w:eastAsia="zh-CN"/>
        </w:rPr>
        <w:t>广东尚宽律师事务所</w:t>
      </w:r>
      <w:r>
        <w:rPr>
          <w:rFonts w:hint="eastAsia" w:ascii="仿宋" w:hAnsi="仿宋" w:eastAsia="仿宋" w:cs="仿宋"/>
          <w:sz w:val="28"/>
          <w:szCs w:val="28"/>
        </w:rPr>
        <w:t>担任</w:t>
      </w:r>
      <w:r>
        <w:rPr>
          <w:rFonts w:hint="eastAsia" w:ascii="仿宋" w:hAnsi="仿宋" w:eastAsia="仿宋" w:cs="仿宋"/>
          <w:sz w:val="28"/>
          <w:szCs w:val="28"/>
          <w:lang w:eastAsia="zh-CN"/>
        </w:rPr>
        <w:t>华育教育信息产业有限责任公司</w:t>
      </w:r>
      <w:r>
        <w:rPr>
          <w:rFonts w:hint="eastAsia" w:ascii="仿宋" w:hAnsi="仿宋" w:eastAsia="仿宋" w:cs="仿宋"/>
          <w:sz w:val="28"/>
          <w:szCs w:val="28"/>
        </w:rPr>
        <w:t>清算组。为明确债权人及利害关系人在债权申报阶段之权利义务，特告知如下几点： </w:t>
      </w:r>
    </w:p>
    <w:p w14:paraId="6FCEA4A2">
      <w:pPr>
        <w:spacing w:line="500" w:lineRule="exact"/>
        <w:ind w:firstLine="560" w:firstLineChars="200"/>
        <w:rPr>
          <w:rFonts w:ascii="仿宋" w:hAnsi="仿宋" w:eastAsia="仿宋"/>
          <w:sz w:val="28"/>
          <w:szCs w:val="28"/>
        </w:rPr>
      </w:pPr>
      <w:r>
        <w:rPr>
          <w:rFonts w:hint="eastAsia" w:ascii="仿宋" w:hAnsi="仿宋" w:eastAsia="仿宋" w:cs="仿宋"/>
          <w:sz w:val="28"/>
          <w:szCs w:val="28"/>
        </w:rPr>
        <w:t>一、清算组在《人民法院报》、“全国企业破产重整案件信息网”、“尚宽法讯”微信公众号上发布</w:t>
      </w:r>
      <w:r>
        <w:rPr>
          <w:rFonts w:hint="eastAsia" w:ascii="仿宋" w:hAnsi="仿宋" w:eastAsia="仿宋" w:cs="仿宋"/>
          <w:sz w:val="28"/>
          <w:szCs w:val="28"/>
          <w:lang w:eastAsia="zh-CN"/>
        </w:rPr>
        <w:t>华育教育公司</w:t>
      </w:r>
      <w:r>
        <w:rPr>
          <w:rFonts w:hint="eastAsia" w:ascii="仿宋" w:hAnsi="仿宋" w:eastAsia="仿宋" w:cs="仿宋"/>
          <w:sz w:val="28"/>
          <w:szCs w:val="28"/>
        </w:rPr>
        <w:t>强制清算案件的公告及有关文书。为保障债权人权益，</w:t>
      </w:r>
      <w:r>
        <w:rPr>
          <w:rFonts w:hint="eastAsia" w:ascii="仿宋" w:hAnsi="仿宋" w:eastAsia="仿宋" w:cs="仿宋"/>
          <w:b/>
          <w:bCs/>
          <w:sz w:val="28"/>
          <w:szCs w:val="28"/>
        </w:rPr>
        <w:t>债权人应于债权申报公告发出之日起四十五日内（202</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年</w:t>
      </w: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日前）向</w:t>
      </w:r>
      <w:r>
        <w:rPr>
          <w:rFonts w:hint="eastAsia" w:ascii="仿宋" w:hAnsi="仿宋" w:eastAsia="仿宋" w:cs="仿宋"/>
          <w:b/>
          <w:bCs/>
          <w:sz w:val="28"/>
          <w:szCs w:val="28"/>
          <w:lang w:eastAsia="zh-CN"/>
        </w:rPr>
        <w:t>华育教育信息产业有限责任公司</w:t>
      </w:r>
      <w:r>
        <w:rPr>
          <w:rFonts w:hint="eastAsia" w:ascii="仿宋" w:hAnsi="仿宋" w:eastAsia="仿宋" w:cs="仿宋"/>
          <w:b/>
          <w:bCs/>
          <w:sz w:val="28"/>
          <w:szCs w:val="28"/>
        </w:rPr>
        <w:t>清算组申报债权</w:t>
      </w:r>
      <w:r>
        <w:rPr>
          <w:rFonts w:hint="eastAsia" w:ascii="仿宋" w:hAnsi="仿宋" w:eastAsia="仿宋" w:cs="仿宋"/>
          <w:sz w:val="28"/>
          <w:szCs w:val="28"/>
        </w:rPr>
        <w:t>。</w:t>
      </w:r>
      <w:r>
        <w:rPr>
          <w:rFonts w:hint="eastAsia" w:ascii="仿宋" w:hAnsi="仿宋" w:eastAsia="仿宋"/>
          <w:sz w:val="28"/>
          <w:szCs w:val="28"/>
          <w:u w:val="single"/>
        </w:rPr>
        <w:t>[债权申报资料线上领取途径：1、关注“尚宽法讯”（微信号：skfx99） 微信公众号，回复“华育教育”即可领取；</w:t>
      </w:r>
      <w:r>
        <w:rPr>
          <w:rFonts w:hint="eastAsia" w:ascii="仿宋" w:hAnsi="仿宋" w:eastAsia="仿宋"/>
          <w:sz w:val="28"/>
          <w:szCs w:val="28"/>
          <w:u w:val="single"/>
          <w:lang w:val="en-US" w:eastAsia="zh-CN"/>
        </w:rPr>
        <w:t>2、在“全国企业破产重整案件信息”网站搜索下载；3</w:t>
      </w:r>
      <w:r>
        <w:rPr>
          <w:rFonts w:hint="eastAsia" w:ascii="仿宋" w:hAnsi="仿宋" w:eastAsia="仿宋"/>
          <w:sz w:val="28"/>
          <w:szCs w:val="28"/>
          <w:u w:val="single"/>
        </w:rPr>
        <w:t>、联系清算组工作人员发送债权申报资料]</w:t>
      </w:r>
      <w:r>
        <w:rPr>
          <w:rFonts w:hint="eastAsia" w:ascii="仿宋" w:hAnsi="仿宋" w:eastAsia="仿宋" w:cs="仿宋"/>
          <w:sz w:val="28"/>
          <w:szCs w:val="28"/>
        </w:rPr>
        <w:t xml:space="preserve">  </w:t>
      </w:r>
    </w:p>
    <w:p w14:paraId="1460B5D1">
      <w:pPr>
        <w:snapToGrid w:val="0"/>
        <w:spacing w:line="360" w:lineRule="auto"/>
        <w:ind w:right="-58" w:firstLine="560" w:firstLineChars="200"/>
        <w:rPr>
          <w:rFonts w:hint="eastAsia" w:ascii="仿宋" w:hAnsi="仿宋" w:eastAsia="仿宋" w:cs="仿宋"/>
          <w:sz w:val="28"/>
          <w:szCs w:val="28"/>
          <w:u w:val="single"/>
        </w:rPr>
      </w:pPr>
      <w:r>
        <w:rPr>
          <w:rFonts w:hint="eastAsia" w:ascii="仿宋" w:hAnsi="仿宋" w:eastAsia="仿宋" w:cs="仿宋"/>
          <w:sz w:val="28"/>
          <w:szCs w:val="28"/>
        </w:rPr>
        <w:t>二、申报人应当如实、详细填写</w:t>
      </w:r>
      <w:r>
        <w:rPr>
          <w:rFonts w:hint="eastAsia" w:ascii="仿宋" w:hAnsi="仿宋" w:eastAsia="仿宋" w:cs="仿宋"/>
          <w:sz w:val="28"/>
          <w:szCs w:val="28"/>
          <w:lang w:eastAsia="zh-CN"/>
        </w:rPr>
        <w:t>债权申报有关文书</w:t>
      </w:r>
      <w:r>
        <w:rPr>
          <w:rFonts w:hint="eastAsia" w:ascii="仿宋" w:hAnsi="仿宋" w:eastAsia="仿宋" w:cs="仿宋"/>
          <w:sz w:val="28"/>
          <w:szCs w:val="28"/>
        </w:rPr>
        <w:t>以及提供完整、真实有效的申报材料，并</w:t>
      </w:r>
      <w:r>
        <w:rPr>
          <w:rFonts w:hint="eastAsia" w:ascii="仿宋" w:hAnsi="仿宋" w:eastAsia="仿宋" w:cs="仿宋"/>
          <w:sz w:val="28"/>
          <w:szCs w:val="28"/>
          <w:u w:val="single"/>
        </w:rPr>
        <w:t>按照“债权申报材料清单→债权申报</w:t>
      </w:r>
      <w:r>
        <w:rPr>
          <w:rFonts w:hint="eastAsia" w:ascii="仿宋" w:hAnsi="仿宋" w:eastAsia="仿宋" w:cs="仿宋"/>
          <w:sz w:val="28"/>
          <w:szCs w:val="28"/>
          <w:u w:val="single"/>
          <w:lang w:eastAsia="zh-CN"/>
        </w:rPr>
        <w:t>登记表</w:t>
      </w:r>
      <w:r>
        <w:rPr>
          <w:rFonts w:hint="eastAsia" w:ascii="仿宋" w:hAnsi="仿宋" w:eastAsia="仿宋" w:cs="仿宋"/>
          <w:sz w:val="28"/>
          <w:szCs w:val="28"/>
          <w:u w:val="single"/>
        </w:rPr>
        <w:t>→</w:t>
      </w:r>
      <w:r>
        <w:rPr>
          <w:rFonts w:hint="eastAsia" w:ascii="仿宋" w:hAnsi="仿宋" w:eastAsia="仿宋" w:cs="仿宋"/>
          <w:sz w:val="28"/>
          <w:szCs w:val="28"/>
          <w:u w:val="single"/>
          <w:lang w:eastAsia="zh-CN"/>
        </w:rPr>
        <w:t>债权申报书</w:t>
      </w:r>
      <w:r>
        <w:rPr>
          <w:rFonts w:hint="eastAsia" w:ascii="仿宋" w:hAnsi="仿宋" w:eastAsia="仿宋" w:cs="仿宋"/>
          <w:sz w:val="28"/>
          <w:szCs w:val="28"/>
          <w:u w:val="single"/>
        </w:rPr>
        <w:t>→承诺书→债权人主体资料及授权材料→送达方式确认书→证明债权事实的相关证据材料”顺序整理成册</w:t>
      </w:r>
      <w:r>
        <w:rPr>
          <w:rFonts w:hint="eastAsia" w:ascii="仿宋" w:hAnsi="仿宋" w:eastAsia="仿宋" w:cs="仿宋"/>
          <w:b/>
          <w:sz w:val="28"/>
          <w:szCs w:val="28"/>
          <w:u w:val="single"/>
        </w:rPr>
        <w:t>一式两份</w:t>
      </w:r>
      <w:r>
        <w:rPr>
          <w:rFonts w:hint="eastAsia" w:ascii="仿宋" w:hAnsi="仿宋" w:eastAsia="仿宋" w:cs="仿宋"/>
          <w:sz w:val="28"/>
          <w:szCs w:val="28"/>
          <w:u w:val="single"/>
        </w:rPr>
        <w:t>提交管理人</w:t>
      </w:r>
      <w:r>
        <w:rPr>
          <w:rFonts w:hint="eastAsia" w:ascii="仿宋" w:hAnsi="仿宋" w:eastAsia="仿宋" w:cs="仿宋"/>
          <w:sz w:val="28"/>
          <w:szCs w:val="28"/>
          <w:u w:val="single"/>
          <w:lang w:eastAsia="zh-CN"/>
        </w:rPr>
        <w:t>（</w:t>
      </w:r>
      <w:r>
        <w:rPr>
          <w:rFonts w:hint="eastAsia" w:ascii="仿宋" w:hAnsi="仿宋" w:eastAsia="仿宋" w:cs="仿宋"/>
          <w:b/>
          <w:bCs/>
          <w:sz w:val="28"/>
          <w:szCs w:val="28"/>
          <w:u w:val="single"/>
          <w:lang w:eastAsia="zh-CN"/>
        </w:rPr>
        <w:t>债权申报资料的提交以纸质资料为准</w:t>
      </w:r>
      <w:r>
        <w:rPr>
          <w:rFonts w:hint="eastAsia" w:ascii="仿宋" w:hAnsi="仿宋" w:eastAsia="仿宋" w:cs="仿宋"/>
          <w:sz w:val="28"/>
          <w:szCs w:val="28"/>
          <w:u w:val="single"/>
          <w:lang w:eastAsia="zh-CN"/>
        </w:rPr>
        <w:t>）。同时，债权人还需提交内容一致的债权申报资料</w:t>
      </w:r>
      <w:r>
        <w:rPr>
          <w:rFonts w:hint="eastAsia" w:ascii="仿宋" w:hAnsi="仿宋" w:eastAsia="仿宋" w:cs="仿宋"/>
          <w:b/>
          <w:bCs/>
          <w:sz w:val="28"/>
          <w:szCs w:val="28"/>
          <w:u w:val="single"/>
          <w:lang w:val="en-US" w:eastAsia="zh-CN"/>
        </w:rPr>
        <w:t>扫描</w:t>
      </w:r>
      <w:r>
        <w:rPr>
          <w:rFonts w:hint="eastAsia" w:ascii="仿宋" w:hAnsi="仿宋" w:eastAsia="仿宋" w:cs="仿宋"/>
          <w:b/>
          <w:bCs/>
          <w:sz w:val="28"/>
          <w:szCs w:val="28"/>
          <w:u w:val="single"/>
          <w:lang w:eastAsia="zh-CN"/>
        </w:rPr>
        <w:t>版</w:t>
      </w:r>
      <w:r>
        <w:rPr>
          <w:rFonts w:hint="eastAsia" w:ascii="仿宋" w:hAnsi="仿宋" w:eastAsia="仿宋" w:cs="仿宋"/>
          <w:sz w:val="28"/>
          <w:szCs w:val="28"/>
          <w:u w:val="single"/>
          <w:lang w:eastAsia="zh-CN"/>
        </w:rPr>
        <w:t>至管理人邮箱（</w:t>
      </w:r>
      <w:r>
        <w:rPr>
          <w:rFonts w:hint="eastAsia" w:ascii="仿宋" w:hAnsi="仿宋" w:eastAsia="仿宋" w:cs="仿宋"/>
          <w:sz w:val="28"/>
          <w:szCs w:val="28"/>
          <w:u w:val="single"/>
          <w:lang w:val="en-US" w:eastAsia="zh-CN"/>
        </w:rPr>
        <w:t>450641642@qq.com</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w:t>
      </w:r>
    </w:p>
    <w:p w14:paraId="39001B36">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1.债权申报材料清单：债权人需按提交的所有材料顺序、数量、原件/复印件在清单中列明并签名；</w:t>
      </w:r>
    </w:p>
    <w:p w14:paraId="3B1FFB0F">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2.债权申报登记表：债权人需如实填写债权申报登记表，盖章签署。</w:t>
      </w:r>
      <w:r>
        <w:rPr>
          <w:rFonts w:hint="eastAsia" w:ascii="仿宋" w:hAnsi="仿宋" w:eastAsia="仿宋" w:cs="仿宋"/>
          <w:bCs/>
          <w:color w:val="auto"/>
          <w:sz w:val="28"/>
          <w:szCs w:val="28"/>
          <w:highlight w:val="none"/>
        </w:rPr>
        <w:t>申报金额含利息、罚息、复利、违约金等费用的，应当提交相应的计算明细表</w:t>
      </w:r>
      <w:r>
        <w:rPr>
          <w:rFonts w:hint="eastAsia" w:ascii="仿宋" w:hAnsi="仿宋" w:eastAsia="仿宋" w:cs="仿宋"/>
          <w:color w:val="auto"/>
          <w:sz w:val="28"/>
          <w:szCs w:val="28"/>
          <w:highlight w:val="none"/>
        </w:rPr>
        <w:t>，附于债权申报表之后；</w:t>
      </w:r>
    </w:p>
    <w:p w14:paraId="0651678E">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债权申报书：债权申报书须写明申报的债权金额、性质、形成原因、经过、有无财产担保等相关事项。若申报的债权涉及合同关系的，须同时对该合同是否已经履行完毕或合同当事人履行合同情况作出说明。机构债权人应在债权申报书上加盖债权人公章，个人债权人应在债权申报书上由本人签字并捺手印；</w:t>
      </w:r>
    </w:p>
    <w:p w14:paraId="6DBE04F0">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注：债权申报登记表和债权申报书上记载的信息应当保持一致。</w:t>
      </w:r>
      <w:r>
        <w:rPr>
          <w:rFonts w:hint="eastAsia" w:ascii="仿宋" w:hAnsi="仿宋" w:eastAsia="仿宋" w:cs="仿宋"/>
          <w:color w:val="auto"/>
          <w:sz w:val="28"/>
          <w:szCs w:val="28"/>
          <w:highlight w:val="none"/>
          <w:u w:val="single"/>
        </w:rPr>
        <w:t>如申报人提交的债权申报材料中所载的信息前后不一致，以债权申报登记表所载的信息为准。</w:t>
      </w:r>
    </w:p>
    <w:p w14:paraId="7531A72B">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4.主体材料：债权人为企业的，应提供有效的营业执照复印件（加盖公章）、法定代表人身份证明书（原件）、法定代表人身份证复印件（签字确认）；并于</w:t>
      </w:r>
      <w:r>
        <w:rPr>
          <w:rFonts w:hint="eastAsia" w:ascii="仿宋" w:hAnsi="仿宋" w:eastAsia="仿宋" w:cs="仿宋"/>
          <w:bCs/>
          <w:color w:val="auto"/>
          <w:sz w:val="28"/>
          <w:szCs w:val="28"/>
          <w:highlight w:val="none"/>
        </w:rPr>
        <w:t>提交债权申报材料当天在“国家企业信用信息公示系统”打印提交申报企业最新的主体登记信息</w:t>
      </w:r>
      <w:r>
        <w:rPr>
          <w:rFonts w:hint="eastAsia" w:ascii="仿宋" w:hAnsi="仿宋" w:eastAsia="仿宋" w:cs="仿宋"/>
          <w:color w:val="auto"/>
          <w:sz w:val="28"/>
          <w:szCs w:val="28"/>
          <w:highlight w:val="none"/>
        </w:rPr>
        <w:t>；</w:t>
      </w:r>
    </w:p>
    <w:p w14:paraId="1C212236">
      <w:pPr>
        <w:snapToGrid w:val="0"/>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债权人为个人的，应提供</w:t>
      </w:r>
      <w:r>
        <w:rPr>
          <w:rFonts w:hint="eastAsia" w:ascii="仿宋" w:hAnsi="仿宋" w:eastAsia="仿宋" w:cs="仿宋"/>
          <w:bCs/>
          <w:color w:val="auto"/>
          <w:sz w:val="28"/>
          <w:szCs w:val="28"/>
          <w:highlight w:val="none"/>
        </w:rPr>
        <w:t>尚处于有效期限内</w:t>
      </w:r>
      <w:r>
        <w:rPr>
          <w:rFonts w:hint="eastAsia" w:ascii="仿宋" w:hAnsi="仿宋" w:eastAsia="仿宋" w:cs="仿宋"/>
          <w:color w:val="auto"/>
          <w:sz w:val="28"/>
          <w:szCs w:val="28"/>
          <w:highlight w:val="none"/>
        </w:rPr>
        <w:t>的个人身份证等个人有效证件复印件（复印件签字确认，同时提供证件原件核对）；</w:t>
      </w:r>
    </w:p>
    <w:p w14:paraId="53A45068">
      <w:pPr>
        <w:snapToGrid w:val="0"/>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5.授权材料：债权人如委托代理人申报的，还须提交授权委托书（原件）及代理人身份证明（复印件签字确认）；委托代理人是律师的，还应提交律师事务所的公函及律师执业证复印件；</w:t>
      </w:r>
      <w:r>
        <w:rPr>
          <w:rFonts w:eastAsia="仿宋" w:cs="Calibri"/>
          <w:color w:val="auto"/>
          <w:sz w:val="28"/>
          <w:szCs w:val="28"/>
          <w:highlight w:val="none"/>
        </w:rPr>
        <w:t> </w:t>
      </w:r>
    </w:p>
    <w:p w14:paraId="3BDDE5B3">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6.送达方式确认书：债权人申报债权时，应在《送达方式确认书》中明确申报人的联系地址、邮编、电话、电子邮箱、联系人等。</w:t>
      </w:r>
      <w:r>
        <w:rPr>
          <w:rFonts w:hint="eastAsia" w:ascii="仿宋" w:hAnsi="仿宋" w:eastAsia="仿宋" w:cs="仿宋"/>
          <w:color w:val="auto"/>
          <w:sz w:val="28"/>
          <w:szCs w:val="28"/>
          <w:highlight w:val="none"/>
          <w:u w:val="single"/>
        </w:rPr>
        <w:t>注意：</w:t>
      </w:r>
      <w:r>
        <w:rPr>
          <w:rFonts w:ascii="仿宋" w:hAnsi="仿宋" w:eastAsia="仿宋" w:cs="仿宋"/>
          <w:color w:val="auto"/>
          <w:sz w:val="28"/>
          <w:szCs w:val="28"/>
          <w:highlight w:val="none"/>
          <w:u w:val="single"/>
        </w:rPr>
        <w:t>因申报人提供的送达</w:t>
      </w:r>
      <w:r>
        <w:rPr>
          <w:rFonts w:hint="eastAsia" w:ascii="仿宋" w:hAnsi="仿宋" w:eastAsia="仿宋" w:cs="仿宋"/>
          <w:color w:val="auto"/>
          <w:sz w:val="28"/>
          <w:szCs w:val="28"/>
          <w:highlight w:val="none"/>
          <w:u w:val="single"/>
        </w:rPr>
        <w:t>方式</w:t>
      </w:r>
      <w:r>
        <w:rPr>
          <w:rFonts w:ascii="仿宋" w:hAnsi="仿宋" w:eastAsia="仿宋" w:cs="仿宋"/>
          <w:color w:val="auto"/>
          <w:sz w:val="28"/>
          <w:szCs w:val="28"/>
          <w:highlight w:val="none"/>
          <w:u w:val="single"/>
        </w:rPr>
        <w:t>不准确、拒不提供送达地址、送达地址变更未及时告知、受送达人本人或者受送达人指定的代收人拒绝签收，导致相关文书未能被申报人实际接收的，相关文书退回之日视为送达之日。债权人若因送达地址变更，或者撤销原委托代理人委托新代理人，需变更送达地址或委托代理人的，应当及时以书面形式告知管理人，否则，管理人将仍以本</w:t>
      </w:r>
      <w:r>
        <w:rPr>
          <w:rFonts w:hint="eastAsia" w:ascii="仿宋" w:hAnsi="仿宋" w:eastAsia="仿宋" w:cs="仿宋"/>
          <w:color w:val="auto"/>
          <w:sz w:val="28"/>
          <w:szCs w:val="28"/>
          <w:highlight w:val="none"/>
          <w:u w:val="single"/>
        </w:rPr>
        <w:t>送达方式确认书</w:t>
      </w:r>
      <w:r>
        <w:rPr>
          <w:rFonts w:ascii="仿宋" w:hAnsi="仿宋" w:eastAsia="仿宋" w:cs="仿宋"/>
          <w:color w:val="auto"/>
          <w:sz w:val="28"/>
          <w:szCs w:val="28"/>
          <w:highlight w:val="none"/>
          <w:u w:val="single"/>
        </w:rPr>
        <w:t>确认的</w:t>
      </w:r>
      <w:r>
        <w:rPr>
          <w:rFonts w:hint="eastAsia" w:ascii="仿宋" w:hAnsi="仿宋" w:eastAsia="仿宋" w:cs="仿宋"/>
          <w:color w:val="auto"/>
          <w:sz w:val="28"/>
          <w:szCs w:val="28"/>
          <w:highlight w:val="none"/>
          <w:u w:val="single"/>
        </w:rPr>
        <w:t>方式</w:t>
      </w:r>
      <w:r>
        <w:rPr>
          <w:rFonts w:ascii="仿宋" w:hAnsi="仿宋" w:eastAsia="仿宋" w:cs="仿宋"/>
          <w:color w:val="auto"/>
          <w:sz w:val="28"/>
          <w:szCs w:val="28"/>
          <w:highlight w:val="none"/>
          <w:u w:val="single"/>
        </w:rPr>
        <w:t>送达，由此产生的后果由债权人承担。</w:t>
      </w:r>
    </w:p>
    <w:p w14:paraId="639FA157">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7.申报债权的相关证据材料：债权人需提供证明债权成立的相关证据，如：合同、协议、收款或付款凭证、孳息或违约金计算凭证等书面材料）；进入司法程序或者仲裁程序的，同时提交司法部门或仲裁机构出具的相关法律文书，如仲裁裁决书及送达回证、民事判决书及生效证明文书、执行受理通知书、执行裁定书等文书。</w:t>
      </w:r>
      <w:r>
        <w:rPr>
          <w:rFonts w:hint="eastAsia" w:ascii="仿宋" w:hAnsi="仿宋" w:eastAsia="仿宋" w:cs="仿宋"/>
          <w:color w:val="auto"/>
          <w:sz w:val="28"/>
          <w:szCs w:val="28"/>
          <w:highlight w:val="none"/>
          <w:u w:val="single"/>
        </w:rPr>
        <w:t>债权人申报债权时需携带所有证据材料原件(核对后归还)并提供证据复印件给管理人。</w:t>
      </w:r>
    </w:p>
    <w:p w14:paraId="0A9676B8">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8、</w:t>
      </w:r>
      <w:r>
        <w:rPr>
          <w:rFonts w:hint="eastAsia" w:ascii="仿宋" w:hAnsi="仿宋" w:eastAsia="仿宋" w:cs="仿宋"/>
          <w:color w:val="auto"/>
          <w:sz w:val="28"/>
          <w:szCs w:val="28"/>
          <w:highlight w:val="none"/>
          <w:u w:val="single"/>
        </w:rPr>
        <w:t>如债权人为境外或属境外企业，债权人提交的所有材料均需经过有公证资质的公证机构进行公证，以下为各地区公证认证程序，仅供参考：</w:t>
      </w:r>
    </w:p>
    <w:p w14:paraId="2B9658AA">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香港地区的公证认证程序：(1)委托中国司法部指定的香港公证机构做公证（包括查核和公证）；(2)委托香港律师到中国法律服务（香港）有限公司加盖转递章；(3)将该份文件拿回内地使用。</w:t>
      </w:r>
    </w:p>
    <w:p w14:paraId="2DFAE617">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台湾地区的公证认证程序：(1)到台湾公证机关公证；(2)台湾公证机关将公证文书副本寄交内地公证员协会；(3)内地一方将公证文书拿到公证员协会做核证，核证后即可使用。</w:t>
      </w:r>
    </w:p>
    <w:p w14:paraId="2CF18842">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国外的公证认证程序：(1)需将进行公正的材料送该国外交部门进行认证；(2)将经过该国外交部门认证的材料送中国驻该国使领馆进行认证；(3)将经过认证的法律文书拿回中国大陆使用。</w:t>
      </w:r>
    </w:p>
    <w:p w14:paraId="5BC56657">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三、填写表格需要注意的问题： </w:t>
      </w:r>
    </w:p>
    <w:p w14:paraId="64B9087A">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1. 债权申报的金额：</w:t>
      </w:r>
      <w:r>
        <w:rPr>
          <w:rFonts w:hint="eastAsia" w:ascii="仿宋" w:hAnsi="仿宋" w:eastAsia="仿宋" w:cs="仿宋"/>
          <w:sz w:val="28"/>
          <w:szCs w:val="28"/>
          <w:lang w:eastAsia="zh-CN"/>
        </w:rPr>
        <w:t>债权人需如实填写债权申报登记表，盖章签署；</w:t>
      </w:r>
      <w:r>
        <w:rPr>
          <w:rFonts w:hint="eastAsia" w:ascii="仿宋" w:hAnsi="仿宋" w:eastAsia="仿宋" w:cs="仿宋"/>
          <w:sz w:val="28"/>
          <w:szCs w:val="28"/>
        </w:rPr>
        <w:t>外币必须转换成人民币计值，汇率以</w:t>
      </w:r>
      <w:r>
        <w:rPr>
          <w:rFonts w:hint="eastAsia" w:ascii="仿宋" w:hAnsi="仿宋" w:eastAsia="仿宋" w:cs="仿宋"/>
          <w:sz w:val="28"/>
          <w:szCs w:val="28"/>
          <w:lang w:eastAsia="zh-CN"/>
        </w:rPr>
        <w:t>2025年6月25日</w:t>
      </w:r>
      <w:r>
        <w:rPr>
          <w:rFonts w:hint="eastAsia" w:ascii="仿宋" w:hAnsi="仿宋" w:eastAsia="仿宋" w:cs="仿宋"/>
          <w:sz w:val="28"/>
          <w:szCs w:val="28"/>
        </w:rPr>
        <w:t>人民银行公布的市场交易中间价为准（并提交银行出具的汇率证明）； </w:t>
      </w:r>
    </w:p>
    <w:p w14:paraId="6D2EFA83">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2. 利息债权：暂计至强制清算受理日</w:t>
      </w:r>
      <w:r>
        <w:rPr>
          <w:rFonts w:hint="eastAsia" w:ascii="仿宋" w:hAnsi="仿宋" w:eastAsia="仿宋" w:cs="仿宋"/>
          <w:sz w:val="28"/>
          <w:szCs w:val="28"/>
          <w:lang w:eastAsia="zh-CN"/>
        </w:rPr>
        <w:t>2025年6月25日</w:t>
      </w:r>
      <w:r>
        <w:rPr>
          <w:rFonts w:hint="eastAsia" w:ascii="仿宋" w:hAnsi="仿宋" w:eastAsia="仿宋" w:cs="仿宋"/>
          <w:sz w:val="28"/>
          <w:szCs w:val="28"/>
        </w:rPr>
        <w:t>止（</w:t>
      </w:r>
      <w:r>
        <w:rPr>
          <w:rFonts w:hint="eastAsia" w:ascii="仿宋" w:hAnsi="仿宋" w:eastAsia="仿宋" w:cs="仿宋"/>
          <w:b/>
          <w:bCs/>
          <w:sz w:val="28"/>
          <w:szCs w:val="28"/>
        </w:rPr>
        <w:t>不含当天</w:t>
      </w:r>
      <w:r>
        <w:rPr>
          <w:rFonts w:hint="eastAsia" w:ascii="仿宋" w:hAnsi="仿宋" w:eastAsia="仿宋" w:cs="仿宋"/>
          <w:sz w:val="28"/>
          <w:szCs w:val="28"/>
        </w:rPr>
        <w:t>），且应当附利息计算明细表。 </w:t>
      </w:r>
    </w:p>
    <w:p w14:paraId="0A8CB859">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3. 基本事项：简要陈述该债权的形成经过，另外对已开票金额和应开票金额填写清楚；若涉及合同关系则该合同是否已经履行完毕要填写清楚。 </w:t>
      </w:r>
    </w:p>
    <w:p w14:paraId="139A4714">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四、现场申报的，申报人应当严格遵守申报秩序，服从清算组工作人员的安排，有序申报，</w:t>
      </w:r>
      <w:r>
        <w:rPr>
          <w:rFonts w:hint="eastAsia" w:ascii="仿宋" w:hAnsi="仿宋" w:eastAsia="仿宋" w:cs="仿宋"/>
          <w:b/>
          <w:bCs/>
          <w:sz w:val="28"/>
          <w:szCs w:val="28"/>
        </w:rPr>
        <w:t>并务必携带债权申报证据原件以便与清算组核对</w:t>
      </w:r>
      <w:r>
        <w:rPr>
          <w:rFonts w:hint="eastAsia" w:ascii="仿宋" w:hAnsi="仿宋" w:eastAsia="仿宋" w:cs="仿宋"/>
          <w:sz w:val="28"/>
          <w:szCs w:val="28"/>
        </w:rPr>
        <w:t>。 </w:t>
      </w:r>
    </w:p>
    <w:p w14:paraId="0FEC0E9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选择邮递的，则</w:t>
      </w:r>
      <w:r>
        <w:rPr>
          <w:rFonts w:hint="eastAsia" w:ascii="仿宋" w:hAnsi="仿宋" w:eastAsia="仿宋" w:cs="仿宋"/>
          <w:b/>
          <w:bCs/>
          <w:sz w:val="28"/>
          <w:szCs w:val="28"/>
        </w:rPr>
        <w:t>请邮递至“广东省东莞市南城街道碧桂园湾区国际1</w:t>
      </w:r>
      <w:r>
        <w:rPr>
          <w:rFonts w:hint="eastAsia" w:ascii="仿宋" w:hAnsi="仿宋" w:eastAsia="仿宋" w:cs="仿宋"/>
          <w:b/>
          <w:bCs/>
          <w:sz w:val="28"/>
          <w:szCs w:val="28"/>
          <w:lang w:eastAsia="zh-CN"/>
        </w:rPr>
        <w:t>号楼</w:t>
      </w:r>
      <w:r>
        <w:rPr>
          <w:rFonts w:hint="eastAsia" w:ascii="仿宋" w:hAnsi="仿宋" w:eastAsia="仿宋" w:cs="仿宋"/>
          <w:b/>
          <w:bCs/>
          <w:sz w:val="28"/>
          <w:szCs w:val="28"/>
        </w:rPr>
        <w:t>2</w:t>
      </w:r>
      <w:r>
        <w:rPr>
          <w:rFonts w:hint="eastAsia" w:ascii="仿宋" w:hAnsi="仿宋" w:eastAsia="仿宋" w:cs="仿宋"/>
          <w:b/>
          <w:bCs/>
          <w:sz w:val="28"/>
          <w:szCs w:val="28"/>
          <w:lang w:eastAsia="zh-CN"/>
        </w:rPr>
        <w:t>层</w:t>
      </w:r>
      <w:r>
        <w:rPr>
          <w:rFonts w:hint="eastAsia" w:ascii="仿宋" w:hAnsi="仿宋" w:eastAsia="仿宋" w:cs="仿宋"/>
          <w:b/>
          <w:bCs/>
          <w:sz w:val="28"/>
          <w:szCs w:val="28"/>
        </w:rPr>
        <w:t xml:space="preserve"> 广东尚宽律师事务所”，邮编：523000，收件人：</w:t>
      </w:r>
      <w:r>
        <w:rPr>
          <w:rFonts w:hint="eastAsia" w:ascii="仿宋" w:hAnsi="仿宋" w:eastAsia="仿宋" w:cs="仿宋"/>
          <w:b/>
          <w:bCs/>
          <w:sz w:val="28"/>
          <w:szCs w:val="28"/>
          <w:lang w:val="en-US" w:eastAsia="zh-CN"/>
        </w:rPr>
        <w:t>王淑芬，13794930551</w:t>
      </w:r>
      <w:r>
        <w:rPr>
          <w:rFonts w:hint="eastAsia" w:ascii="仿宋" w:hAnsi="仿宋" w:eastAsia="仿宋" w:cs="仿宋"/>
          <w:b/>
          <w:bCs/>
          <w:sz w:val="28"/>
          <w:szCs w:val="28"/>
        </w:rPr>
        <w:t>，请在邮递单注明“</w:t>
      </w:r>
      <w:r>
        <w:rPr>
          <w:rFonts w:hint="eastAsia" w:ascii="仿宋" w:hAnsi="仿宋" w:eastAsia="仿宋" w:cs="仿宋"/>
          <w:b/>
          <w:bCs/>
          <w:sz w:val="28"/>
          <w:szCs w:val="28"/>
          <w:lang w:eastAsia="zh-CN"/>
        </w:rPr>
        <w:t>华育教育信息产业有限责任公司</w:t>
      </w:r>
      <w:r>
        <w:rPr>
          <w:rFonts w:hint="eastAsia" w:ascii="仿宋" w:hAnsi="仿宋" w:eastAsia="仿宋" w:cs="仿宋"/>
          <w:b/>
          <w:bCs/>
          <w:sz w:val="28"/>
          <w:szCs w:val="28"/>
        </w:rPr>
        <w:t>债权申报”字样，</w:t>
      </w:r>
      <w:r>
        <w:rPr>
          <w:rFonts w:hint="eastAsia" w:ascii="仿宋" w:hAnsi="仿宋" w:eastAsia="仿宋" w:cs="仿宋"/>
          <w:sz w:val="28"/>
          <w:szCs w:val="28"/>
        </w:rPr>
        <w:t>并保留邮件寄送底单。清算组将在收到申报材料之后确定时间核对证据原件。未能在清算组确定的时间内提供证据原件的，所申报的债权清算组不予确认。</w:t>
      </w:r>
    </w:p>
    <w:p w14:paraId="6CF5C244">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     </w:t>
      </w:r>
    </w:p>
    <w:p w14:paraId="36371EE3">
      <w:pPr>
        <w:spacing w:line="500" w:lineRule="exact"/>
        <w:jc w:val="right"/>
        <w:rPr>
          <w:rFonts w:ascii="仿宋" w:hAnsi="仿宋" w:eastAsia="仿宋" w:cs="仿宋"/>
          <w:sz w:val="28"/>
          <w:szCs w:val="28"/>
        </w:rPr>
      </w:pPr>
      <w:r>
        <w:rPr>
          <w:rFonts w:hint="eastAsia" w:ascii="仿宋" w:hAnsi="仿宋" w:eastAsia="仿宋" w:cs="仿宋"/>
          <w:sz w:val="28"/>
          <w:szCs w:val="28"/>
          <w:lang w:eastAsia="zh-CN"/>
        </w:rPr>
        <w:t>华育教育信息产业有限责任公司</w:t>
      </w:r>
      <w:r>
        <w:rPr>
          <w:rFonts w:hint="eastAsia" w:ascii="仿宋" w:hAnsi="仿宋" w:eastAsia="仿宋" w:cs="仿宋"/>
          <w:sz w:val="28"/>
          <w:szCs w:val="28"/>
        </w:rPr>
        <w:t>清算组</w:t>
      </w:r>
    </w:p>
    <w:p w14:paraId="2E4B1D31">
      <w:pPr>
        <w:spacing w:line="500" w:lineRule="exact"/>
        <w:jc w:val="right"/>
        <w:rPr>
          <w:sz w:val="28"/>
          <w:szCs w:val="28"/>
        </w:rPr>
      </w:pPr>
      <w:r>
        <w:rPr>
          <w:rFonts w:hint="eastAsia" w:ascii="仿宋" w:hAnsi="仿宋" w:eastAsia="仿宋" w:cs="仿宋"/>
          <w:sz w:val="28"/>
          <w:szCs w:val="28"/>
        </w:rPr>
        <w:t xml:space="preserve">                        二〇二</w:t>
      </w:r>
      <w:r>
        <w:rPr>
          <w:rFonts w:hint="eastAsia" w:ascii="仿宋" w:hAnsi="仿宋" w:eastAsia="仿宋" w:cs="仿宋"/>
          <w:sz w:val="28"/>
          <w:szCs w:val="28"/>
          <w:lang w:val="en-US" w:eastAsia="zh-CN"/>
        </w:rPr>
        <w:t>五</w:t>
      </w:r>
      <w:r>
        <w:rPr>
          <w:rFonts w:hint="eastAsia" w:ascii="仿宋" w:hAnsi="仿宋" w:eastAsia="仿宋" w:cs="仿宋"/>
          <w:sz w:val="28"/>
          <w:szCs w:val="28"/>
        </w:rPr>
        <w:t>年</w:t>
      </w:r>
      <w:r>
        <w:rPr>
          <w:rFonts w:hint="eastAsia" w:ascii="仿宋" w:hAnsi="仿宋" w:eastAsia="仿宋" w:cs="仿宋"/>
          <w:sz w:val="28"/>
          <w:szCs w:val="28"/>
          <w:lang w:val="en-US" w:eastAsia="zh-CN"/>
        </w:rPr>
        <w:t>七</w:t>
      </w:r>
      <w:r>
        <w:rPr>
          <w:rFonts w:hint="eastAsia" w:ascii="仿宋" w:hAnsi="仿宋" w:eastAsia="仿宋" w:cs="仿宋"/>
          <w:sz w:val="28"/>
          <w:szCs w:val="28"/>
        </w:rPr>
        <w:t>月</w:t>
      </w:r>
      <w:r>
        <w:rPr>
          <w:rFonts w:hint="eastAsia" w:ascii="仿宋" w:hAnsi="仿宋" w:eastAsia="仿宋" w:cs="仿宋"/>
          <w:sz w:val="28"/>
          <w:szCs w:val="28"/>
          <w:lang w:val="en-US" w:eastAsia="zh-CN"/>
        </w:rPr>
        <w:t>七</w:t>
      </w:r>
      <w:r>
        <w:rPr>
          <w:rFonts w:hint="eastAsia" w:ascii="仿宋" w:hAnsi="仿宋" w:eastAsia="仿宋" w:cs="仿宋"/>
          <w:sz w:val="28"/>
          <w:szCs w:val="28"/>
        </w:rPr>
        <w:t>日</w:t>
      </w:r>
    </w:p>
    <w:p w14:paraId="48ECB4CA">
      <w:pPr>
        <w:snapToGrid w:val="0"/>
        <w:spacing w:line="520" w:lineRule="exact"/>
        <w:ind w:firstLine="136"/>
        <w:jc w:val="right"/>
        <w:rPr>
          <w:rFonts w:ascii="仿宋" w:hAnsi="仿宋" w:eastAsia="仿宋" w:cs="仿宋"/>
          <w:color w:val="auto"/>
          <w:sz w:val="28"/>
          <w:szCs w:val="28"/>
          <w:highlight w:val="none"/>
        </w:rPr>
      </w:pPr>
    </w:p>
    <w:sectPr>
      <w:headerReference r:id="rId3" w:type="default"/>
      <w:footerReference r:id="rId4" w:type="default"/>
      <w:pgSz w:w="11906" w:h="16838"/>
      <w:pgMar w:top="1440" w:right="1800" w:bottom="1440" w:left="1800" w:header="851"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0049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340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3405" cy="147955"/>
                      </a:xfrm>
                      <a:prstGeom prst="rect">
                        <a:avLst/>
                      </a:prstGeom>
                      <a:noFill/>
                      <a:ln w="15875">
                        <a:noFill/>
                      </a:ln>
                    </wps:spPr>
                    <wps:txbx>
                      <w:txbxContent>
                        <w:p w14:paraId="0852D16E">
                          <w:pPr>
                            <w:pStyle w:val="2"/>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w:t>
                          </w:r>
                          <w:r>
                            <w:fldChar w:fldCharType="end"/>
                          </w:r>
                          <w:r>
                            <w:rPr>
                              <w:rFonts w:hint="eastAsia"/>
                            </w:rPr>
                            <w:t>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15pt;mso-position-horizontal:center;mso-position-horizontal-relative:margin;mso-wrap-style:none;z-index:251659264;mso-width-relative:page;mso-height-relative:page;" filled="f" stroked="f" coordsize="21600,21600" o:gfxdata="UEsDBAoAAAAAAIdO4kAAAAAAAAAAAAAAAAAEAAAAZHJzL1BLAwQUAAAACACHTuJAoFdtuNUAAAAD&#10;AQAADwAAAGRycy9kb3ducmV2LnhtbE2PQUsDMRCF70L/Q5iCl2KTdkXadbMFhd4s2Cp4nW7G3a2b&#10;yZKk29Zfb/RSLwOP93jvm2J1tp0YyIfWsYbZVIEgrpxpudbw/ra+W4AIEdlg55g0XCjAqhzdFJgb&#10;d+ItDbtYi1TCIUcNTYx9LmWoGrIYpq4nTt6n8xZjkr6WxuMpldtOzpV6kBZbTgsN9vTcUPW1O1oN&#10;Hy/fRNvF02Qy3B8OXq2Xr5XcaH07nqlHEJHO8RqGX/yEDmVi2rsjmyA6DemR+HeTt1QZiL2GeZaB&#10;LAv5n738AVBLAwQUAAAACACHTuJAQClUrdABAACVAwAADgAAAGRycy9lMm9Eb2MueG1srVNLbtsw&#10;EN0XyB0I7mPJaVSnguWggZGgQNEWSHsAmiItAvyBQ1vyBdobdNVN9z2Xz9EhJTtFusmiG2o4M3wz&#10;781oeTsYTfYigHK2ofNZSYmw3LXKbhv69cv95Q0lEJltmXZWNPQggN6uLl4te1+LK9c53YpAEMRC&#10;3fuGdjH6uiiAd8IwmDkvLAalC4ZFvIZt0QbWI7rRxVVZvil6F1ofHBcA6F2PQTohhpcAOikVF2vH&#10;d0bYOKIGoVlEStApD3SVu5VS8PhJShCR6IYi05hPLIL2Jp3FasnqbWC+U3xqgb2khWecDFMWi56h&#10;1iwysgvqHyijeHDgZJxxZ4qRSFYEWczLZ9o8dsyLzAWlBn8WHf4fLP+4/xyIanETKLHM4MCPP74f&#10;f/4+/vpG5kme3kONWY8e8+Jw54aUOvkBnYn1IINJX+RDMI7iHs7iiiESjs5q8fq6rCjhGJpfL95W&#10;VUIpnh77APFBOEOS0dCAs8uSsv0HiGPqKSXVsu5eaY1+VmtLegStbhZVfnEOIbq2WCRxGHtNVhw2&#10;w0Rg49oD8upxARpqcd8p0e8t6pt25WSEk7GZjFQT/LtdxBZyZwl1hJqK4bQyt2mz0jr8fc9ZT3/T&#10;6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gV2241QAAAAMBAAAPAAAAAAAAAAEAIAAAACIAAABk&#10;cnMvZG93bnJldi54bWxQSwECFAAUAAAACACHTuJAQClUrdABAACVAwAADgAAAAAAAAABACAAAAAk&#10;AQAAZHJzL2Uyb0RvYy54bWxQSwUGAAAAAAYABgBZAQAAZgUAAAAA&#10;">
              <v:fill on="f" focussize="0,0"/>
              <v:stroke on="f" weight="1.25pt"/>
              <v:imagedata o:title=""/>
              <o:lock v:ext="edit" aspectratio="f"/>
              <v:textbox inset="0mm,0mm,0mm,0mm" style="mso-fit-shape-to-text:t;">
                <w:txbxContent>
                  <w:p w14:paraId="0852D16E">
                    <w:pPr>
                      <w:pStyle w:val="2"/>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w:t>
                    </w:r>
                    <w:r>
                      <w:fldChar w:fldCharType="end"/>
                    </w:r>
                    <w:r>
                      <w:rPr>
                        <w:rFonts w:hint="eastAsia"/>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9976B">
    <w:pPr>
      <w:pStyle w:val="3"/>
      <w:tabs>
        <w:tab w:val="left" w:pos="7146"/>
        <w:tab w:val="clear" w:pos="4153"/>
      </w:tabs>
      <w:rPr>
        <w:rFonts w:ascii="仿宋_GB2312" w:eastAsia="仿宋_GB2312"/>
        <w:color w:val="FF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M4OTMzMTllMDc0YjQxOWNjNWQ5ZTIwOWU2ZjgyNTUifQ=="/>
    <w:docVar w:name="KSO_WPS_MARK_KEY" w:val="b52dcd75-25d0-4b48-bd59-e379a58a75b4"/>
  </w:docVars>
  <w:rsids>
    <w:rsidRoot w:val="59945729"/>
    <w:rsid w:val="00004C5C"/>
    <w:rsid w:val="0003452F"/>
    <w:rsid w:val="000E30C6"/>
    <w:rsid w:val="00117245"/>
    <w:rsid w:val="0019506F"/>
    <w:rsid w:val="001A59C9"/>
    <w:rsid w:val="001E298C"/>
    <w:rsid w:val="002774E9"/>
    <w:rsid w:val="0028223F"/>
    <w:rsid w:val="002D0FA8"/>
    <w:rsid w:val="002E1C3A"/>
    <w:rsid w:val="003229AF"/>
    <w:rsid w:val="00391EAA"/>
    <w:rsid w:val="003A48B8"/>
    <w:rsid w:val="003C295A"/>
    <w:rsid w:val="004466A8"/>
    <w:rsid w:val="004A1B55"/>
    <w:rsid w:val="004A2768"/>
    <w:rsid w:val="004F2A7C"/>
    <w:rsid w:val="00503DBC"/>
    <w:rsid w:val="005127FE"/>
    <w:rsid w:val="00567A93"/>
    <w:rsid w:val="00585466"/>
    <w:rsid w:val="005B631F"/>
    <w:rsid w:val="005E387C"/>
    <w:rsid w:val="005F63E5"/>
    <w:rsid w:val="0062179D"/>
    <w:rsid w:val="00623C1F"/>
    <w:rsid w:val="006405E5"/>
    <w:rsid w:val="006A2445"/>
    <w:rsid w:val="006A72CE"/>
    <w:rsid w:val="006C080D"/>
    <w:rsid w:val="006D2098"/>
    <w:rsid w:val="006F0F08"/>
    <w:rsid w:val="006F13F9"/>
    <w:rsid w:val="00711E0E"/>
    <w:rsid w:val="00716B11"/>
    <w:rsid w:val="007205F6"/>
    <w:rsid w:val="00771837"/>
    <w:rsid w:val="007E75C7"/>
    <w:rsid w:val="00825413"/>
    <w:rsid w:val="0085055D"/>
    <w:rsid w:val="00873915"/>
    <w:rsid w:val="008A6610"/>
    <w:rsid w:val="008D1683"/>
    <w:rsid w:val="008E65F5"/>
    <w:rsid w:val="00946233"/>
    <w:rsid w:val="00951AE2"/>
    <w:rsid w:val="00971630"/>
    <w:rsid w:val="00982025"/>
    <w:rsid w:val="009B4C8A"/>
    <w:rsid w:val="009C7675"/>
    <w:rsid w:val="009D67F1"/>
    <w:rsid w:val="009E1C02"/>
    <w:rsid w:val="00A07DA3"/>
    <w:rsid w:val="00A21DC2"/>
    <w:rsid w:val="00A72961"/>
    <w:rsid w:val="00A82866"/>
    <w:rsid w:val="00AC04E7"/>
    <w:rsid w:val="00AE2AF8"/>
    <w:rsid w:val="00B2591D"/>
    <w:rsid w:val="00B35417"/>
    <w:rsid w:val="00B6280B"/>
    <w:rsid w:val="00B721BE"/>
    <w:rsid w:val="00B83D83"/>
    <w:rsid w:val="00BC3962"/>
    <w:rsid w:val="00BD6FE9"/>
    <w:rsid w:val="00C4538A"/>
    <w:rsid w:val="00C63D49"/>
    <w:rsid w:val="00C87F59"/>
    <w:rsid w:val="00CC79E6"/>
    <w:rsid w:val="00CD38EE"/>
    <w:rsid w:val="00D32FDA"/>
    <w:rsid w:val="00D37222"/>
    <w:rsid w:val="00D60841"/>
    <w:rsid w:val="00D71494"/>
    <w:rsid w:val="00D827F3"/>
    <w:rsid w:val="00D9158F"/>
    <w:rsid w:val="00DD2478"/>
    <w:rsid w:val="00DF6272"/>
    <w:rsid w:val="00DF754B"/>
    <w:rsid w:val="00DF7EB1"/>
    <w:rsid w:val="00E04E5F"/>
    <w:rsid w:val="00E13035"/>
    <w:rsid w:val="00E404ED"/>
    <w:rsid w:val="00E41AAC"/>
    <w:rsid w:val="00E47AA2"/>
    <w:rsid w:val="00E6565D"/>
    <w:rsid w:val="00EC008B"/>
    <w:rsid w:val="00F04100"/>
    <w:rsid w:val="00F2251F"/>
    <w:rsid w:val="00F24223"/>
    <w:rsid w:val="00F327C0"/>
    <w:rsid w:val="00F57539"/>
    <w:rsid w:val="00F64C46"/>
    <w:rsid w:val="00FE0220"/>
    <w:rsid w:val="00FF0A15"/>
    <w:rsid w:val="081E3DCC"/>
    <w:rsid w:val="092360AA"/>
    <w:rsid w:val="0B15417A"/>
    <w:rsid w:val="0C4069F2"/>
    <w:rsid w:val="0EFF3A15"/>
    <w:rsid w:val="116B6D21"/>
    <w:rsid w:val="12B66C9E"/>
    <w:rsid w:val="12E05162"/>
    <w:rsid w:val="13866B14"/>
    <w:rsid w:val="141704F9"/>
    <w:rsid w:val="15DF37F5"/>
    <w:rsid w:val="16AE74C9"/>
    <w:rsid w:val="181801A5"/>
    <w:rsid w:val="200E0AD8"/>
    <w:rsid w:val="20FD3A66"/>
    <w:rsid w:val="22CE3995"/>
    <w:rsid w:val="24D530D2"/>
    <w:rsid w:val="28E60D8A"/>
    <w:rsid w:val="296A3769"/>
    <w:rsid w:val="2C483DF3"/>
    <w:rsid w:val="2F043419"/>
    <w:rsid w:val="348320EA"/>
    <w:rsid w:val="351D0201"/>
    <w:rsid w:val="372A7A17"/>
    <w:rsid w:val="3AA07880"/>
    <w:rsid w:val="3D3909D7"/>
    <w:rsid w:val="44311971"/>
    <w:rsid w:val="4989333F"/>
    <w:rsid w:val="4BDE4313"/>
    <w:rsid w:val="4C225F6E"/>
    <w:rsid w:val="4C5A126E"/>
    <w:rsid w:val="4F4C46BC"/>
    <w:rsid w:val="4F9B422C"/>
    <w:rsid w:val="52F7544B"/>
    <w:rsid w:val="53CE4114"/>
    <w:rsid w:val="567710EF"/>
    <w:rsid w:val="589A4DCB"/>
    <w:rsid w:val="58A5032A"/>
    <w:rsid w:val="59945729"/>
    <w:rsid w:val="5DE51216"/>
    <w:rsid w:val="613C31E6"/>
    <w:rsid w:val="643249D4"/>
    <w:rsid w:val="65995F15"/>
    <w:rsid w:val="68AA350B"/>
    <w:rsid w:val="68E077E4"/>
    <w:rsid w:val="6BB04BB5"/>
    <w:rsid w:val="6D013E73"/>
    <w:rsid w:val="6EC84956"/>
    <w:rsid w:val="6FA31901"/>
    <w:rsid w:val="70924CCF"/>
    <w:rsid w:val="71673F69"/>
    <w:rsid w:val="76435600"/>
    <w:rsid w:val="79CA0967"/>
    <w:rsid w:val="7A8D56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paragraph" w:customStyle="1" w:styleId="8">
    <w:name w:val="列出段落1"/>
    <w:basedOn w:val="1"/>
    <w:qFormat/>
    <w:uiPriority w:val="0"/>
    <w:pPr>
      <w:ind w:firstLine="420" w:firstLineChars="200"/>
    </w:pPr>
    <w:rPr>
      <w:rFonts w:cs="黑体"/>
      <w:szCs w:val="22"/>
    </w:rPr>
  </w:style>
  <w:style w:type="paragraph" w:customStyle="1" w:styleId="9">
    <w:name w:val="彩色列表 - 强调文字颜色 11"/>
    <w:basedOn w:val="1"/>
    <w:qFormat/>
    <w:uiPriority w:val="34"/>
    <w:pPr>
      <w:ind w:firstLine="420" w:firstLineChars="200"/>
    </w:pPr>
    <w:rPr>
      <w:rFonts w:ascii="Cambria" w:hAnsi="Cambr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3622</Words>
  <Characters>3822</Characters>
  <Lines>27</Lines>
  <Paragraphs>7</Paragraphs>
  <TotalTime>11</TotalTime>
  <ScaleCrop>false</ScaleCrop>
  <LinksUpToDate>false</LinksUpToDate>
  <CharactersWithSpaces>3864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2021-06-24T08:11:00Z</dcterms:created>
  <dc:creator>Jessie</dc:creator>
  <cp:lastModifiedBy>芬。</cp:lastModifiedBy>
  <cp:lastPrinted>2021-06-22T06:00:00Z</cp:lastPrinted>
  <dcterms:modified xsi:type="dcterms:W3CDTF">2025-07-07T07:17:49Z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D808212C942B425F9E66C9FBE65568E8</vt:lpwstr>
  </property>
  <property fmtid="{D5CDD505-2E9C-101B-9397-08002B2CF9AE}" pid="4" name="KSOTemplateDocerSaveRecord">
    <vt:lpwstr>eyJoZGlkIjoiZDU4NTNkM2NmN2M3ZjZhYmJhMzJkMDk1OGY3MDU4YjQiLCJ1c2VySWQiOiIyMTQ0NjYxMTMifQ==</vt:lpwstr>
  </property>
</Properties>
</file>