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D60" w:rsidRPr="00E42424" w:rsidRDefault="00E42424">
      <w:pPr>
        <w:spacing w:line="360" w:lineRule="auto"/>
        <w:ind w:firstLineChars="0" w:firstLine="0"/>
        <w:jc w:val="distribute"/>
        <w:rPr>
          <w:rFonts w:ascii="KaiTi_GB2312" w:eastAsia="KaiTi_GB2312" w:hAnsi="KaiTi_GB2312" w:cs="KaiTi_GB2312"/>
          <w:b/>
          <w:bCs/>
          <w:color w:val="FF0000"/>
          <w:sz w:val="44"/>
          <w:szCs w:val="44"/>
          <w:u w:val="thick"/>
        </w:rPr>
      </w:pPr>
      <w:r w:rsidRPr="00E42424">
        <w:rPr>
          <w:rFonts w:ascii="KaiTi_GB2312" w:eastAsia="KaiTi_GB2312" w:hAnsi="KaiTi_GB2312" w:cs="KaiTi_GB2312" w:hint="eastAsia"/>
          <w:b/>
          <w:bCs/>
          <w:color w:val="FF0000"/>
          <w:sz w:val="44"/>
          <w:szCs w:val="44"/>
          <w:u w:val="single"/>
        </w:rPr>
        <w:t>北京华文汉唐传媒有限公司</w:t>
      </w:r>
      <w:r w:rsidRPr="00E42424">
        <w:rPr>
          <w:rFonts w:ascii="KaiTi_GB2312" w:eastAsia="KaiTi_GB2312" w:hAnsi="KaiTi_GB2312" w:cs="KaiTi_GB2312" w:hint="eastAsia"/>
          <w:b/>
          <w:bCs/>
          <w:color w:val="FF0000"/>
          <w:sz w:val="44"/>
          <w:szCs w:val="44"/>
          <w:u w:val="single"/>
        </w:rPr>
        <w:t>管理人</w:t>
      </w:r>
      <w:r w:rsidR="00000000" w:rsidRPr="00E42424">
        <w:rPr>
          <w:rFonts w:ascii="KaiTi_GB2312" w:eastAsia="KaiTi_GB2312" w:hAnsi="KaiTi_GB2312" w:cs="KaiTi_GB2312" w:hint="eastAsia"/>
          <w:b/>
          <w:bCs/>
          <w:color w:val="FF0000"/>
          <w:sz w:val="44"/>
          <w:szCs w:val="44"/>
          <w:u w:val="single"/>
        </w:rPr>
        <w:t>文</w:t>
      </w:r>
      <w:r w:rsidR="00F225AB" w:rsidRPr="00F225AB">
        <w:rPr>
          <w:rFonts w:ascii="KaiTi_GB2312" w:eastAsia="KaiTi_GB2312" w:hAnsi="KaiTi_GB2312" w:cs="KaiTi_GB2312" w:hint="eastAsia"/>
          <w:b/>
          <w:bCs/>
          <w:color w:val="FF0000"/>
          <w:sz w:val="44"/>
          <w:szCs w:val="44"/>
          <w:u w:val="single"/>
        </w:rPr>
        <w:t>件</w:t>
      </w:r>
    </w:p>
    <w:p w:rsidR="00C31D60" w:rsidRDefault="00C31D60">
      <w:pPr>
        <w:spacing w:line="360" w:lineRule="auto"/>
        <w:ind w:firstLineChars="0" w:firstLine="0"/>
        <w:rPr>
          <w:rFonts w:ascii="KaiTi_GB2312" w:eastAsia="KaiTi_GB2312" w:hAnsi="KaiTi_GB2312" w:cs="KaiTi_GB2312"/>
        </w:rPr>
      </w:pPr>
    </w:p>
    <w:p w:rsidR="00C31D60" w:rsidRDefault="00000000">
      <w:pPr>
        <w:spacing w:line="360" w:lineRule="auto"/>
        <w:ind w:firstLineChars="0" w:firstLine="0"/>
        <w:jc w:val="center"/>
        <w:rPr>
          <w:rFonts w:ascii="KaiTi_GB2312" w:eastAsia="KaiTi_GB2312" w:hAnsi="KaiTi_GB2312" w:cs="KaiTi_GB2312"/>
          <w:b/>
          <w:bCs/>
          <w:sz w:val="32"/>
          <w:szCs w:val="32"/>
        </w:rPr>
      </w:pPr>
      <w:r>
        <w:rPr>
          <w:rFonts w:ascii="KaiTi_GB2312" w:eastAsia="KaiTi_GB2312" w:hAnsi="KaiTi_GB2312" w:cs="KaiTi_GB2312" w:hint="eastAsia"/>
          <w:b/>
          <w:bCs/>
          <w:sz w:val="32"/>
          <w:szCs w:val="32"/>
        </w:rPr>
        <w:t>关于移交公司材料的公告</w:t>
      </w:r>
    </w:p>
    <w:p w:rsidR="00C31D60" w:rsidRDefault="00C31D60">
      <w:pPr>
        <w:spacing w:line="360" w:lineRule="auto"/>
        <w:ind w:firstLineChars="0" w:firstLine="0"/>
        <w:rPr>
          <w:rFonts w:ascii="KaiTi_GB2312" w:eastAsia="KaiTi_GB2312" w:hAnsi="KaiTi_GB2312" w:cs="KaiTi_GB2312"/>
        </w:rPr>
      </w:pP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hint="eastAsia"/>
        </w:rPr>
        <w:t>北京市第一中级人民法院（以下简称“</w:t>
      </w:r>
      <w:r>
        <w:rPr>
          <w:rFonts w:ascii="KaiTi_GB2312" w:eastAsia="KaiTi_GB2312" w:hAnsi="KaiTi_GB2312" w:cs="KaiTi_GB2312" w:hint="eastAsia"/>
          <w:b/>
          <w:bCs/>
        </w:rPr>
        <w:t>北京一中院</w:t>
      </w:r>
      <w:r>
        <w:rPr>
          <w:rFonts w:ascii="KaiTi_GB2312" w:eastAsia="KaiTi_GB2312" w:hAnsi="KaiTi_GB2312" w:cs="KaiTi_GB2312" w:hint="eastAsia"/>
        </w:rPr>
        <w:t>”）于2025年</w:t>
      </w:r>
      <w:r w:rsidR="00E42424">
        <w:rPr>
          <w:rFonts w:ascii="KaiTi_GB2312" w:eastAsia="KaiTi_GB2312" w:hAnsi="KaiTi_GB2312" w:cs="KaiTi_GB2312" w:hint="eastAsia"/>
        </w:rPr>
        <w:t>6</w:t>
      </w:r>
      <w:r>
        <w:rPr>
          <w:rFonts w:ascii="KaiTi_GB2312" w:eastAsia="KaiTi_GB2312" w:hAnsi="KaiTi_GB2312" w:cs="KaiTi_GB2312" w:hint="eastAsia"/>
        </w:rPr>
        <w:t>月2</w:t>
      </w:r>
      <w:r w:rsidR="00E42424">
        <w:rPr>
          <w:rFonts w:ascii="KaiTi_GB2312" w:eastAsia="KaiTi_GB2312" w:hAnsi="KaiTi_GB2312" w:cs="KaiTi_GB2312" w:hint="eastAsia"/>
        </w:rPr>
        <w:t>7</w:t>
      </w:r>
      <w:r>
        <w:rPr>
          <w:rFonts w:ascii="KaiTi_GB2312" w:eastAsia="KaiTi_GB2312" w:hAnsi="KaiTi_GB2312" w:cs="KaiTi_GB2312" w:hint="eastAsia"/>
        </w:rPr>
        <w:t>日作出（2025）京01</w:t>
      </w:r>
      <w:r w:rsidR="00AB644F">
        <w:rPr>
          <w:rFonts w:ascii="KaiTi_GB2312" w:eastAsia="KaiTi_GB2312" w:hAnsi="KaiTi_GB2312" w:cs="KaiTi_GB2312" w:hint="eastAsia"/>
        </w:rPr>
        <w:t>破</w:t>
      </w:r>
      <w:r>
        <w:rPr>
          <w:rFonts w:ascii="KaiTi_GB2312" w:eastAsia="KaiTi_GB2312" w:hAnsi="KaiTi_GB2312" w:cs="KaiTi_GB2312" w:hint="eastAsia"/>
        </w:rPr>
        <w:t>申</w:t>
      </w:r>
      <w:r w:rsidR="00E42424">
        <w:rPr>
          <w:rFonts w:ascii="KaiTi_GB2312" w:eastAsia="KaiTi_GB2312" w:hAnsi="KaiTi_GB2312" w:cs="KaiTi_GB2312" w:hint="eastAsia"/>
        </w:rPr>
        <w:t>443</w:t>
      </w:r>
      <w:r>
        <w:rPr>
          <w:rFonts w:ascii="KaiTi_GB2312" w:eastAsia="KaiTi_GB2312" w:hAnsi="KaiTi_GB2312" w:cs="KaiTi_GB2312" w:hint="eastAsia"/>
        </w:rPr>
        <w:t>号民事裁定书，裁定受理</w:t>
      </w:r>
      <w:r w:rsidR="00E42424" w:rsidRPr="00E42424">
        <w:rPr>
          <w:rFonts w:ascii="KaiTi_GB2312" w:eastAsia="KaiTi_GB2312" w:hAnsi="KaiTi_GB2312" w:cs="KaiTi_GB2312" w:hint="eastAsia"/>
        </w:rPr>
        <w:t>北京东方嘉诚文化产业发展有限公司</w:t>
      </w:r>
      <w:r>
        <w:rPr>
          <w:rFonts w:ascii="KaiTi_GB2312" w:eastAsia="KaiTi_GB2312" w:hAnsi="KaiTi_GB2312" w:cs="KaiTi_GB2312" w:hint="eastAsia"/>
        </w:rPr>
        <w:t>对</w:t>
      </w:r>
      <w:bookmarkStart w:id="0" w:name="_Hlk204357136"/>
      <w:r w:rsidR="00E42424" w:rsidRPr="00E42424">
        <w:rPr>
          <w:rFonts w:ascii="KaiTi_GB2312" w:eastAsia="KaiTi_GB2312" w:hAnsi="KaiTi_GB2312" w:cs="KaiTi_GB2312" w:hint="eastAsia"/>
        </w:rPr>
        <w:t>北京华文汉唐传媒有限公司</w:t>
      </w:r>
      <w:bookmarkEnd w:id="0"/>
      <w:r>
        <w:rPr>
          <w:rFonts w:ascii="KaiTi_GB2312" w:eastAsia="KaiTi_GB2312" w:hAnsi="KaiTi_GB2312" w:cs="KaiTi_GB2312" w:hint="eastAsia"/>
        </w:rPr>
        <w:t>（以下简称“</w:t>
      </w:r>
      <w:r w:rsidR="00E42424">
        <w:rPr>
          <w:rFonts w:ascii="KaiTi_GB2312" w:eastAsia="KaiTi_GB2312" w:hAnsi="KaiTi_GB2312" w:cs="KaiTi_GB2312" w:hint="eastAsia"/>
          <w:b/>
          <w:bCs/>
        </w:rPr>
        <w:t>华文汉唐</w:t>
      </w:r>
      <w:r>
        <w:rPr>
          <w:rFonts w:ascii="KaiTi_GB2312" w:eastAsia="KaiTi_GB2312" w:hAnsi="KaiTi_GB2312" w:cs="KaiTi_GB2312" w:hint="eastAsia"/>
        </w:rPr>
        <w:t>”）的</w:t>
      </w:r>
      <w:r w:rsidR="00E42424">
        <w:rPr>
          <w:rFonts w:ascii="KaiTi_GB2312" w:eastAsia="KaiTi_GB2312" w:hAnsi="KaiTi_GB2312" w:cs="KaiTi_GB2312" w:hint="eastAsia"/>
        </w:rPr>
        <w:t>破产</w:t>
      </w:r>
      <w:r>
        <w:rPr>
          <w:rFonts w:ascii="KaiTi_GB2312" w:eastAsia="KaiTi_GB2312" w:hAnsi="KaiTi_GB2312" w:cs="KaiTi_GB2312" w:hint="eastAsia"/>
        </w:rPr>
        <w:t>清算申请，并于2025年</w:t>
      </w:r>
      <w:r w:rsidR="00E42424">
        <w:rPr>
          <w:rFonts w:ascii="KaiTi_GB2312" w:eastAsia="KaiTi_GB2312" w:hAnsi="KaiTi_GB2312" w:cs="KaiTi_GB2312" w:hint="eastAsia"/>
        </w:rPr>
        <w:t>6</w:t>
      </w:r>
      <w:r>
        <w:rPr>
          <w:rFonts w:ascii="KaiTi_GB2312" w:eastAsia="KaiTi_GB2312" w:hAnsi="KaiTi_GB2312" w:cs="KaiTi_GB2312" w:hint="eastAsia"/>
        </w:rPr>
        <w:t>月</w:t>
      </w:r>
      <w:r w:rsidR="00E42424">
        <w:rPr>
          <w:rFonts w:ascii="KaiTi_GB2312" w:eastAsia="KaiTi_GB2312" w:hAnsi="KaiTi_GB2312" w:cs="KaiTi_GB2312" w:hint="eastAsia"/>
        </w:rPr>
        <w:t>27</w:t>
      </w:r>
      <w:r>
        <w:rPr>
          <w:rFonts w:ascii="KaiTi_GB2312" w:eastAsia="KaiTi_GB2312" w:hAnsi="KaiTi_GB2312" w:cs="KaiTi_GB2312" w:hint="eastAsia"/>
        </w:rPr>
        <w:t>日作出（2025）京01</w:t>
      </w:r>
      <w:r w:rsidR="00E42424">
        <w:rPr>
          <w:rFonts w:ascii="KaiTi_GB2312" w:eastAsia="KaiTi_GB2312" w:hAnsi="KaiTi_GB2312" w:cs="KaiTi_GB2312" w:hint="eastAsia"/>
        </w:rPr>
        <w:t>破233</w:t>
      </w:r>
      <w:r>
        <w:rPr>
          <w:rFonts w:ascii="KaiTi_GB2312" w:eastAsia="KaiTi_GB2312" w:hAnsi="KaiTi_GB2312" w:cs="KaiTi_GB2312" w:hint="eastAsia"/>
        </w:rPr>
        <w:t>号决定书，指定北京市康达律师事务所担任</w:t>
      </w:r>
      <w:r w:rsidR="00E42424" w:rsidRPr="00E42424">
        <w:rPr>
          <w:rFonts w:ascii="KaiTi_GB2312" w:eastAsia="KaiTi_GB2312" w:hAnsi="KaiTi_GB2312" w:cs="KaiTi_GB2312" w:hint="eastAsia"/>
        </w:rPr>
        <w:t>北京华文汉唐传媒有限公司</w:t>
      </w:r>
      <w:r w:rsidR="00E42424">
        <w:rPr>
          <w:rFonts w:ascii="KaiTi_GB2312" w:eastAsia="KaiTi_GB2312" w:hAnsi="KaiTi_GB2312" w:cs="KaiTi_GB2312" w:hint="eastAsia"/>
        </w:rPr>
        <w:t>管理人</w:t>
      </w:r>
      <w:r>
        <w:rPr>
          <w:rFonts w:ascii="KaiTi_GB2312" w:eastAsia="KaiTi_GB2312" w:hAnsi="KaiTi_GB2312" w:cs="KaiTi_GB2312" w:hint="eastAsia"/>
        </w:rPr>
        <w:t>（以下简称“</w:t>
      </w:r>
      <w:r w:rsidR="00E42424">
        <w:rPr>
          <w:rFonts w:ascii="KaiTi_GB2312" w:eastAsia="KaiTi_GB2312" w:hAnsi="KaiTi_GB2312" w:cs="KaiTi_GB2312" w:hint="eastAsia"/>
          <w:b/>
          <w:bCs/>
        </w:rPr>
        <w:t>管理人</w:t>
      </w:r>
      <w:r>
        <w:rPr>
          <w:rFonts w:ascii="KaiTi_GB2312" w:eastAsia="KaiTi_GB2312" w:hAnsi="KaiTi_GB2312" w:cs="KaiTi_GB2312" w:hint="eastAsia"/>
        </w:rPr>
        <w:t>”）。</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hint="eastAsia"/>
        </w:rPr>
        <w:t>因</w:t>
      </w:r>
      <w:r w:rsidR="00E42424">
        <w:rPr>
          <w:rFonts w:ascii="KaiTi_GB2312" w:eastAsia="KaiTi_GB2312" w:hAnsi="KaiTi_GB2312" w:cs="KaiTi_GB2312" w:hint="eastAsia"/>
        </w:rPr>
        <w:t>管理人</w:t>
      </w:r>
      <w:r>
        <w:rPr>
          <w:rFonts w:ascii="KaiTi_GB2312" w:eastAsia="KaiTi_GB2312" w:hAnsi="KaiTi_GB2312" w:cs="KaiTi_GB2312" w:hint="eastAsia"/>
        </w:rPr>
        <w:t>未能成功与</w:t>
      </w:r>
      <w:r w:rsidR="00E42424">
        <w:rPr>
          <w:rFonts w:ascii="KaiTi_GB2312" w:eastAsia="KaiTi_GB2312" w:hAnsi="KaiTi_GB2312" w:cs="KaiTi_GB2312" w:hint="eastAsia"/>
        </w:rPr>
        <w:t>华文汉唐</w:t>
      </w:r>
      <w:r>
        <w:rPr>
          <w:rFonts w:ascii="KaiTi_GB2312" w:eastAsia="KaiTi_GB2312" w:hAnsi="KaiTi_GB2312" w:cs="KaiTi_GB2312" w:hint="eastAsia"/>
        </w:rPr>
        <w:t>及</w:t>
      </w:r>
      <w:r w:rsidR="00E42424">
        <w:rPr>
          <w:rFonts w:ascii="KaiTi_GB2312" w:eastAsia="KaiTi_GB2312" w:hAnsi="KaiTi_GB2312" w:cs="KaiTi_GB2312" w:hint="eastAsia"/>
        </w:rPr>
        <w:t>华文汉唐</w:t>
      </w:r>
      <w:r>
        <w:rPr>
          <w:rFonts w:ascii="KaiTi_GB2312" w:eastAsia="KaiTi_GB2312" w:hAnsi="KaiTi_GB2312" w:cs="KaiTi_GB2312" w:hint="eastAsia"/>
        </w:rPr>
        <w:t>的法定代表人等相关责任人员取得联系，</w:t>
      </w:r>
      <w:r w:rsidR="00E42424">
        <w:rPr>
          <w:rFonts w:ascii="KaiTi_GB2312" w:eastAsia="KaiTi_GB2312" w:hAnsi="KaiTi_GB2312" w:cs="KaiTi_GB2312" w:hint="eastAsia"/>
        </w:rPr>
        <w:t>管理人</w:t>
      </w:r>
      <w:r>
        <w:rPr>
          <w:rFonts w:ascii="KaiTi_GB2312" w:eastAsia="KaiTi_GB2312" w:hAnsi="KaiTi_GB2312" w:cs="KaiTi_GB2312" w:hint="eastAsia"/>
        </w:rPr>
        <w:t>现通过公告的方式向</w:t>
      </w:r>
      <w:r w:rsidR="00E42424">
        <w:rPr>
          <w:rFonts w:ascii="KaiTi_GB2312" w:eastAsia="KaiTi_GB2312" w:hAnsi="KaiTi_GB2312" w:cs="KaiTi_GB2312" w:hint="eastAsia"/>
        </w:rPr>
        <w:t>华文汉唐</w:t>
      </w:r>
      <w:r>
        <w:rPr>
          <w:rFonts w:ascii="KaiTi_GB2312" w:eastAsia="KaiTi_GB2312" w:hAnsi="KaiTi_GB2312" w:cs="KaiTi_GB2312" w:hint="eastAsia"/>
        </w:rPr>
        <w:t>及</w:t>
      </w:r>
      <w:r w:rsidR="00E42424">
        <w:rPr>
          <w:rFonts w:ascii="KaiTi_GB2312" w:eastAsia="KaiTi_GB2312" w:hAnsi="KaiTi_GB2312" w:cs="KaiTi_GB2312" w:hint="eastAsia"/>
        </w:rPr>
        <w:t>华文汉唐</w:t>
      </w:r>
      <w:r>
        <w:rPr>
          <w:rFonts w:ascii="KaiTi_GB2312" w:eastAsia="KaiTi_GB2312" w:hAnsi="KaiTi_GB2312" w:cs="KaiTi_GB2312" w:hint="eastAsia"/>
        </w:rPr>
        <w:t>的法定代表人、股东、董事、监事等相关责任人员告知：</w:t>
      </w:r>
    </w:p>
    <w:p w:rsidR="00C31D60" w:rsidRDefault="00C31D60">
      <w:pPr>
        <w:spacing w:line="360" w:lineRule="auto"/>
        <w:ind w:firstLine="480"/>
        <w:rPr>
          <w:rFonts w:ascii="KaiTi_GB2312" w:eastAsia="KaiTi_GB2312" w:hAnsi="KaiTi_GB2312" w:cs="KaiTi_GB2312"/>
        </w:rPr>
      </w:pP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hint="eastAsia"/>
        </w:rPr>
        <w:t>请尽快移交</w:t>
      </w:r>
      <w:r w:rsidR="00E42424">
        <w:rPr>
          <w:rFonts w:ascii="KaiTi_GB2312" w:eastAsia="KaiTi_GB2312" w:hAnsi="KaiTi_GB2312" w:cs="KaiTi_GB2312" w:hint="eastAsia"/>
        </w:rPr>
        <w:t>华文汉唐</w:t>
      </w:r>
      <w:r>
        <w:rPr>
          <w:rFonts w:ascii="KaiTi_GB2312" w:eastAsia="KaiTi_GB2312" w:hAnsi="KaiTi_GB2312" w:cs="KaiTi_GB2312" w:hint="eastAsia"/>
        </w:rPr>
        <w:t>资产及材料，包括但不限于：</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1.债务人的公章、合同专用章、财务专用章、发票专用章、法人章等印章；</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2.债务人的营业执照、开户许可证等基础证照；</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3.债务人的房屋、构筑物、土地等不动产和车辆、生产经营设备、电子设备等动产，以及软件、商标、专利、特许经营权等无形资产的财产权属证书；</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4.债务人的财务账册、会计账簿、银行存款凭证等财务资料；</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5.债务人的银行账户资料、U盾、密码器等银行账户资料；</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6.债务人的职工花名册、劳动合同、用工手续等人事档案；</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7.债务人的诉讼、仲裁案件等文书材料；</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8.债务人的银行本票、支票、股票、证券、提货单、运货单等有价证券；</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9.债务人的现金、应收账款、应收票据等货币资产；</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10.债务人的对外投资情况的资料；</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11.尚未履行完毕的合同、可撤销行为、个别清偿行为的资料；</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12.债务人的应收债务资料等；</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13.债务人认为应当提交的其他资料；</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14.债务人有分支机构的，分支机构的财产、印章和账簿、文书等资料；</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lastRenderedPageBreak/>
        <w:t>15.不属于债务人所有但由债务人占有或者管理的财产、印章和账簿、文书等资料，以及由他人占有或管理的债务人财产，管理人将一并接管；</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16.债务人财产状况说明、债务清册、债权清册、有关财务会计报告、职工安置预案以及职工工资的支付和社会保险费用的缴纳情况；</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17.债务人的其他资料。</w:t>
      </w:r>
    </w:p>
    <w:p w:rsidR="00C31D60" w:rsidRDefault="00C31D60">
      <w:pPr>
        <w:spacing w:line="360" w:lineRule="auto"/>
        <w:ind w:firstLine="480"/>
        <w:rPr>
          <w:rFonts w:ascii="KaiTi_GB2312" w:eastAsia="KaiTi_GB2312" w:hAnsi="KaiTi_GB2312" w:cs="KaiTi_GB2312"/>
        </w:rPr>
      </w:pP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就破产程序中相关人员应当承担的法律义务与责任，</w:t>
      </w:r>
      <w:r w:rsidR="00E42424">
        <w:rPr>
          <w:rFonts w:ascii="KaiTi_GB2312" w:eastAsia="KaiTi_GB2312" w:hAnsi="KaiTi_GB2312" w:cs="KaiTi_GB2312" w:hint="eastAsia"/>
        </w:rPr>
        <w:t>管理人</w:t>
      </w:r>
      <w:r>
        <w:rPr>
          <w:rFonts w:ascii="KaiTi_GB2312" w:eastAsia="KaiTi_GB2312" w:hAnsi="KaiTi_GB2312" w:cs="KaiTi_GB2312"/>
        </w:rPr>
        <w:t>做如下提示：根据《中华人民共和国企业破产法》的相关规定，相关人员应当承担的法律义务和相应法律责任如下：</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1.自人民法院受理破产申请的裁定送达债务人之日起至破产程序终结之日，债务人的有关人员承担下列义务：（1）妥善保管其占有和管理的财产、印章和账簿、文书等资料；（2）根据人民法院、管理人的要求进行工作，并如实回答询问；（3）列席债权人会议并如实回答债权人的询问；（4）未经人民法院许可，不得离开住所地；（5）不得新任其他企业的董事、监事、高级管理人员。前款所称有关人员，是指企业的法定代表人；经人民法院决定，可以包括企业的财务管理人员和其他经营管理人员。</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2.人民法院受理破产申请后，债务人的债务人或者财产持有人应当向管理人清偿债务或者交付财产。债务人的债务人或者财产持有人故意违反前款规定向债务人清偿债务或者交付财产，使债权人受到损失的，不免除其清偿债务或者交付财产的义务。</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3.有义务列席债权人会议的债务人的有关人员，经人民法院传唤，无正当理由拒不列席债权人会议的，人民法院可以拘传，并依法处以罚款。债务人的有关人员违反本法规定，拒不陈述、回答，或者作虚假陈述、回答的，人民法院可以依法处以罚款。</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4.债务人违反本法规定，拒不向人民法院提交或者提交不真实的财产状况说明、债务清册、债权清册、有关财务会计报告以及职工工资的支付情况和社会保险费用的缴纳情况的，人民法院可以对直接责任人员依法处以罚款。债务人违反本法规定，拒不向管理人移交财产、印章和账簿、文书等资料的，或者伪造、销毁有关财产证据材料而使财产状况不明的，人民法院可以对直接责任人员依法处</w:t>
      </w:r>
      <w:r>
        <w:rPr>
          <w:rFonts w:ascii="KaiTi_GB2312" w:eastAsia="KaiTi_GB2312" w:hAnsi="KaiTi_GB2312" w:cs="KaiTi_GB2312"/>
        </w:rPr>
        <w:lastRenderedPageBreak/>
        <w:t>以罚款。</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5.债务人有本法第三十一条、第三十二条、第三十三条规定的行为，损害债权人利益的，债务人的法定代表人和其他直接责任人员依法承担赔偿责任。</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另外，《中华人民共和国刑法》第一百六十二条规定“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第一百六十二条之一规定“隐匿或者故意销毁依法应当保存的会计凭证、会计帐簿、财务会计报告，情节严重的，处五年以下有期徒刑或者拘役，并处或者单处二万元以上二十万元以下罚金。单位犯前款罪的，对单位判处罚金，并对其直接负责的主管人员和其他直接责任人员，依照前款的规定处罚。”根据最高人民法院印发《关于推进破产案件依法高效审理的意见》的通知第八条规定，管理人应当及时接管债务人的财产、印章和账簿、文书等资料。债务人拒不移交的，人民法院可以根据管理人的申请或者依职权对直接责任人员处以罚款，并可以就债务人应当移交的内容和期限作出裁定。债务人不履行裁定确定的义务的，人民法院可以依照民事诉讼法执行程序的有关规定采取搜查、强制交付等必要措施予以强制执行。</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rPr>
        <w:t>综上，相关人员如有拒不移交或其他导致清算工作无法进行的行为，需承担无法清算的法律责任。</w:t>
      </w:r>
      <w:r w:rsidR="00E42424">
        <w:rPr>
          <w:rFonts w:ascii="KaiTi_GB2312" w:eastAsia="KaiTi_GB2312" w:hAnsi="KaiTi_GB2312" w:cs="KaiTi_GB2312" w:hint="eastAsia"/>
        </w:rPr>
        <w:t>管理人</w:t>
      </w:r>
      <w:r>
        <w:rPr>
          <w:rFonts w:ascii="KaiTi_GB2312" w:eastAsia="KaiTi_GB2312" w:hAnsi="KaiTi_GB2312" w:cs="KaiTi_GB2312"/>
        </w:rPr>
        <w:t>也将依法履职，提请人民法院按照相关法律规定追究相关人员的法律责任。</w:t>
      </w:r>
    </w:p>
    <w:p w:rsidR="00C31D60" w:rsidRDefault="00000000">
      <w:pPr>
        <w:spacing w:line="360" w:lineRule="auto"/>
        <w:ind w:firstLine="480"/>
        <w:rPr>
          <w:rFonts w:ascii="KaiTi_GB2312" w:eastAsia="KaiTi_GB2312" w:hAnsi="KaiTi_GB2312" w:cs="KaiTi_GB2312"/>
        </w:rPr>
      </w:pPr>
      <w:r>
        <w:rPr>
          <w:rFonts w:ascii="KaiTi_GB2312" w:eastAsia="KaiTi_GB2312" w:hAnsi="KaiTi_GB2312" w:cs="KaiTi_GB2312" w:hint="eastAsia"/>
        </w:rPr>
        <w:t>特此公告</w:t>
      </w:r>
    </w:p>
    <w:p w:rsidR="00C31D60" w:rsidRDefault="00C31D60">
      <w:pPr>
        <w:spacing w:line="360" w:lineRule="auto"/>
        <w:ind w:firstLine="480"/>
        <w:rPr>
          <w:rFonts w:ascii="KaiTi_GB2312" w:eastAsia="KaiTi_GB2312" w:hAnsi="KaiTi_GB2312" w:cs="KaiTi_GB2312"/>
        </w:rPr>
      </w:pPr>
    </w:p>
    <w:p w:rsidR="00C31D60" w:rsidRDefault="00E42424">
      <w:pPr>
        <w:spacing w:line="360" w:lineRule="auto"/>
        <w:ind w:firstLineChars="0" w:firstLine="0"/>
        <w:jc w:val="right"/>
        <w:rPr>
          <w:rFonts w:ascii="KaiTi_GB2312" w:eastAsia="KaiTi_GB2312" w:hAnsi="KaiTi_GB2312" w:cs="KaiTi_GB2312"/>
          <w:sz w:val="22"/>
          <w:szCs w:val="22"/>
        </w:rPr>
      </w:pPr>
      <w:r>
        <w:rPr>
          <w:rFonts w:ascii="仿宋" w:eastAsia="楷体" w:hAnsi="仿宋" w:hint="eastAsia"/>
        </w:rPr>
        <w:t>北京华文汉唐传媒有限公司</w:t>
      </w:r>
      <w:r>
        <w:rPr>
          <w:rFonts w:ascii="KaiTi_GB2312" w:eastAsia="KaiTi_GB2312" w:hAnsi="KaiTi_GB2312" w:cs="KaiTi_GB2312" w:hint="eastAsia"/>
          <w:sz w:val="22"/>
          <w:szCs w:val="22"/>
        </w:rPr>
        <w:t>管理人</w:t>
      </w:r>
    </w:p>
    <w:p w:rsidR="00C31D60" w:rsidRDefault="00000000">
      <w:pPr>
        <w:spacing w:line="360" w:lineRule="auto"/>
        <w:ind w:firstLineChars="0" w:firstLine="0"/>
        <w:jc w:val="right"/>
        <w:rPr>
          <w:rFonts w:ascii="KaiTi_GB2312" w:eastAsia="KaiTi_GB2312" w:hAnsi="KaiTi_GB2312" w:cs="KaiTi_GB2312"/>
          <w:sz w:val="22"/>
          <w:szCs w:val="22"/>
        </w:rPr>
      </w:pPr>
      <w:r>
        <w:rPr>
          <w:rFonts w:ascii="KaiTi_GB2312" w:eastAsia="KaiTi_GB2312" w:hAnsi="KaiTi_GB2312" w:cs="KaiTi_GB2312" w:hint="eastAsia"/>
          <w:sz w:val="22"/>
          <w:szCs w:val="22"/>
        </w:rPr>
        <w:t>二〇二五年</w:t>
      </w:r>
      <w:r w:rsidR="00E42424">
        <w:rPr>
          <w:rFonts w:ascii="KaiTi_GB2312" w:eastAsia="KaiTi_GB2312" w:hAnsi="KaiTi_GB2312" w:cs="KaiTi_GB2312" w:hint="eastAsia"/>
          <w:sz w:val="22"/>
          <w:szCs w:val="22"/>
        </w:rPr>
        <w:t>七</w:t>
      </w:r>
      <w:r>
        <w:rPr>
          <w:rFonts w:ascii="KaiTi_GB2312" w:eastAsia="KaiTi_GB2312" w:hAnsi="KaiTi_GB2312" w:cs="KaiTi_GB2312" w:hint="eastAsia"/>
          <w:sz w:val="22"/>
          <w:szCs w:val="22"/>
        </w:rPr>
        <w:t>月</w:t>
      </w:r>
      <w:r w:rsidR="00E42424">
        <w:rPr>
          <w:rFonts w:ascii="KaiTi_GB2312" w:eastAsia="KaiTi_GB2312" w:hAnsi="KaiTi_GB2312" w:cs="KaiTi_GB2312" w:hint="eastAsia"/>
          <w:sz w:val="22"/>
          <w:szCs w:val="22"/>
        </w:rPr>
        <w:t>二十五</w:t>
      </w:r>
      <w:r>
        <w:rPr>
          <w:rFonts w:ascii="KaiTi_GB2312" w:eastAsia="KaiTi_GB2312" w:hAnsi="KaiTi_GB2312" w:cs="KaiTi_GB2312" w:hint="eastAsia"/>
          <w:sz w:val="22"/>
          <w:szCs w:val="22"/>
        </w:rPr>
        <w:t>日</w:t>
      </w:r>
    </w:p>
    <w:p w:rsidR="00C31D60" w:rsidRDefault="00C31D60">
      <w:pPr>
        <w:spacing w:line="360" w:lineRule="auto"/>
        <w:ind w:firstLineChars="0" w:firstLine="0"/>
        <w:rPr>
          <w:rFonts w:ascii="KaiTi_GB2312" w:eastAsia="KaiTi_GB2312" w:hAnsi="KaiTi_GB2312" w:cs="KaiTi_GB2312"/>
          <w:sz w:val="22"/>
          <w:szCs w:val="22"/>
        </w:rPr>
      </w:pPr>
    </w:p>
    <w:p w:rsidR="00C31D60" w:rsidRDefault="00E42424">
      <w:pPr>
        <w:spacing w:line="360" w:lineRule="auto"/>
        <w:ind w:firstLineChars="0" w:firstLine="0"/>
        <w:rPr>
          <w:rFonts w:ascii="KaiTi_GB2312" w:eastAsia="KaiTi_GB2312" w:hAnsi="KaiTi_GB2312" w:cs="KaiTi_GB2312"/>
          <w:sz w:val="22"/>
          <w:szCs w:val="22"/>
        </w:rPr>
      </w:pPr>
      <w:r>
        <w:rPr>
          <w:rFonts w:ascii="KaiTi_GB2312" w:eastAsia="KaiTi_GB2312" w:hAnsi="KaiTi_GB2312" w:cs="KaiTi_GB2312" w:hint="eastAsia"/>
          <w:sz w:val="22"/>
          <w:szCs w:val="22"/>
        </w:rPr>
        <w:t>管理人</w:t>
      </w:r>
      <w:r w:rsidR="00000000">
        <w:rPr>
          <w:rFonts w:ascii="KaiTi_GB2312" w:eastAsia="KaiTi_GB2312" w:hAnsi="KaiTi_GB2312" w:cs="KaiTi_GB2312" w:hint="eastAsia"/>
          <w:sz w:val="22"/>
          <w:szCs w:val="22"/>
        </w:rPr>
        <w:t>联系人</w:t>
      </w:r>
      <w:r w:rsidR="00000000">
        <w:rPr>
          <w:rFonts w:ascii="KaiTi_GB2312" w:eastAsia="KaiTi_GB2312" w:hAnsi="KaiTi_GB2312" w:cs="KaiTi_GB2312"/>
          <w:sz w:val="22"/>
          <w:szCs w:val="22"/>
        </w:rPr>
        <w:t>：</w:t>
      </w:r>
      <w:r>
        <w:rPr>
          <w:rFonts w:ascii="KaiTi_GB2312" w:eastAsia="KaiTi_GB2312" w:hAnsi="KaiTi_GB2312" w:cs="KaiTi_GB2312" w:hint="eastAsia"/>
          <w:sz w:val="22"/>
          <w:szCs w:val="22"/>
        </w:rPr>
        <w:t>王</w:t>
      </w:r>
      <w:r w:rsidR="00000000">
        <w:rPr>
          <w:rFonts w:ascii="KaiTi_GB2312" w:eastAsia="KaiTi_GB2312" w:hAnsi="KaiTi_GB2312" w:cs="KaiTi_GB2312" w:hint="eastAsia"/>
          <w:sz w:val="22"/>
          <w:szCs w:val="22"/>
        </w:rPr>
        <w:t>律师；</w:t>
      </w:r>
    </w:p>
    <w:p w:rsidR="00C31D60" w:rsidRDefault="00000000">
      <w:pPr>
        <w:spacing w:line="360" w:lineRule="auto"/>
        <w:ind w:firstLineChars="0" w:firstLine="0"/>
        <w:rPr>
          <w:rFonts w:ascii="KaiTi_GB2312" w:eastAsia="KaiTi_GB2312" w:hAnsi="KaiTi_GB2312" w:cs="KaiTi_GB2312"/>
          <w:sz w:val="22"/>
          <w:szCs w:val="22"/>
        </w:rPr>
      </w:pPr>
      <w:r>
        <w:rPr>
          <w:rFonts w:ascii="KaiTi_GB2312" w:eastAsia="KaiTi_GB2312" w:hAnsi="KaiTi_GB2312" w:cs="KaiTi_GB2312" w:hint="eastAsia"/>
          <w:sz w:val="22"/>
          <w:szCs w:val="22"/>
        </w:rPr>
        <w:t>联系</w:t>
      </w:r>
      <w:r>
        <w:rPr>
          <w:rFonts w:ascii="KaiTi_GB2312" w:eastAsia="KaiTi_GB2312" w:hAnsi="KaiTi_GB2312" w:cs="KaiTi_GB2312"/>
          <w:sz w:val="22"/>
          <w:szCs w:val="22"/>
        </w:rPr>
        <w:t>电话：1</w:t>
      </w:r>
      <w:r w:rsidR="00E42424">
        <w:rPr>
          <w:rFonts w:ascii="KaiTi_GB2312" w:eastAsia="KaiTi_GB2312" w:hAnsi="KaiTi_GB2312" w:cs="KaiTi_GB2312" w:hint="eastAsia"/>
          <w:sz w:val="22"/>
          <w:szCs w:val="22"/>
        </w:rPr>
        <w:t>31</w:t>
      </w:r>
      <w:r>
        <w:rPr>
          <w:rFonts w:ascii="KaiTi_GB2312" w:eastAsia="KaiTi_GB2312" w:hAnsi="KaiTi_GB2312" w:cs="KaiTi_GB2312"/>
          <w:sz w:val="22"/>
          <w:szCs w:val="22"/>
        </w:rPr>
        <w:t xml:space="preserve"> </w:t>
      </w:r>
      <w:r w:rsidR="00E42424">
        <w:rPr>
          <w:rFonts w:ascii="KaiTi_GB2312" w:eastAsia="KaiTi_GB2312" w:hAnsi="KaiTi_GB2312" w:cs="KaiTi_GB2312" w:hint="eastAsia"/>
          <w:sz w:val="22"/>
          <w:szCs w:val="22"/>
        </w:rPr>
        <w:t>4110</w:t>
      </w:r>
      <w:r>
        <w:rPr>
          <w:rFonts w:ascii="KaiTi_GB2312" w:eastAsia="KaiTi_GB2312" w:hAnsi="KaiTi_GB2312" w:cs="KaiTi_GB2312"/>
          <w:sz w:val="22"/>
          <w:szCs w:val="22"/>
        </w:rPr>
        <w:t xml:space="preserve"> </w:t>
      </w:r>
      <w:r w:rsidR="00E42424">
        <w:rPr>
          <w:rFonts w:ascii="KaiTi_GB2312" w:eastAsia="KaiTi_GB2312" w:hAnsi="KaiTi_GB2312" w:cs="KaiTi_GB2312" w:hint="eastAsia"/>
          <w:sz w:val="22"/>
          <w:szCs w:val="22"/>
        </w:rPr>
        <w:t>02</w:t>
      </w:r>
      <w:r>
        <w:rPr>
          <w:rFonts w:ascii="KaiTi_GB2312" w:eastAsia="KaiTi_GB2312" w:hAnsi="KaiTi_GB2312" w:cs="KaiTi_GB2312" w:hint="eastAsia"/>
          <w:sz w:val="22"/>
          <w:szCs w:val="22"/>
        </w:rPr>
        <w:t>6</w:t>
      </w:r>
      <w:r>
        <w:rPr>
          <w:rFonts w:ascii="KaiTi_GB2312" w:eastAsia="KaiTi_GB2312" w:hAnsi="KaiTi_GB2312" w:cs="KaiTi_GB2312"/>
          <w:sz w:val="22"/>
          <w:szCs w:val="22"/>
        </w:rPr>
        <w:t>1</w:t>
      </w:r>
      <w:r>
        <w:rPr>
          <w:rFonts w:ascii="KaiTi_GB2312" w:eastAsia="KaiTi_GB2312" w:hAnsi="KaiTi_GB2312" w:cs="KaiTi_GB2312" w:hint="eastAsia"/>
          <w:sz w:val="22"/>
          <w:szCs w:val="22"/>
        </w:rPr>
        <w:t xml:space="preserve"> / 010-50867639；</w:t>
      </w:r>
    </w:p>
    <w:p w:rsidR="00C31D60" w:rsidRDefault="00000000">
      <w:pPr>
        <w:spacing w:line="360" w:lineRule="auto"/>
        <w:ind w:firstLineChars="0" w:firstLine="0"/>
        <w:rPr>
          <w:rFonts w:ascii="KaiTi_GB2312" w:eastAsia="KaiTi_GB2312" w:hAnsi="KaiTi_GB2312" w:cs="KaiTi_GB2312"/>
          <w:sz w:val="22"/>
          <w:szCs w:val="22"/>
        </w:rPr>
      </w:pPr>
      <w:r>
        <w:rPr>
          <w:rFonts w:ascii="KaiTi_GB2312" w:eastAsia="KaiTi_GB2312" w:hAnsi="KaiTi_GB2312" w:cs="KaiTi_GB2312" w:hint="eastAsia"/>
          <w:sz w:val="22"/>
          <w:szCs w:val="22"/>
        </w:rPr>
        <w:t>通讯</w:t>
      </w:r>
      <w:r>
        <w:rPr>
          <w:rFonts w:ascii="KaiTi_GB2312" w:eastAsia="KaiTi_GB2312" w:hAnsi="KaiTi_GB2312" w:cs="KaiTi_GB2312"/>
          <w:sz w:val="22"/>
          <w:szCs w:val="22"/>
        </w:rPr>
        <w:t>地址：北京市朝阳区建外大街丁12号英皇集团中心8层北京市康达律师事务所。</w:t>
      </w:r>
    </w:p>
    <w:sectPr w:rsidR="00C31D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AB4" w:rsidRDefault="00DE1AB4">
      <w:pPr>
        <w:spacing w:line="240" w:lineRule="auto"/>
        <w:ind w:firstLine="480"/>
      </w:pPr>
      <w:r>
        <w:separator/>
      </w:r>
    </w:p>
  </w:endnote>
  <w:endnote w:type="continuationSeparator" w:id="0">
    <w:p w:rsidR="00DE1AB4" w:rsidRDefault="00DE1AB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old">
    <w:altName w:val="Arial"/>
    <w:panose1 w:val="020B0604020202020204"/>
    <w:charset w:val="00"/>
    <w:family w:val="auto"/>
    <w:pitch w:val="default"/>
    <w:sig w:usb0="E0000AFF" w:usb1="00007843" w:usb2="00000001" w:usb3="00000000" w:csb0="400001BF" w:csb1="DFF70000"/>
  </w:font>
  <w:font w:name="Arial">
    <w:panose1 w:val="020B0604020202020204"/>
    <w:charset w:val="00"/>
    <w:family w:val="swiss"/>
    <w:pitch w:val="variable"/>
    <w:sig w:usb0="E0002AFF" w:usb1="C0007843" w:usb2="00000009" w:usb3="00000000" w:csb0="000001FF" w:csb1="00000000"/>
  </w:font>
  <w:font w:name="KaiTi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AB4" w:rsidRDefault="00DE1AB4">
      <w:pPr>
        <w:spacing w:line="240" w:lineRule="auto"/>
        <w:ind w:firstLine="480"/>
      </w:pPr>
      <w:r>
        <w:separator/>
      </w:r>
    </w:p>
  </w:footnote>
  <w:footnote w:type="continuationSeparator" w:id="0">
    <w:p w:rsidR="00DE1AB4" w:rsidRDefault="00DE1AB4">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F9E3EA"/>
    <w:rsid w:val="F37301F6"/>
    <w:rsid w:val="F7FFA4C1"/>
    <w:rsid w:val="FBFAEB6A"/>
    <w:rsid w:val="FFDD3A26"/>
    <w:rsid w:val="00315162"/>
    <w:rsid w:val="00463C75"/>
    <w:rsid w:val="0061592A"/>
    <w:rsid w:val="00946DC9"/>
    <w:rsid w:val="00AB644F"/>
    <w:rsid w:val="00C31D60"/>
    <w:rsid w:val="00DE1AB4"/>
    <w:rsid w:val="00E42424"/>
    <w:rsid w:val="00F225AB"/>
    <w:rsid w:val="57B7A13E"/>
    <w:rsid w:val="5DBEEC99"/>
    <w:rsid w:val="5F77F692"/>
    <w:rsid w:val="6D3677E4"/>
    <w:rsid w:val="6EE571C0"/>
    <w:rsid w:val="737B4970"/>
    <w:rsid w:val="792D6FE0"/>
    <w:rsid w:val="7F430982"/>
    <w:rsid w:val="7FF9E3EA"/>
    <w:rsid w:val="DFFB7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94A1C87"/>
  <w15:docId w15:val="{866B436E-9796-934E-91DA-276E4392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00" w:lineRule="exact"/>
      <w:ind w:firstLineChars="200" w:firstLine="360"/>
      <w:jc w:val="both"/>
    </w:pPr>
    <w:rPr>
      <w:rFonts w:eastAsia="宋体"/>
      <w:kern w:val="2"/>
      <w:sz w:val="24"/>
      <w:szCs w:val="24"/>
    </w:rPr>
  </w:style>
  <w:style w:type="paragraph" w:styleId="1">
    <w:name w:val="heading 1"/>
    <w:basedOn w:val="a"/>
    <w:next w:val="a"/>
    <w:qFormat/>
    <w:pPr>
      <w:keepNext/>
      <w:keepLines/>
      <w:spacing w:before="480" w:after="360" w:line="240" w:lineRule="auto"/>
      <w:ind w:firstLineChars="0" w:firstLine="0"/>
      <w:jc w:val="center"/>
      <w:outlineLvl w:val="0"/>
    </w:pPr>
    <w:rPr>
      <w:rFonts w:eastAsia="SimHei"/>
      <w:b/>
      <w:kern w:val="44"/>
      <w:sz w:val="32"/>
    </w:rPr>
  </w:style>
  <w:style w:type="paragraph" w:styleId="2">
    <w:name w:val="heading 2"/>
    <w:basedOn w:val="a"/>
    <w:next w:val="a"/>
    <w:semiHidden/>
    <w:unhideWhenUsed/>
    <w:qFormat/>
    <w:pPr>
      <w:keepNext/>
      <w:keepLines/>
      <w:spacing w:before="480" w:after="120" w:line="240" w:lineRule="auto"/>
      <w:ind w:firstLineChars="0" w:firstLine="0"/>
      <w:jc w:val="left"/>
      <w:outlineLvl w:val="1"/>
    </w:pPr>
    <w:rPr>
      <w:rFonts w:ascii="Arial Bold" w:eastAsia="SimHei" w:hAnsi="Arial Bold"/>
      <w:b/>
      <w:sz w:val="28"/>
    </w:rPr>
  </w:style>
  <w:style w:type="paragraph" w:styleId="3">
    <w:name w:val="heading 3"/>
    <w:basedOn w:val="a"/>
    <w:next w:val="a"/>
    <w:link w:val="30"/>
    <w:semiHidden/>
    <w:unhideWhenUsed/>
    <w:qFormat/>
    <w:pPr>
      <w:keepNext/>
      <w:keepLines/>
      <w:spacing w:before="240" w:after="120"/>
      <w:ind w:firstLineChars="0" w:firstLine="0"/>
      <w:jc w:val="left"/>
      <w:outlineLvl w:val="2"/>
    </w:pPr>
    <w:rPr>
      <w:rFonts w:eastAsia="SimHei"/>
      <w:b/>
    </w:rPr>
  </w:style>
  <w:style w:type="paragraph" w:styleId="4">
    <w:name w:val="heading 4"/>
    <w:basedOn w:val="a"/>
    <w:next w:val="a"/>
    <w:semiHidden/>
    <w:unhideWhenUsed/>
    <w:qFormat/>
    <w:pPr>
      <w:keepNext/>
      <w:keepLines/>
      <w:spacing w:before="280" w:after="290" w:line="372" w:lineRule="auto"/>
      <w:jc w:val="left"/>
      <w:outlineLvl w:val="3"/>
    </w:pPr>
    <w:rPr>
      <w:rFonts w:ascii="Arial" w:eastAsia="SimHei"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pPr>
      <w:snapToGrid w:val="0"/>
      <w:spacing w:line="240" w:lineRule="auto"/>
      <w:ind w:firstLineChars="0" w:firstLine="0"/>
      <w:jc w:val="left"/>
    </w:pPr>
    <w:rPr>
      <w:sz w:val="18"/>
      <w:szCs w:val="18"/>
    </w:rPr>
  </w:style>
  <w:style w:type="character" w:customStyle="1" w:styleId="30">
    <w:name w:val="标题 3 字符"/>
    <w:link w:val="3"/>
    <w:rPr>
      <w:rFonts w:asciiTheme="minorHAnsi" w:eastAsia="SimHe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Wzy</cp:lastModifiedBy>
  <cp:revision>3</cp:revision>
  <dcterms:created xsi:type="dcterms:W3CDTF">2025-07-25T09:40:00Z</dcterms:created>
  <dcterms:modified xsi:type="dcterms:W3CDTF">2025-07-25T09:42:00Z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FFF430A701C9576AAE746368F8587F7F_41</vt:lpwstr>
  </property>
</Properties>
</file>