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8944E">
      <w:pPr>
        <w:spacing w:line="360" w:lineRule="auto"/>
        <w:jc w:val="center"/>
        <w:rPr>
          <w:rFonts w:hint="eastAsia" w:asciiTheme="minorEastAsia" w:hAnsiTheme="minorEastAsia"/>
          <w:b/>
          <w:sz w:val="36"/>
          <w:szCs w:val="36"/>
        </w:rPr>
      </w:pPr>
      <w:r>
        <w:rPr>
          <w:rFonts w:hint="eastAsia" w:asciiTheme="minorEastAsia" w:hAnsiTheme="minorEastAsia"/>
          <w:b/>
          <w:sz w:val="36"/>
          <w:szCs w:val="36"/>
        </w:rPr>
        <w:t>关于邯郸市滏淼生态农业有限公司拥有的房屋建筑物、机器设备及餐饮用品等的竞买公告</w:t>
      </w:r>
    </w:p>
    <w:p w14:paraId="2ACE402A">
      <w:pPr>
        <w:spacing w:line="360" w:lineRule="auto"/>
        <w:jc w:val="center"/>
        <w:rPr>
          <w:rFonts w:hint="eastAsia" w:asciiTheme="minorEastAsia" w:hAnsiTheme="minorEastAsia"/>
          <w:sz w:val="24"/>
          <w:szCs w:val="24"/>
        </w:rPr>
      </w:pPr>
    </w:p>
    <w:p w14:paraId="45805E3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邯郸市滏淼生态农业有限公司（以下简称“滏淼生态公司”）管理人将于</w:t>
      </w:r>
      <w:r>
        <w:rPr>
          <w:rFonts w:hint="eastAsia" w:asciiTheme="minorEastAsia" w:hAnsiTheme="minorEastAsia"/>
          <w:color w:val="FF0000"/>
          <w:sz w:val="24"/>
          <w:szCs w:val="24"/>
          <w:lang w:eastAsia="zh-CN"/>
        </w:rPr>
        <w:t>2025年7月19日10时至2025年7月20日10时止</w:t>
      </w:r>
      <w:r>
        <w:rPr>
          <w:rFonts w:hint="eastAsia" w:asciiTheme="minorEastAsia" w:hAnsiTheme="minorEastAsia"/>
          <w:sz w:val="24"/>
          <w:szCs w:val="24"/>
        </w:rPr>
        <w:t>（延时的除外）在京东拍卖破产强清平台（网址：</w:t>
      </w:r>
      <w:r>
        <w:rPr>
          <w:rFonts w:asciiTheme="minorEastAsia" w:hAnsiTheme="minorEastAsia"/>
          <w:sz w:val="24"/>
          <w:szCs w:val="24"/>
        </w:rPr>
        <w:t>https://auction.jd.com/bankrupt.html</w:t>
      </w:r>
      <w:r>
        <w:rPr>
          <w:rFonts w:hint="eastAsia" w:asciiTheme="minorEastAsia" w:hAnsiTheme="minorEastAsia"/>
          <w:sz w:val="24"/>
          <w:szCs w:val="24"/>
        </w:rPr>
        <w:t>）进行公开拍卖活动，现公告如下：</w:t>
      </w:r>
    </w:p>
    <w:p w14:paraId="68AACDA6">
      <w:pPr>
        <w:numPr>
          <w:ilvl w:val="0"/>
          <w:numId w:val="1"/>
        </w:num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拍卖标的物情况简介</w:t>
      </w:r>
    </w:p>
    <w:p w14:paraId="7BA0548F">
      <w:pPr>
        <w:spacing w:line="360" w:lineRule="auto"/>
        <w:ind w:left="482"/>
        <w:rPr>
          <w:rFonts w:hint="eastAsia" w:asciiTheme="minorEastAsia" w:hAnsiTheme="minorEastAsia"/>
          <w:b/>
          <w:sz w:val="24"/>
          <w:szCs w:val="24"/>
        </w:rPr>
      </w:pPr>
      <w:r>
        <w:rPr>
          <w:rFonts w:hint="eastAsia" w:asciiTheme="minorEastAsia" w:hAnsiTheme="minorEastAsia"/>
          <w:b/>
          <w:sz w:val="24"/>
          <w:szCs w:val="24"/>
        </w:rPr>
        <w:t>1、标的物具体情况</w:t>
      </w:r>
    </w:p>
    <w:p w14:paraId="532E90B5">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房屋建筑物</w:t>
      </w:r>
      <w:r>
        <w:rPr>
          <w:rFonts w:asciiTheme="minorEastAsia" w:hAnsiTheme="minorEastAsia"/>
          <w:b/>
          <w:sz w:val="24"/>
          <w:szCs w:val="24"/>
        </w:rPr>
        <w:t>VR</w:t>
      </w:r>
      <w:r>
        <w:rPr>
          <w:rFonts w:hint="eastAsia" w:asciiTheme="minorEastAsia" w:hAnsiTheme="minorEastAsia"/>
          <w:b/>
          <w:sz w:val="24"/>
          <w:szCs w:val="24"/>
        </w:rPr>
        <w:t>全景：</w:t>
      </w:r>
      <w:r>
        <w:fldChar w:fldCharType="begin"/>
      </w:r>
      <w:r>
        <w:instrText xml:space="preserve"> HYPERLINK "https://beijingfapaifang.cn/vr/hdfm" </w:instrText>
      </w:r>
      <w:r>
        <w:fldChar w:fldCharType="separate"/>
      </w:r>
      <w:r>
        <w:rPr>
          <w:rStyle w:val="10"/>
          <w:rFonts w:asciiTheme="minorEastAsia" w:hAnsiTheme="minorEastAsia"/>
          <w:b/>
          <w:sz w:val="24"/>
          <w:szCs w:val="24"/>
        </w:rPr>
        <w:t>https://beijingfapaifang.cn/vr/hdfm</w:t>
      </w:r>
      <w:r>
        <w:rPr>
          <w:rStyle w:val="10"/>
          <w:rFonts w:asciiTheme="minorEastAsia" w:hAnsiTheme="minorEastAsia"/>
          <w:b/>
          <w:sz w:val="24"/>
          <w:szCs w:val="24"/>
        </w:rPr>
        <w:fldChar w:fldCharType="end"/>
      </w:r>
    </w:p>
    <w:p w14:paraId="419A3FBB">
      <w:pPr>
        <w:spacing w:line="360" w:lineRule="auto"/>
        <w:ind w:firstLine="482" w:firstLineChars="200"/>
        <w:rPr>
          <w:rFonts w:hint="eastAsia"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邯郸市滏淼生态农业有限公司拥有的房屋建筑物、机器设备及餐饮用品等</w:t>
      </w:r>
    </w:p>
    <w:p w14:paraId="799E1BB7">
      <w:pPr>
        <w:spacing w:line="360" w:lineRule="auto"/>
        <w:ind w:firstLine="482" w:firstLineChars="200"/>
        <w:rPr>
          <w:rStyle w:val="10"/>
          <w:rFonts w:hint="eastAsia" w:asciiTheme="minorEastAsia" w:hAnsiTheme="minorEastAsia"/>
          <w:b/>
          <w:bCs/>
          <w:color w:val="FF0000"/>
          <w:sz w:val="24"/>
          <w:szCs w:val="24"/>
          <w:u w:val="none"/>
        </w:rPr>
      </w:pPr>
      <w:r>
        <w:rPr>
          <w:rFonts w:hint="eastAsia" w:asciiTheme="minorEastAsia" w:hAnsiTheme="minorEastAsia"/>
          <w:b/>
          <w:bCs/>
          <w:color w:val="FF0000"/>
          <w:sz w:val="24"/>
          <w:szCs w:val="24"/>
        </w:rPr>
        <w:t>起拍价：4,345,458.6</w:t>
      </w:r>
      <w:r>
        <w:rPr>
          <w:rFonts w:hint="eastAsia" w:asciiTheme="minorEastAsia" w:hAnsiTheme="minorEastAsia"/>
          <w:b/>
          <w:bCs/>
          <w:color w:val="FF0000"/>
          <w:sz w:val="24"/>
          <w:szCs w:val="24"/>
          <w:lang w:val="en-US" w:eastAsia="zh-CN"/>
        </w:rPr>
        <w:t>7</w:t>
      </w:r>
      <w:r>
        <w:rPr>
          <w:rFonts w:hint="eastAsia" w:asciiTheme="minorEastAsia" w:hAnsiTheme="minorEastAsia"/>
          <w:b/>
          <w:bCs/>
          <w:color w:val="FF0000"/>
          <w:sz w:val="24"/>
          <w:szCs w:val="24"/>
        </w:rPr>
        <w:t>元，保证金：869,091.73元，增价幅度：21,727.</w:t>
      </w:r>
      <w:r>
        <w:rPr>
          <w:rFonts w:hint="eastAsia" w:asciiTheme="minorEastAsia" w:hAnsiTheme="minorEastAsia"/>
          <w:b/>
          <w:bCs/>
          <w:color w:val="FF0000"/>
          <w:sz w:val="24"/>
          <w:szCs w:val="24"/>
          <w:lang w:val="en-US" w:eastAsia="zh-CN"/>
        </w:rPr>
        <w:t>3</w:t>
      </w:r>
      <w:r>
        <w:rPr>
          <w:rFonts w:hint="eastAsia" w:asciiTheme="minorEastAsia" w:hAnsiTheme="minorEastAsia"/>
          <w:b/>
          <w:bCs/>
          <w:color w:val="FF0000"/>
          <w:sz w:val="24"/>
          <w:szCs w:val="24"/>
        </w:rPr>
        <w:t>元(或整倍数)。</w:t>
      </w:r>
    </w:p>
    <w:p w14:paraId="2CA68129">
      <w:pPr>
        <w:wordWrap w:val="0"/>
        <w:spacing w:line="360" w:lineRule="auto"/>
        <w:jc w:val="left"/>
        <w:rPr>
          <w:rFonts w:hint="eastAsia" w:asciiTheme="minorEastAsia" w:hAnsiTheme="minorEastAsia"/>
          <w:b/>
          <w:sz w:val="24"/>
          <w:szCs w:val="24"/>
        </w:rPr>
      </w:pPr>
      <w:r>
        <w:rPr>
          <w:rFonts w:hint="eastAsia" w:asciiTheme="minorEastAsia" w:hAnsiTheme="minorEastAsia"/>
          <w:b/>
          <w:sz w:val="24"/>
          <w:szCs w:val="24"/>
        </w:rPr>
        <w:t>标的物具体情况：</w:t>
      </w:r>
    </w:p>
    <w:p w14:paraId="020EEC8D">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(1)房屋建筑物</w:t>
      </w:r>
    </w:p>
    <w:p w14:paraId="1DAB8AAC">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坐落：河北省邯郸冀南新区中华大街东侧，生态二路南侧，科创一路北侧</w:t>
      </w:r>
    </w:p>
    <w:tbl>
      <w:tblPr>
        <w:tblStyle w:val="7"/>
        <w:tblW w:w="9081" w:type="dxa"/>
        <w:jc w:val="center"/>
        <w:tblLayout w:type="fixed"/>
        <w:tblCellMar>
          <w:top w:w="0" w:type="dxa"/>
          <w:left w:w="108" w:type="dxa"/>
          <w:bottom w:w="0" w:type="dxa"/>
          <w:right w:w="108" w:type="dxa"/>
        </w:tblCellMar>
      </w:tblPr>
      <w:tblGrid>
        <w:gridCol w:w="763"/>
        <w:gridCol w:w="1741"/>
        <w:gridCol w:w="1356"/>
        <w:gridCol w:w="781"/>
        <w:gridCol w:w="992"/>
        <w:gridCol w:w="851"/>
        <w:gridCol w:w="1417"/>
        <w:gridCol w:w="915"/>
        <w:gridCol w:w="265"/>
      </w:tblGrid>
      <w:tr w14:paraId="6996273C">
        <w:tblPrEx>
          <w:tblCellMar>
            <w:top w:w="0" w:type="dxa"/>
            <w:left w:w="108" w:type="dxa"/>
            <w:bottom w:w="0" w:type="dxa"/>
            <w:right w:w="108" w:type="dxa"/>
          </w:tblCellMar>
        </w:tblPrEx>
        <w:trPr>
          <w:gridAfter w:val="1"/>
          <w:wAfter w:w="265" w:type="dxa"/>
          <w:trHeight w:val="521" w:hRule="atLeast"/>
          <w:jc w:val="center"/>
        </w:trPr>
        <w:tc>
          <w:tcPr>
            <w:tcW w:w="7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42460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序号</w:t>
            </w:r>
          </w:p>
        </w:tc>
        <w:tc>
          <w:tcPr>
            <w:tcW w:w="17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649D8">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权证编号</w:t>
            </w:r>
          </w:p>
        </w:tc>
        <w:tc>
          <w:tcPr>
            <w:tcW w:w="13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CBDD9A">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权利类型</w:t>
            </w:r>
          </w:p>
        </w:tc>
        <w:tc>
          <w:tcPr>
            <w:tcW w:w="7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4F0139C8">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权利性质</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D128984">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用途</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32815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房屋结构</w:t>
            </w:r>
          </w:p>
        </w:tc>
        <w:tc>
          <w:tcPr>
            <w:tcW w:w="1417" w:type="dxa"/>
            <w:vMerge w:val="restart"/>
            <w:tcBorders>
              <w:top w:val="single" w:color="auto" w:sz="4" w:space="0"/>
              <w:left w:val="single" w:color="auto" w:sz="4" w:space="0"/>
              <w:right w:val="single" w:color="auto" w:sz="4" w:space="0"/>
            </w:tcBorders>
            <w:vAlign w:val="center"/>
          </w:tcPr>
          <w:p w14:paraId="19F976E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房屋建筑面积</w:t>
            </w:r>
          </w:p>
        </w:tc>
        <w:tc>
          <w:tcPr>
            <w:tcW w:w="91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6B97DDB6">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房屋总层数</w:t>
            </w:r>
          </w:p>
        </w:tc>
      </w:tr>
      <w:tr w14:paraId="28124DEC">
        <w:tblPrEx>
          <w:tblCellMar>
            <w:top w:w="0" w:type="dxa"/>
            <w:left w:w="108" w:type="dxa"/>
            <w:bottom w:w="0" w:type="dxa"/>
            <w:right w:w="108" w:type="dxa"/>
          </w:tblCellMar>
        </w:tblPrEx>
        <w:trPr>
          <w:trHeight w:val="309" w:hRule="atLeast"/>
          <w:jc w:val="center"/>
        </w:trPr>
        <w:tc>
          <w:tcPr>
            <w:tcW w:w="763" w:type="dxa"/>
            <w:vMerge w:val="continue"/>
            <w:tcBorders>
              <w:top w:val="single" w:color="auto" w:sz="4" w:space="0"/>
              <w:left w:val="single" w:color="auto" w:sz="4" w:space="0"/>
              <w:bottom w:val="single" w:color="auto" w:sz="4" w:space="0"/>
              <w:right w:val="single" w:color="auto" w:sz="4" w:space="0"/>
            </w:tcBorders>
            <w:vAlign w:val="center"/>
          </w:tcPr>
          <w:p w14:paraId="406C0841">
            <w:pPr>
              <w:widowControl/>
              <w:jc w:val="center"/>
              <w:rPr>
                <w:rFonts w:hint="eastAsia" w:cs="Times New Roman" w:asciiTheme="minorEastAsia" w:hAnsiTheme="minorEastAsia"/>
                <w:kern w:val="0"/>
                <w:sz w:val="20"/>
                <w:szCs w:val="20"/>
              </w:rPr>
            </w:pPr>
          </w:p>
        </w:tc>
        <w:tc>
          <w:tcPr>
            <w:tcW w:w="1741" w:type="dxa"/>
            <w:vMerge w:val="continue"/>
            <w:tcBorders>
              <w:top w:val="single" w:color="auto" w:sz="4" w:space="0"/>
              <w:left w:val="single" w:color="auto" w:sz="4" w:space="0"/>
              <w:bottom w:val="single" w:color="auto" w:sz="4" w:space="0"/>
              <w:right w:val="single" w:color="auto" w:sz="4" w:space="0"/>
            </w:tcBorders>
            <w:vAlign w:val="center"/>
          </w:tcPr>
          <w:p w14:paraId="0B858F31">
            <w:pPr>
              <w:widowControl/>
              <w:jc w:val="center"/>
              <w:rPr>
                <w:rFonts w:hint="eastAsia" w:cs="Times New Roman" w:asciiTheme="minorEastAsia" w:hAnsiTheme="minorEastAsia"/>
                <w:kern w:val="0"/>
                <w:sz w:val="20"/>
                <w:szCs w:val="20"/>
              </w:rPr>
            </w:pPr>
          </w:p>
        </w:tc>
        <w:tc>
          <w:tcPr>
            <w:tcW w:w="1356" w:type="dxa"/>
            <w:vMerge w:val="continue"/>
            <w:tcBorders>
              <w:top w:val="single" w:color="auto" w:sz="4" w:space="0"/>
              <w:left w:val="single" w:color="auto" w:sz="4" w:space="0"/>
              <w:bottom w:val="single" w:color="auto" w:sz="4" w:space="0"/>
              <w:right w:val="single" w:color="auto" w:sz="4" w:space="0"/>
            </w:tcBorders>
            <w:vAlign w:val="center"/>
          </w:tcPr>
          <w:p w14:paraId="1DD2FBA8">
            <w:pPr>
              <w:widowControl/>
              <w:jc w:val="center"/>
              <w:rPr>
                <w:rFonts w:hint="eastAsia" w:cs="Times New Roman" w:asciiTheme="minorEastAsia" w:hAnsiTheme="minorEastAsia"/>
                <w:kern w:val="0"/>
                <w:sz w:val="20"/>
                <w:szCs w:val="20"/>
              </w:rPr>
            </w:pPr>
          </w:p>
        </w:tc>
        <w:tc>
          <w:tcPr>
            <w:tcW w:w="781" w:type="dxa"/>
            <w:vMerge w:val="continue"/>
            <w:tcBorders>
              <w:top w:val="single" w:color="auto" w:sz="4" w:space="0"/>
              <w:left w:val="single" w:color="auto" w:sz="4" w:space="0"/>
              <w:bottom w:val="single" w:color="000000" w:sz="4" w:space="0"/>
              <w:right w:val="single" w:color="auto" w:sz="4" w:space="0"/>
            </w:tcBorders>
            <w:vAlign w:val="center"/>
          </w:tcPr>
          <w:p w14:paraId="420D1FFE">
            <w:pPr>
              <w:widowControl/>
              <w:jc w:val="center"/>
              <w:rPr>
                <w:rFonts w:hint="eastAsia" w:cs="Times New Roman" w:asciiTheme="minorEastAsia" w:hAnsiTheme="minorEastAsia"/>
                <w:kern w:val="0"/>
                <w:sz w:val="20"/>
                <w:szCs w:val="20"/>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14:paraId="0C912373">
            <w:pPr>
              <w:widowControl/>
              <w:jc w:val="center"/>
              <w:rPr>
                <w:rFonts w:hint="eastAsia" w:cs="Times New Roman" w:asciiTheme="minorEastAsia" w:hAnsiTheme="minorEastAsia"/>
                <w:kern w:val="0"/>
                <w:sz w:val="20"/>
                <w:szCs w:val="20"/>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3709B3E4">
            <w:pPr>
              <w:widowControl/>
              <w:jc w:val="center"/>
              <w:rPr>
                <w:rFonts w:hint="eastAsia" w:cs="Times New Roman" w:asciiTheme="minorEastAsia" w:hAnsiTheme="minorEastAsia"/>
                <w:kern w:val="0"/>
                <w:sz w:val="20"/>
                <w:szCs w:val="20"/>
              </w:rPr>
            </w:pPr>
          </w:p>
        </w:tc>
        <w:tc>
          <w:tcPr>
            <w:tcW w:w="1417" w:type="dxa"/>
            <w:vMerge w:val="continue"/>
            <w:tcBorders>
              <w:left w:val="single" w:color="auto" w:sz="4" w:space="0"/>
              <w:bottom w:val="single" w:color="auto" w:sz="4" w:space="0"/>
              <w:right w:val="single" w:color="auto" w:sz="4" w:space="0"/>
            </w:tcBorders>
            <w:vAlign w:val="center"/>
          </w:tcPr>
          <w:p w14:paraId="46696264">
            <w:pPr>
              <w:widowControl/>
              <w:jc w:val="center"/>
              <w:rPr>
                <w:rFonts w:hint="eastAsia" w:cs="Times New Roman" w:asciiTheme="minorEastAsia" w:hAnsiTheme="minorEastAsia"/>
                <w:kern w:val="0"/>
                <w:sz w:val="20"/>
                <w:szCs w:val="20"/>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14:paraId="0A4705C0">
            <w:pPr>
              <w:widowControl/>
              <w:jc w:val="center"/>
              <w:rPr>
                <w:rFonts w:hint="eastAsia" w:cs="Times New Roman" w:asciiTheme="minorEastAsia" w:hAnsiTheme="minorEastAsia"/>
                <w:kern w:val="0"/>
                <w:sz w:val="20"/>
                <w:szCs w:val="20"/>
              </w:rPr>
            </w:pPr>
          </w:p>
        </w:tc>
        <w:tc>
          <w:tcPr>
            <w:tcW w:w="265" w:type="dxa"/>
            <w:tcBorders>
              <w:top w:val="nil"/>
              <w:left w:val="nil"/>
              <w:bottom w:val="nil"/>
              <w:right w:val="nil"/>
            </w:tcBorders>
            <w:shd w:val="clear" w:color="auto" w:fill="auto"/>
            <w:vAlign w:val="bottom"/>
          </w:tcPr>
          <w:p w14:paraId="5F1447C6">
            <w:pPr>
              <w:widowControl/>
              <w:jc w:val="center"/>
              <w:rPr>
                <w:rFonts w:hint="eastAsia" w:ascii="宋体" w:hAnsi="宋体" w:eastAsia="宋体" w:cs="Times New Roman"/>
                <w:kern w:val="0"/>
                <w:sz w:val="20"/>
                <w:szCs w:val="20"/>
              </w:rPr>
            </w:pPr>
          </w:p>
        </w:tc>
      </w:tr>
      <w:tr w14:paraId="252A3468">
        <w:tblPrEx>
          <w:tblCellMar>
            <w:top w:w="0" w:type="dxa"/>
            <w:left w:w="108" w:type="dxa"/>
            <w:bottom w:w="0" w:type="dxa"/>
            <w:right w:w="108" w:type="dxa"/>
          </w:tblCellMar>
        </w:tblPrEx>
        <w:trPr>
          <w:trHeight w:val="609" w:hRule="atLeast"/>
          <w:jc w:val="center"/>
        </w:trPr>
        <w:tc>
          <w:tcPr>
            <w:tcW w:w="763" w:type="dxa"/>
            <w:tcBorders>
              <w:top w:val="nil"/>
              <w:left w:val="single" w:color="auto" w:sz="4" w:space="0"/>
              <w:bottom w:val="single" w:color="auto" w:sz="4" w:space="0"/>
              <w:right w:val="single" w:color="auto" w:sz="4" w:space="0"/>
            </w:tcBorders>
            <w:shd w:val="clear" w:color="auto" w:fill="auto"/>
            <w:vAlign w:val="center"/>
          </w:tcPr>
          <w:p w14:paraId="61442C27">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1</w:t>
            </w:r>
          </w:p>
        </w:tc>
        <w:tc>
          <w:tcPr>
            <w:tcW w:w="1741" w:type="dxa"/>
            <w:tcBorders>
              <w:top w:val="nil"/>
              <w:left w:val="nil"/>
              <w:bottom w:val="single" w:color="auto" w:sz="4" w:space="0"/>
              <w:right w:val="single" w:color="auto" w:sz="4" w:space="0"/>
            </w:tcBorders>
            <w:shd w:val="clear" w:color="auto" w:fill="auto"/>
            <w:vAlign w:val="center"/>
          </w:tcPr>
          <w:p w14:paraId="0F5EB0B5">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冀（2021）邯郸冀南新区不动产权第0001330号</w:t>
            </w:r>
          </w:p>
        </w:tc>
        <w:tc>
          <w:tcPr>
            <w:tcW w:w="1356" w:type="dxa"/>
            <w:tcBorders>
              <w:top w:val="nil"/>
              <w:left w:val="nil"/>
              <w:bottom w:val="single" w:color="auto" w:sz="4" w:space="0"/>
              <w:right w:val="single" w:color="auto" w:sz="4" w:space="0"/>
            </w:tcBorders>
            <w:shd w:val="clear" w:color="auto" w:fill="auto"/>
            <w:vAlign w:val="center"/>
          </w:tcPr>
          <w:p w14:paraId="3EADCFB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国有建设用地使用权/房屋(构筑物)所有权</w:t>
            </w:r>
          </w:p>
        </w:tc>
        <w:tc>
          <w:tcPr>
            <w:tcW w:w="781" w:type="dxa"/>
            <w:tcBorders>
              <w:top w:val="nil"/>
              <w:left w:val="nil"/>
              <w:bottom w:val="single" w:color="auto" w:sz="4" w:space="0"/>
              <w:right w:val="single" w:color="auto" w:sz="4" w:space="0"/>
            </w:tcBorders>
            <w:shd w:val="clear" w:color="auto" w:fill="auto"/>
            <w:vAlign w:val="center"/>
          </w:tcPr>
          <w:p w14:paraId="2D078A82">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出让/自建房</w:t>
            </w:r>
          </w:p>
        </w:tc>
        <w:tc>
          <w:tcPr>
            <w:tcW w:w="992" w:type="dxa"/>
            <w:tcBorders>
              <w:top w:val="nil"/>
              <w:left w:val="nil"/>
              <w:bottom w:val="single" w:color="auto" w:sz="4" w:space="0"/>
              <w:right w:val="single" w:color="auto" w:sz="4" w:space="0"/>
            </w:tcBorders>
            <w:shd w:val="clear" w:color="auto" w:fill="auto"/>
            <w:vAlign w:val="center"/>
          </w:tcPr>
          <w:p w14:paraId="155978F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住宿餐饮用地/办公</w:t>
            </w:r>
          </w:p>
        </w:tc>
        <w:tc>
          <w:tcPr>
            <w:tcW w:w="851" w:type="dxa"/>
            <w:tcBorders>
              <w:top w:val="nil"/>
              <w:left w:val="nil"/>
              <w:bottom w:val="single" w:color="auto" w:sz="4" w:space="0"/>
              <w:right w:val="single" w:color="auto" w:sz="4" w:space="0"/>
            </w:tcBorders>
            <w:shd w:val="clear" w:color="auto" w:fill="auto"/>
            <w:vAlign w:val="center"/>
          </w:tcPr>
          <w:p w14:paraId="2481759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混合结构</w:t>
            </w:r>
          </w:p>
        </w:tc>
        <w:tc>
          <w:tcPr>
            <w:tcW w:w="1417" w:type="dxa"/>
            <w:tcBorders>
              <w:top w:val="single" w:color="auto" w:sz="4" w:space="0"/>
              <w:left w:val="nil"/>
              <w:bottom w:val="single" w:color="auto" w:sz="4" w:space="0"/>
              <w:right w:val="single" w:color="auto" w:sz="4" w:space="0"/>
            </w:tcBorders>
            <w:vAlign w:val="center"/>
          </w:tcPr>
          <w:p w14:paraId="4AF1E8F2">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2,434.12</w:t>
            </w:r>
            <w:r>
              <w:rPr>
                <w:rFonts w:hint="eastAsia" w:cs="Times New Roman" w:asciiTheme="minorEastAsia" w:hAnsiTheme="minorEastAsia"/>
                <w:kern w:val="0"/>
                <w:sz w:val="20"/>
                <w:szCs w:val="20"/>
              </w:rPr>
              <w:t>㎡</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1589ED7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3</w:t>
            </w:r>
          </w:p>
        </w:tc>
        <w:tc>
          <w:tcPr>
            <w:tcW w:w="265" w:type="dxa"/>
            <w:vAlign w:val="center"/>
          </w:tcPr>
          <w:p w14:paraId="359B62CD">
            <w:pPr>
              <w:widowControl/>
              <w:jc w:val="left"/>
              <w:rPr>
                <w:rFonts w:ascii="Times New Roman" w:hAnsi="Times New Roman" w:eastAsia="Times New Roman" w:cs="Times New Roman"/>
                <w:kern w:val="0"/>
                <w:sz w:val="20"/>
                <w:szCs w:val="20"/>
              </w:rPr>
            </w:pPr>
          </w:p>
        </w:tc>
      </w:tr>
      <w:tr w14:paraId="396AA30D">
        <w:tblPrEx>
          <w:tblCellMar>
            <w:top w:w="0" w:type="dxa"/>
            <w:left w:w="108" w:type="dxa"/>
            <w:bottom w:w="0" w:type="dxa"/>
            <w:right w:w="108" w:type="dxa"/>
          </w:tblCellMar>
        </w:tblPrEx>
        <w:trPr>
          <w:trHeight w:val="708" w:hRule="atLeast"/>
          <w:jc w:val="center"/>
        </w:trPr>
        <w:tc>
          <w:tcPr>
            <w:tcW w:w="763" w:type="dxa"/>
            <w:tcBorders>
              <w:top w:val="nil"/>
              <w:left w:val="single" w:color="auto" w:sz="4" w:space="0"/>
              <w:bottom w:val="single" w:color="auto" w:sz="4" w:space="0"/>
              <w:right w:val="single" w:color="auto" w:sz="4" w:space="0"/>
            </w:tcBorders>
            <w:shd w:val="clear" w:color="auto" w:fill="auto"/>
            <w:vAlign w:val="center"/>
          </w:tcPr>
          <w:p w14:paraId="5F293CC4">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2</w:t>
            </w:r>
          </w:p>
        </w:tc>
        <w:tc>
          <w:tcPr>
            <w:tcW w:w="1741" w:type="dxa"/>
            <w:tcBorders>
              <w:top w:val="nil"/>
              <w:left w:val="nil"/>
              <w:bottom w:val="single" w:color="auto" w:sz="4" w:space="0"/>
              <w:right w:val="single" w:color="auto" w:sz="4" w:space="0"/>
            </w:tcBorders>
            <w:shd w:val="clear" w:color="auto" w:fill="auto"/>
            <w:vAlign w:val="center"/>
          </w:tcPr>
          <w:p w14:paraId="4C0D13E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冀（2021）邯郸冀南新区不动产权第0001331号</w:t>
            </w:r>
          </w:p>
        </w:tc>
        <w:tc>
          <w:tcPr>
            <w:tcW w:w="1356" w:type="dxa"/>
            <w:tcBorders>
              <w:top w:val="nil"/>
              <w:left w:val="nil"/>
              <w:bottom w:val="single" w:color="auto" w:sz="4" w:space="0"/>
              <w:right w:val="single" w:color="auto" w:sz="4" w:space="0"/>
            </w:tcBorders>
            <w:shd w:val="clear" w:color="auto" w:fill="auto"/>
            <w:vAlign w:val="center"/>
          </w:tcPr>
          <w:p w14:paraId="2CC06F10">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国有建设用地使用权/房屋(构筑物)所有权</w:t>
            </w:r>
          </w:p>
        </w:tc>
        <w:tc>
          <w:tcPr>
            <w:tcW w:w="781" w:type="dxa"/>
            <w:tcBorders>
              <w:top w:val="nil"/>
              <w:left w:val="nil"/>
              <w:bottom w:val="single" w:color="auto" w:sz="4" w:space="0"/>
              <w:right w:val="single" w:color="auto" w:sz="4" w:space="0"/>
            </w:tcBorders>
            <w:shd w:val="clear" w:color="auto" w:fill="auto"/>
            <w:vAlign w:val="center"/>
          </w:tcPr>
          <w:p w14:paraId="6D7187DC">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出让/自建房</w:t>
            </w:r>
          </w:p>
        </w:tc>
        <w:tc>
          <w:tcPr>
            <w:tcW w:w="992" w:type="dxa"/>
            <w:tcBorders>
              <w:top w:val="nil"/>
              <w:left w:val="nil"/>
              <w:bottom w:val="single" w:color="auto" w:sz="4" w:space="0"/>
              <w:right w:val="single" w:color="auto" w:sz="4" w:space="0"/>
            </w:tcBorders>
            <w:shd w:val="clear" w:color="auto" w:fill="auto"/>
            <w:vAlign w:val="center"/>
          </w:tcPr>
          <w:p w14:paraId="3775F4F7">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住宿餐饮用地/商业服务</w:t>
            </w:r>
          </w:p>
        </w:tc>
        <w:tc>
          <w:tcPr>
            <w:tcW w:w="851" w:type="dxa"/>
            <w:tcBorders>
              <w:top w:val="nil"/>
              <w:left w:val="nil"/>
              <w:bottom w:val="single" w:color="auto" w:sz="4" w:space="0"/>
              <w:right w:val="single" w:color="auto" w:sz="4" w:space="0"/>
            </w:tcBorders>
            <w:shd w:val="clear" w:color="auto" w:fill="auto"/>
            <w:vAlign w:val="center"/>
          </w:tcPr>
          <w:p w14:paraId="43436CE4">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钢结构</w:t>
            </w:r>
          </w:p>
        </w:tc>
        <w:tc>
          <w:tcPr>
            <w:tcW w:w="1417" w:type="dxa"/>
            <w:tcBorders>
              <w:top w:val="single" w:color="auto" w:sz="4" w:space="0"/>
              <w:left w:val="nil"/>
              <w:bottom w:val="single" w:color="auto" w:sz="4" w:space="0"/>
              <w:right w:val="single" w:color="auto" w:sz="4" w:space="0"/>
            </w:tcBorders>
            <w:vAlign w:val="center"/>
          </w:tcPr>
          <w:p w14:paraId="50CB14A9">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5,336.10</w:t>
            </w:r>
            <w:r>
              <w:rPr>
                <w:rFonts w:hint="eastAsia" w:cs="Times New Roman" w:asciiTheme="minorEastAsia" w:hAnsiTheme="minorEastAsia"/>
                <w:kern w:val="0"/>
                <w:sz w:val="20"/>
                <w:szCs w:val="20"/>
              </w:rPr>
              <w:t>㎡</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0CB53369">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1</w:t>
            </w:r>
          </w:p>
        </w:tc>
        <w:tc>
          <w:tcPr>
            <w:tcW w:w="265" w:type="dxa"/>
            <w:vAlign w:val="center"/>
          </w:tcPr>
          <w:p w14:paraId="78C85B7C">
            <w:pPr>
              <w:widowControl/>
              <w:jc w:val="left"/>
              <w:rPr>
                <w:rFonts w:ascii="Times New Roman" w:hAnsi="Times New Roman" w:eastAsia="Times New Roman" w:cs="Times New Roman"/>
                <w:kern w:val="0"/>
                <w:sz w:val="20"/>
                <w:szCs w:val="20"/>
              </w:rPr>
            </w:pPr>
          </w:p>
        </w:tc>
      </w:tr>
    </w:tbl>
    <w:p w14:paraId="379267F1">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（2）机器设备及餐饮用品</w:t>
      </w:r>
    </w:p>
    <w:p w14:paraId="2DBE3379">
      <w:pPr>
        <w:wordWrap w:val="0"/>
        <w:spacing w:line="360" w:lineRule="auto"/>
        <w:ind w:firstLine="480" w:firstLineChars="200"/>
        <w:jc w:val="left"/>
        <w:rPr>
          <w:rFonts w:hint="eastAsia" w:asciiTheme="minorEastAsia" w:hAnsiTheme="minorEastAsia"/>
          <w:bCs/>
          <w:sz w:val="24"/>
          <w:szCs w:val="24"/>
        </w:rPr>
      </w:pPr>
      <w:r>
        <w:rPr>
          <w:rFonts w:hint="eastAsia" w:asciiTheme="minorEastAsia" w:hAnsiTheme="minorEastAsia"/>
          <w:bCs/>
          <w:sz w:val="24"/>
          <w:szCs w:val="24"/>
        </w:rPr>
        <w:t>主要包括空调设备、配电工程、消防工程、电力工程、供冷热水系统、水电管网类、前厅用具、厨具、圆桌、椅子、电视、空调等。</w:t>
      </w:r>
    </w:p>
    <w:p w14:paraId="6F195B65">
      <w:pPr>
        <w:wordWrap w:val="0"/>
        <w:spacing w:line="360" w:lineRule="auto"/>
        <w:ind w:left="482"/>
        <w:jc w:val="left"/>
        <w:rPr>
          <w:rFonts w:hint="eastAsia" w:asciiTheme="minorEastAsia" w:hAnsiTheme="minorEastAsia"/>
          <w:b/>
          <w:sz w:val="24"/>
          <w:szCs w:val="24"/>
        </w:rPr>
      </w:pPr>
    </w:p>
    <w:p w14:paraId="2AD0B64D">
      <w:pPr>
        <w:spacing w:line="360" w:lineRule="auto"/>
        <w:ind w:firstLine="482" w:firstLineChars="200"/>
        <w:rPr>
          <w:rFonts w:hint="eastAsia" w:asciiTheme="minorEastAsia" w:hAnsiTheme="minorEastAsia"/>
          <w:b/>
          <w:bCs/>
          <w:color w:val="FF0000"/>
          <w:sz w:val="24"/>
          <w:szCs w:val="24"/>
        </w:rPr>
      </w:pPr>
      <w:r>
        <w:rPr>
          <w:rFonts w:hint="eastAsia" w:asciiTheme="minorEastAsia" w:hAnsiTheme="minorEastAsia"/>
          <w:b/>
          <w:bCs/>
          <w:color w:val="FF0000"/>
          <w:sz w:val="24"/>
          <w:szCs w:val="24"/>
        </w:rPr>
        <w:t>重要提示:</w:t>
      </w:r>
    </w:p>
    <w:p w14:paraId="72D14366">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1、关于滏淼生态公司拥有的房屋建筑物，其中办公楼二层存在部分员工宿舍在用，三层被邯郸冀南新区行政审批局、国家税务总局邯郸冀南新区税务局作为食堂使用；餐厅部分存在被第三人进行地面硬化、钢结构建设的情况。上述占用问题由买受人自行沟通解决，产生的相关费用由买受人承担。</w:t>
      </w:r>
    </w:p>
    <w:p w14:paraId="376F130C">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2、滏淼生态公司房屋建筑物建设于一块共有土地上面，位于河北省邯郸冀南新区中华大街东侧，生态二路南侧，科创一路北侧，土地性质为住宿餐饮用地，共有土地面积28035.16平方米。其中房屋不动产权证号为冀（2021）邯郸冀南新区不动产权第0001331号，建筑面积为</w:t>
      </w:r>
      <w:r>
        <w:rPr>
          <w:rFonts w:asciiTheme="minorEastAsia" w:hAnsiTheme="minorEastAsia"/>
          <w:b/>
          <w:color w:val="FF0000"/>
          <w:sz w:val="24"/>
          <w:szCs w:val="24"/>
        </w:rPr>
        <w:t>5,336.10</w:t>
      </w:r>
      <w:r>
        <w:rPr>
          <w:rFonts w:hint="eastAsia" w:asciiTheme="minorEastAsia" w:hAnsiTheme="minorEastAsia"/>
          <w:b/>
          <w:color w:val="FF0000"/>
          <w:sz w:val="24"/>
          <w:szCs w:val="24"/>
        </w:rPr>
        <w:t>㎡；房屋不动产权证号为冀（2021）邯郸冀南新区不动产权第0001330号，建筑面积为</w:t>
      </w:r>
      <w:r>
        <w:rPr>
          <w:rFonts w:asciiTheme="minorEastAsia" w:hAnsiTheme="minorEastAsia"/>
          <w:b/>
          <w:color w:val="FF0000"/>
          <w:sz w:val="24"/>
          <w:szCs w:val="24"/>
        </w:rPr>
        <w:t>2,434.12</w:t>
      </w:r>
      <w:r>
        <w:rPr>
          <w:rFonts w:hint="eastAsia" w:asciiTheme="minorEastAsia" w:hAnsiTheme="minorEastAsia"/>
          <w:b/>
          <w:color w:val="FF0000"/>
          <w:sz w:val="24"/>
          <w:szCs w:val="24"/>
        </w:rPr>
        <w:t>㎡。标的物以实物现状为准，管理人不承担本标的瑕疵保证。因房屋建筑所在土地为共有土地，可能存在权利变更复杂或者无法变更情况，有意者请亲自实地看样，并到相应职能部门（如不动产登记中心、国土资源局、规划局等）了解咨询，具体情况请意向竞买人自行核实，成交后由买受人自行承担相关风险；</w:t>
      </w:r>
      <w:r>
        <w:rPr>
          <w:rFonts w:asciiTheme="minorEastAsia" w:hAnsiTheme="minorEastAsia"/>
          <w:b/>
          <w:color w:val="FF0000"/>
          <w:sz w:val="24"/>
          <w:szCs w:val="24"/>
        </w:rPr>
        <w:t xml:space="preserve"> </w:t>
      </w:r>
    </w:p>
    <w:p w14:paraId="495D2DA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3、标的以现状进行拍卖，其外观、结构、固定装修及内在质量以移交时的现状为准。房地产的实际面积以过户时登记机关登记为准。管理人对房屋外观、质量问题、结构调整、固定装修损坏、房地产面积差异等不作担保，由买受人自行承担相关责任，由此产生的问题也不影响变卖成交结果及成交价格。如有房屋结构与发证时发生改变的，由竞买人自行到相关职能部门了解能否办理过户手续，须修复的相关费用由买受人承担。</w:t>
      </w:r>
    </w:p>
    <w:p w14:paraId="14CAF9B6">
      <w:pPr>
        <w:spacing w:line="360" w:lineRule="auto"/>
        <w:ind w:firstLine="482" w:firstLineChars="200"/>
        <w:rPr>
          <w:rFonts w:hint="eastAsia" w:asciiTheme="minorEastAsia" w:hAnsiTheme="minorEastAsia"/>
          <w:b/>
          <w:bCs/>
          <w:color w:val="FF0000"/>
          <w:sz w:val="24"/>
          <w:szCs w:val="24"/>
        </w:rPr>
      </w:pPr>
      <w:r>
        <w:rPr>
          <w:rFonts w:hint="eastAsia" w:asciiTheme="minorEastAsia" w:hAnsiTheme="minorEastAsia"/>
          <w:b/>
          <w:color w:val="FF0000"/>
          <w:sz w:val="24"/>
          <w:szCs w:val="24"/>
        </w:rPr>
        <w:t>4、</w:t>
      </w:r>
      <w:r>
        <w:rPr>
          <w:rFonts w:hint="eastAsia" w:asciiTheme="minorEastAsia" w:hAnsiTheme="minorEastAsia"/>
          <w:b/>
          <w:bCs/>
          <w:color w:val="FF0000"/>
          <w:sz w:val="24"/>
          <w:szCs w:val="24"/>
        </w:rPr>
        <w:t>机器设备及餐饮用品等部分的状况以标的物现状为准，标的物可能存在老化、毁损和不能正常使用的情况。本管理人不承担本标的物瑕疵保证和质量保修，具体以实物及实际情况为准。标的物以实物现状进行交付，标的物的名称、型号及数量，仅通过标的物的外观获取，无法对标的物的具体信息进行核实，若标的物交付时名称、型号及数量等有出入，拍卖成交价不作调整。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由此产生的风险由买受人承担，与管理人及拍卖辅助机构无关。</w:t>
      </w:r>
    </w:p>
    <w:p w14:paraId="25CA6301">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bCs/>
          <w:color w:val="FF0000"/>
          <w:sz w:val="24"/>
          <w:szCs w:val="24"/>
        </w:rPr>
        <w:t>其他未尽事宜由买受人自行了解。</w:t>
      </w:r>
    </w:p>
    <w:p w14:paraId="6044DCE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二、咨询、展示、看样的时间与方式</w:t>
      </w:r>
    </w:p>
    <w:p w14:paraId="4CDB64F5">
      <w:pPr>
        <w:spacing w:line="360" w:lineRule="auto"/>
        <w:ind w:firstLine="480" w:firstLineChars="200"/>
        <w:rPr>
          <w:rFonts w:hint="eastAsia" w:asciiTheme="minorEastAsia" w:hAnsiTheme="minorEastAsia"/>
          <w:b/>
          <w:color w:val="FF0000"/>
          <w:sz w:val="24"/>
          <w:szCs w:val="24"/>
        </w:rPr>
      </w:pPr>
      <w:r>
        <w:rPr>
          <w:rFonts w:hint="eastAsia" w:asciiTheme="minorEastAsia" w:hAnsiTheme="minorEastAsia"/>
          <w:sz w:val="24"/>
          <w:szCs w:val="24"/>
        </w:rPr>
        <w:t>自公告之日起至本次拍卖结束之日止接受咨询（工作时间内），统一安排现场看样。本管理人已委托</w:t>
      </w:r>
      <w:r>
        <w:rPr>
          <w:rFonts w:hint="eastAsia" w:asciiTheme="minorEastAsia" w:hAnsiTheme="minorEastAsia"/>
          <w:sz w:val="24"/>
          <w:szCs w:val="24"/>
          <w:u w:val="single"/>
        </w:rPr>
        <w:t>河北德辉辅拍网络科技有限公司</w:t>
      </w:r>
      <w:r>
        <w:rPr>
          <w:rFonts w:hint="eastAsia" w:asciiTheme="minorEastAsia" w:hAnsiTheme="minorEastAsia"/>
          <w:sz w:val="24"/>
          <w:szCs w:val="24"/>
        </w:rPr>
        <w:t>协助办理咨询、预展事务，有意者请联系（联系电话：刘先生：13863373747，王女士：18548013663）。</w:t>
      </w:r>
      <w:r>
        <w:rPr>
          <w:rFonts w:hint="eastAsia" w:asciiTheme="minorEastAsia" w:hAnsiTheme="minorEastAsia"/>
          <w:b/>
          <w:color w:val="FF0000"/>
          <w:sz w:val="24"/>
          <w:szCs w:val="24"/>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17BCD915">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三、竞买人条件</w:t>
      </w:r>
    </w:p>
    <w:p w14:paraId="42E0B87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4210C1A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7E143F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7F9F61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0B6368AA">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四、优先购买权人</w:t>
      </w:r>
    </w:p>
    <w:p w14:paraId="7FB3091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1、本标的物优先购买权人：</w:t>
      </w:r>
    </w:p>
    <w:p w14:paraId="12708E33">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030C0217">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EB8CB5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125F035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10B6F6">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五、拍卖延时</w:t>
      </w:r>
    </w:p>
    <w:p w14:paraId="3647F3B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015D0F4B">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六、拍卖方式</w:t>
      </w:r>
    </w:p>
    <w:p w14:paraId="6A206DF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79285029">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七、税费及其他费用承担</w:t>
      </w:r>
    </w:p>
    <w:p w14:paraId="1A98249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因标的物转让权属发生变更所涉及的一切税、费(包括但不限于所得税、营业税、房产税、土地使用税、土地增值税、增值税、附加税、契税、印花税、水利基金、出让金、应补地价、罚款、滞纳金等具体以相关部门最终核定为准)和可能需要补交的相关税、费等由买卖双方按照法律规定各自承担。如未明确缴费义务人的费用由买受人承担。买受人在竞买前应向所涉税务部门确认成交后应缴纳的税费标准。</w:t>
      </w:r>
    </w:p>
    <w:p w14:paraId="59C16E47">
      <w:pPr>
        <w:spacing w:line="360" w:lineRule="auto"/>
        <w:ind w:firstLine="482"/>
        <w:rPr>
          <w:rFonts w:hint="eastAsia" w:cs="宋体" w:asciiTheme="minorEastAsia" w:hAnsiTheme="minorEastAsia"/>
          <w:b/>
          <w:sz w:val="24"/>
        </w:rPr>
      </w:pPr>
      <w:r>
        <w:rPr>
          <w:rFonts w:cs="宋体" w:asciiTheme="minorEastAsia" w:hAnsiTheme="minorEastAsia"/>
          <w:b/>
          <w:sz w:val="24"/>
        </w:rPr>
        <w:t>八、签署成交文件</w:t>
      </w:r>
    </w:p>
    <w:p w14:paraId="6CB0926D">
      <w:pPr>
        <w:spacing w:line="360" w:lineRule="auto"/>
        <w:ind w:firstLine="482"/>
        <w:rPr>
          <w:rFonts w:hint="eastAsia"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4CEE4A5F">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九、保证金和余款支付</w:t>
      </w:r>
    </w:p>
    <w:p w14:paraId="6CA7F23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第一次出价前，意向竞买人须在京东注册账号并通过实名认证（已注册京东账号需通过实名认证），在线支付竞买保证金，支付后系统自动冻结该笔保证金。竞价成交的，本标的物竞得者（以下简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0203B0FA">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竞价成交后，标的物竞得者原锁定的保证金自动转入管理人指定账户。买受人应于</w:t>
      </w:r>
      <w:r>
        <w:rPr>
          <w:rFonts w:hint="eastAsia" w:asciiTheme="minorEastAsia" w:hAnsiTheme="minorEastAsia"/>
          <w:b/>
          <w:bCs/>
          <w:sz w:val="24"/>
          <w:szCs w:val="24"/>
        </w:rPr>
        <w:t>成交之时起三十日内</w:t>
      </w:r>
      <w:r>
        <w:rPr>
          <w:rFonts w:hint="eastAsia" w:asciiTheme="minorEastAsia" w:hAnsiTheme="minorEastAsia"/>
          <w:sz w:val="24"/>
          <w:szCs w:val="24"/>
        </w:rPr>
        <w:t>将竞价成交价余款（扣除保证金后的余款）缴入管理人指定账户（</w:t>
      </w:r>
      <w:r>
        <w:rPr>
          <w:rFonts w:hint="eastAsia" w:asciiTheme="minorEastAsia" w:hAnsiTheme="minorEastAsia"/>
          <w:b/>
          <w:bCs/>
          <w:color w:val="FF0000"/>
          <w:sz w:val="24"/>
          <w:szCs w:val="24"/>
        </w:rPr>
        <w:t>户名：邯郸市滏淼生态农业有限公司管理人；账号：</w:t>
      </w:r>
      <w:r>
        <w:rPr>
          <w:rFonts w:asciiTheme="minorEastAsia" w:hAnsiTheme="minorEastAsia"/>
          <w:b/>
          <w:bCs/>
          <w:color w:val="FF0000"/>
          <w:sz w:val="24"/>
          <w:szCs w:val="24"/>
        </w:rPr>
        <w:t>13050164560800001758</w:t>
      </w:r>
      <w:r>
        <w:rPr>
          <w:rFonts w:hint="eastAsia" w:asciiTheme="minorEastAsia" w:hAnsiTheme="minorEastAsia"/>
          <w:b/>
          <w:bCs/>
          <w:color w:val="FF0000"/>
          <w:sz w:val="24"/>
          <w:szCs w:val="24"/>
        </w:rPr>
        <w:t>；开户行：中国建设银行股份有限公司邯郸冀南新区支行</w:t>
      </w:r>
      <w:r>
        <w:rPr>
          <w:rFonts w:hint="eastAsia" w:asciiTheme="minorEastAsia" w:hAnsiTheme="minorEastAsia"/>
          <w:sz w:val="24"/>
          <w:szCs w:val="24"/>
        </w:rPr>
        <w:t>）。逾期则视为买受人悔拍，拍卖成交后买受人悔拍的，交纳的保证金不予退还，计入债务人财产。保证金数额不足以弥补拍卖费用损失以及重新拍卖价款低于原拍卖价款的差价的，管理人可向悔拍人追索。</w:t>
      </w:r>
    </w:p>
    <w:p w14:paraId="62A91280">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特别提示：</w:t>
      </w:r>
    </w:p>
    <w:p w14:paraId="0B37B4BD">
      <w:pPr>
        <w:spacing w:line="360" w:lineRule="auto"/>
        <w:ind w:firstLine="480" w:firstLineChars="200"/>
        <w:rPr>
          <w:rFonts w:hint="eastAsia" w:asciiTheme="minorEastAsia" w:hAnsiTheme="minorEastAsia"/>
          <w:sz w:val="24"/>
          <w:szCs w:val="24"/>
        </w:rPr>
      </w:pPr>
      <w:bookmarkStart w:id="0" w:name="_Hlk167805378"/>
      <w:r>
        <w:rPr>
          <w:rFonts w:hint="eastAsia" w:asciiTheme="minorEastAsia" w:hAnsiTheme="minorEastAsia"/>
          <w:sz w:val="24"/>
          <w:szCs w:val="24"/>
        </w:rPr>
        <w:t>1、综合服务费由拍卖辅助机构收取（按照成交价格的4%计算）买受人需在</w:t>
      </w:r>
      <w:r>
        <w:rPr>
          <w:rFonts w:hint="eastAsia" w:asciiTheme="minorEastAsia" w:hAnsiTheme="minorEastAsia"/>
          <w:b/>
          <w:bCs/>
          <w:sz w:val="24"/>
          <w:szCs w:val="24"/>
        </w:rPr>
        <w:t>成交之时起三十日内</w:t>
      </w:r>
      <w:r>
        <w:rPr>
          <w:rFonts w:hint="eastAsia" w:asciiTheme="minorEastAsia" w:hAnsiTheme="minorEastAsia"/>
          <w:sz w:val="24"/>
          <w:szCs w:val="24"/>
        </w:rPr>
        <w:t>将综合服务费汇款至河北德辉辅拍网络科技有限公司指定账户【户名：河北德辉辅拍网络科技有限公司；开户行：中国民生银行股份有限公司石家庄平安南大街支行；账号：641602305；以到账时间为准】。</w:t>
      </w:r>
    </w:p>
    <w:p w14:paraId="731D60E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拍卖标的物竞拍成功后，京东平台收取（按照成交价格的0.5%计算）技术服务费，买受人通过线上全额支付完成费用后拍卖标的保证金将转至处置主体的银行账户(若买受人未支付技术服务费的，平台将延迟推送竞拍保证金直至买受人线上完成技术服务费订单的支付)。</w:t>
      </w:r>
    </w:p>
    <w:bookmarkEnd w:id="0"/>
    <w:p w14:paraId="491C024B">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十、拍品交付</w:t>
      </w:r>
    </w:p>
    <w:p w14:paraId="7434515B">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产权过户手续，管理人给予必要的配合。买受人逾期不办理的，应支付由此产生的一切费用，并承担本标的物可能发生的损毁、灭失等后果。</w:t>
      </w:r>
    </w:p>
    <w:p w14:paraId="16221044">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2、标的物转让登记手续由买受人自行办理，管理人依法提供相应文件。能否办理过户手续及办理过户手续的时间请竞买人在竞买前自行到相关部门咨询确认，因标的物现状及存在瑕疵等原因不能或者延迟办理过户手续，造成的费用增加的后果由买受人承担，拍卖人不作过户的任何承诺。涉及违法、违建部分，由买受人自行接受行政主管部门依照有关行政法律、法规的处理。</w:t>
      </w:r>
    </w:p>
    <w:p w14:paraId="33D6AC16">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3、拍卖标的物权属变更登记需要严格按照相关法律法规以及相关政策，其中有关材料的准备和相关部门的审核时限管理人无法明确知悉，买受人不得以办理权属变更登记时间过长为由进行悔拍，或者要求管理人及拍卖辅助机构承担任何责任以及赔偿任何损失。</w:t>
      </w:r>
    </w:p>
    <w:p w14:paraId="4D94A859">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4、因机器设备及餐饮用品等部分存放于房屋建筑物内，该部分在交付房屋建筑物时视为同时交付，后续买受人对该部分的搬运期间所涉及的一切费用及明确的或潜在的一切关联费用(包括但不限于装卸费、人工费、运输费、场地费、检测费、税费及搬运过程中标的物自身的损毁、灭失，赔偿因搬运过程中给他人人身或者财产安全造成的损害；防范或者消除搬运过程中涉及的环境污染问题或者消防安全问题等而支出的费用等)由买受人自行承担。</w:t>
      </w:r>
    </w:p>
    <w:p w14:paraId="4DEAF9C7">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5、如本次拍卖标的物由于不确定因素或自然灾害等不可抗力因素或管理人未能掌握的情形等原因致使拍卖标的物不能如期交付的，管理人和拍卖辅助机构不承担任何责任。</w:t>
      </w:r>
    </w:p>
    <w:p w14:paraId="4A7D161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依照相关法律规定，竞买人成功竞得网拍标的物后，网拍平台将生成相应《网络竞价成功确认书》，该材料仅为竞价成功确认书，载明实际买受人姓名、网拍竞买号信息，非《拍卖成交确认书》。</w:t>
      </w:r>
    </w:p>
    <w:p w14:paraId="3BC65A09">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4378DCA4">
      <w:pPr>
        <w:spacing w:line="360" w:lineRule="auto"/>
        <w:ind w:firstLine="482" w:firstLineChars="200"/>
        <w:rPr>
          <w:rFonts w:hint="eastAsia"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破产案件监督单位：磁县人民法院;</w:t>
      </w:r>
    </w:p>
    <w:p w14:paraId="0EB5637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咨询电话：刘先生：13863373747，王女士：18548013663</w:t>
      </w:r>
    </w:p>
    <w:p w14:paraId="5FB55E3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京东技术咨询电话：4006229586；</w:t>
      </w:r>
    </w:p>
    <w:p w14:paraId="4BEC2E3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法院监督电话：0310-2322863</w:t>
      </w:r>
    </w:p>
    <w:p w14:paraId="3EB68DDC">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本次拍卖活动最终解释权归邯郸市滏淼生态农业有限公司管理人所有。</w:t>
      </w:r>
    </w:p>
    <w:p w14:paraId="7C6D177F">
      <w:pPr>
        <w:spacing w:line="360" w:lineRule="auto"/>
        <w:ind w:firstLine="480" w:firstLineChars="200"/>
        <w:rPr>
          <w:rFonts w:hint="eastAsia" w:asciiTheme="minorEastAsia" w:hAnsiTheme="minorEastAsia"/>
          <w:sz w:val="24"/>
          <w:szCs w:val="24"/>
        </w:rPr>
      </w:pPr>
    </w:p>
    <w:p w14:paraId="002B5688">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邯郸市滏淼生态农业有限公司管理人</w:t>
      </w:r>
    </w:p>
    <w:p w14:paraId="19A34865">
      <w:pPr>
        <w:spacing w:line="360" w:lineRule="auto"/>
        <w:ind w:firstLine="480" w:firstLineChars="200"/>
        <w:jc w:val="right"/>
        <w:rPr>
          <w:rFonts w:hint="eastAsia" w:asciiTheme="minorEastAsia" w:hAnsiTheme="minorEastAsia"/>
          <w:sz w:val="24"/>
          <w:szCs w:val="24"/>
        </w:rPr>
      </w:pPr>
    </w:p>
    <w:p w14:paraId="7D5D9FFE">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二〇二五年七月十一日</w:t>
      </w:r>
    </w:p>
    <w:p w14:paraId="56376148">
      <w:pPr>
        <w:spacing w:line="360" w:lineRule="auto"/>
        <w:jc w:val="left"/>
        <w:rPr>
          <w:rFonts w:hint="eastAsia" w:asciiTheme="minorEastAsia" w:hAnsiTheme="minorEastAsia"/>
          <w:sz w:val="24"/>
          <w:szCs w:val="24"/>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宋体"/>
    <w:panose1 w:val="02010601000101010101"/>
    <w:charset w:val="86"/>
    <w:family w:val="roma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98B"/>
    <w:rsid w:val="004E78EE"/>
    <w:rsid w:val="0086598B"/>
    <w:rsid w:val="009E0C0D"/>
    <w:rsid w:val="00FC46E9"/>
    <w:rsid w:val="15924057"/>
    <w:rsid w:val="389D21E7"/>
    <w:rsid w:val="5DAA40FD"/>
    <w:rsid w:val="63377F2F"/>
    <w:rsid w:val="6B871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unhideWhenUsed/>
    <w:qFormat/>
    <w:uiPriority w:val="99"/>
    <w:pPr>
      <w:ind w:left="100" w:leftChars="2500"/>
    </w:pPr>
  </w:style>
  <w:style w:type="paragraph" w:styleId="3">
    <w:name w:val="Balloon Text"/>
    <w:basedOn w:val="1"/>
    <w:link w:val="15"/>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日期 字符"/>
    <w:basedOn w:val="8"/>
    <w:link w:val="2"/>
    <w:semiHidden/>
    <w:qFormat/>
    <w:uiPriority w:val="99"/>
  </w:style>
  <w:style w:type="paragraph" w:customStyle="1" w:styleId="14">
    <w:name w:val="列表段落1"/>
    <w:basedOn w:val="1"/>
    <w:qFormat/>
    <w:uiPriority w:val="99"/>
    <w:pPr>
      <w:ind w:firstLine="420" w:firstLineChars="200"/>
    </w:pPr>
  </w:style>
  <w:style w:type="character" w:customStyle="1" w:styleId="15">
    <w:name w:val="批注框文本 字符"/>
    <w:basedOn w:val="8"/>
    <w:link w:val="3"/>
    <w:semiHidden/>
    <w:qFormat/>
    <w:uiPriority w:val="99"/>
    <w:rPr>
      <w:kern w:val="2"/>
      <w:sz w:val="18"/>
      <w:szCs w:val="18"/>
    </w:rPr>
  </w:style>
  <w:style w:type="character" w:customStyle="1" w:styleId="16">
    <w:name w:val="未处理的提及1"/>
    <w:basedOn w:val="8"/>
    <w:unhideWhenUsed/>
    <w:qFormat/>
    <w:uiPriority w:val="99"/>
    <w:rPr>
      <w:color w:val="605E5C"/>
      <w:shd w:val="clear" w:color="auto" w:fill="E1DFDD"/>
    </w:rPr>
  </w:style>
  <w:style w:type="paragraph" w:customStyle="1" w:styleId="17">
    <w:name w:val="修订1"/>
    <w:hidden/>
    <w:unhideWhenUsed/>
    <w:qFormat/>
    <w:uiPriority w:val="99"/>
    <w:pPr>
      <w:spacing w:after="160" w:line="278" w:lineRule="auto"/>
    </w:pPr>
    <w:rPr>
      <w:rFonts w:asciiTheme="minorHAnsi" w:hAnsiTheme="minorHAnsi" w:eastAsiaTheme="minorEastAsia" w:cstheme="minorBidi"/>
      <w:kern w:val="2"/>
      <w:sz w:val="21"/>
      <w:szCs w:val="22"/>
      <w:lang w:val="en-US" w:eastAsia="zh-CN" w:bidi="ar-SA"/>
    </w:rPr>
  </w:style>
  <w:style w:type="character" w:customStyle="1" w:styleId="18">
    <w:name w:val="未处理的提及2"/>
    <w:basedOn w:val="8"/>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10246</Words>
  <Characters>10798</Characters>
  <Lines>246</Lines>
  <Paragraphs>167</Paragraphs>
  <TotalTime>10</TotalTime>
  <ScaleCrop>false</ScaleCrop>
  <LinksUpToDate>false</LinksUpToDate>
  <CharactersWithSpaces>10800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2023-03-23T13:29:00Z</dcterms:created>
  <dc:creator>Administrator</dc:creator>
  <cp:lastModifiedBy>C-koi1816</cp:lastModifiedBy>
  <dcterms:modified xsi:type="dcterms:W3CDTF">2025-07-11T03:23:33Z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8C2C4759323644FE92365E9F3697D46B_13</vt:lpwstr>
  </property>
  <property fmtid="{D5CDD505-2E9C-101B-9397-08002B2CF9AE}" pid="4" name="KSOTemplateDocerSaveRecord">
    <vt:lpwstr>eyJoZGlkIjoiMmRiZWQzYzYwYWM5NDc0N2VkYjNkZjc2NjQ2NTQ3MjYiLCJ1c2VySWQiOiIxMzM5NjkzNzY2In0=</vt:lpwstr>
  </property>
</Properties>
</file>