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9E228C">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ind w:firstLine="0" w:firstLineChars="0"/>
        <w:jc w:val="center"/>
        <w:textAlignment w:val="auto"/>
        <w:rPr>
          <w:rFonts w:hint="eastAsia" w:ascii="方正小标宋简体" w:hAnsi="方正小标宋简体" w:eastAsia="方正小标宋简体" w:cs="方正小标宋简体"/>
          <w:b/>
          <w:bCs w:val="0"/>
          <w:kern w:val="44"/>
          <w:sz w:val="44"/>
          <w:szCs w:val="44"/>
          <w:lang w:val="en-US" w:eastAsia="zh-CN" w:bidi="ar-SA"/>
        </w:rPr>
      </w:pPr>
      <w:r>
        <w:rPr>
          <w:rFonts w:hint="eastAsia" w:ascii="方正小标宋简体" w:hAnsi="方正小标宋简体" w:eastAsia="方正小标宋简体" w:cs="方正小标宋简体"/>
          <w:b/>
          <w:bCs w:val="0"/>
          <w:kern w:val="44"/>
          <w:sz w:val="44"/>
          <w:szCs w:val="44"/>
          <w:lang w:val="en-US" w:eastAsia="zh-CN" w:bidi="ar-SA"/>
        </w:rPr>
        <w:t>关于提请债权人会议审议</w:t>
      </w:r>
    </w:p>
    <w:p w14:paraId="5ADEA013">
      <w:pPr>
        <w:keepNext w:val="0"/>
        <w:keepLines w:val="0"/>
        <w:pageBreakBefore w:val="0"/>
        <w:widowControl w:val="0"/>
        <w:kinsoku/>
        <w:wordWrap/>
        <w:overflowPunct/>
        <w:topLinePunct w:val="0"/>
        <w:autoSpaceDE/>
        <w:autoSpaceDN/>
        <w:bidi w:val="0"/>
        <w:adjustRightInd/>
        <w:snapToGrid/>
        <w:spacing w:before="157" w:beforeLines="50" w:after="157" w:afterLines="50" w:line="700" w:lineRule="exact"/>
        <w:ind w:firstLine="0" w:firstLineChars="0"/>
        <w:jc w:val="center"/>
        <w:textAlignment w:val="auto"/>
        <w:rPr>
          <w:rFonts w:hint="eastAsia" w:ascii="方正小标宋简体" w:hAnsi="方正小标宋简体" w:eastAsia="方正小标宋简体" w:cs="方正小标宋简体"/>
          <w:b/>
          <w:bCs w:val="0"/>
          <w:kern w:val="44"/>
          <w:sz w:val="44"/>
          <w:szCs w:val="44"/>
          <w:lang w:val="en-US" w:eastAsia="zh-CN" w:bidi="ar-SA"/>
        </w:rPr>
      </w:pPr>
      <w:r>
        <w:rPr>
          <w:rFonts w:hint="eastAsia" w:ascii="方正小标宋简体" w:hAnsi="方正小标宋简体" w:eastAsia="方正小标宋简体" w:cs="方正小标宋简体"/>
          <w:b/>
          <w:bCs w:val="0"/>
          <w:kern w:val="44"/>
          <w:sz w:val="44"/>
          <w:szCs w:val="44"/>
          <w:lang w:val="en-US" w:eastAsia="zh-CN" w:bidi="ar-SA"/>
        </w:rPr>
        <w:t>财产处置方案的报告</w:t>
      </w:r>
    </w:p>
    <w:p w14:paraId="00D45584">
      <w:pPr>
        <w:pStyle w:val="8"/>
        <w:keepNext w:val="0"/>
        <w:keepLines w:val="0"/>
        <w:pageBreakBefore w:val="0"/>
        <w:widowControl/>
        <w:kinsoku/>
        <w:wordWrap/>
        <w:overflowPunct/>
        <w:topLinePunct w:val="0"/>
        <w:autoSpaceDE/>
        <w:autoSpaceDN/>
        <w:bidi w:val="0"/>
        <w:adjustRightInd/>
        <w:snapToGrid/>
        <w:spacing w:beforeAutospacing="0" w:afterAutospacing="0" w:line="700" w:lineRule="exact"/>
        <w:ind w:left="0" w:leftChars="0" w:firstLine="641" w:firstLineChars="200"/>
        <w:jc w:val="both"/>
        <w:textAlignment w:val="auto"/>
        <w:rPr>
          <w:rFonts w:hint="eastAsia" w:ascii="方正黑体简体" w:hAnsi="方正黑体简体" w:eastAsia="方正黑体简体" w:cs="方正黑体简体"/>
          <w:b/>
          <w:bCs w:val="0"/>
          <w:color w:val="auto"/>
          <w:sz w:val="32"/>
          <w:szCs w:val="32"/>
        </w:rPr>
      </w:pPr>
      <w:r>
        <w:rPr>
          <w:rFonts w:hint="eastAsia" w:ascii="方正黑体简体" w:hAnsi="方正黑体简体" w:eastAsia="方正黑体简体" w:cs="方正黑体简体"/>
          <w:b/>
          <w:bCs w:val="0"/>
          <w:color w:val="auto"/>
          <w:sz w:val="32"/>
          <w:szCs w:val="32"/>
        </w:rPr>
        <w:t>一、变价方案所涉及财产的范围</w:t>
      </w:r>
    </w:p>
    <w:p w14:paraId="0FF9D73B">
      <w:pPr>
        <w:pStyle w:val="8"/>
        <w:keepNext w:val="0"/>
        <w:keepLines w:val="0"/>
        <w:pageBreakBefore w:val="0"/>
        <w:widowControl/>
        <w:kinsoku/>
        <w:wordWrap/>
        <w:overflowPunct/>
        <w:topLinePunct w:val="0"/>
        <w:autoSpaceDE/>
        <w:autoSpaceDN/>
        <w:bidi w:val="0"/>
        <w:adjustRightInd/>
        <w:snapToGrid/>
        <w:spacing w:beforeAutospacing="0" w:afterAutospacing="0" w:line="580" w:lineRule="exact"/>
        <w:ind w:left="0" w:leftChars="0" w:firstLine="643" w:firstLineChars="200"/>
        <w:jc w:val="both"/>
        <w:textAlignment w:val="auto"/>
        <w:rPr>
          <w:rFonts w:hint="eastAsia" w:ascii="方正仿宋简体" w:hAnsi="方正仿宋简体" w:eastAsia="方正仿宋简体" w:cs="方正仿宋简体"/>
          <w:b/>
          <w:bCs w:val="0"/>
          <w:color w:val="auto"/>
          <w:sz w:val="32"/>
          <w:szCs w:val="32"/>
          <w:highlight w:val="none"/>
        </w:rPr>
      </w:pPr>
      <w:r>
        <w:rPr>
          <w:rFonts w:hint="eastAsia" w:ascii="方正仿宋简体" w:hAnsi="方正仿宋简体" w:eastAsia="方正仿宋简体" w:cs="方正仿宋简体"/>
          <w:b/>
          <w:bCs w:val="0"/>
          <w:color w:val="auto"/>
          <w:sz w:val="32"/>
          <w:szCs w:val="32"/>
        </w:rPr>
        <w:t>本次变价方案所涉及财产的范围为</w:t>
      </w:r>
      <w:r>
        <w:rPr>
          <w:rFonts w:hint="eastAsia" w:ascii="方正仿宋简体" w:hAnsi="方正仿宋简体" w:eastAsia="方正仿宋简体" w:cs="方正仿宋简体"/>
          <w:b/>
          <w:bCs w:val="0"/>
          <w:color w:val="auto"/>
          <w:sz w:val="32"/>
          <w:szCs w:val="32"/>
          <w:lang w:val="en-US" w:eastAsia="zh-CN"/>
        </w:rPr>
        <w:t>债务人荣县兴宏达商贸有限公司</w:t>
      </w:r>
      <w:r>
        <w:rPr>
          <w:rFonts w:hint="eastAsia" w:ascii="方正仿宋简体" w:hAnsi="方正仿宋简体" w:eastAsia="方正仿宋简体" w:cs="方正仿宋简体"/>
          <w:b/>
          <w:bCs w:val="0"/>
          <w:color w:val="auto"/>
          <w:sz w:val="32"/>
          <w:szCs w:val="32"/>
        </w:rPr>
        <w:t>（以下简称</w:t>
      </w:r>
      <w:r>
        <w:rPr>
          <w:rFonts w:hint="eastAsia" w:ascii="方正仿宋简体" w:hAnsi="方正仿宋简体" w:eastAsia="方正仿宋简体" w:cs="方正仿宋简体"/>
          <w:b/>
          <w:bCs w:val="0"/>
          <w:color w:val="auto"/>
          <w:sz w:val="32"/>
          <w:szCs w:val="32"/>
          <w:lang w:val="en-US" w:eastAsia="zh-CN"/>
        </w:rPr>
        <w:t>兴宏达公司或债务人</w:t>
      </w:r>
      <w:r>
        <w:rPr>
          <w:rFonts w:hint="eastAsia" w:ascii="方正仿宋简体" w:hAnsi="方正仿宋简体" w:eastAsia="方正仿宋简体" w:cs="方正仿宋简体"/>
          <w:b/>
          <w:bCs w:val="0"/>
          <w:color w:val="auto"/>
          <w:sz w:val="32"/>
          <w:szCs w:val="32"/>
        </w:rPr>
        <w:t>）截至</w:t>
      </w:r>
      <w:r>
        <w:rPr>
          <w:rFonts w:hint="eastAsia" w:ascii="方正仿宋简体" w:hAnsi="方正仿宋简体" w:eastAsia="方正仿宋简体" w:cs="方正仿宋简体"/>
          <w:b/>
          <w:bCs w:val="0"/>
          <w:color w:val="auto"/>
          <w:sz w:val="32"/>
          <w:szCs w:val="32"/>
          <w:lang w:val="en-US" w:eastAsia="zh-CN"/>
        </w:rPr>
        <w:t>目前</w:t>
      </w:r>
      <w:r>
        <w:rPr>
          <w:rFonts w:hint="eastAsia" w:ascii="方正仿宋简体" w:hAnsi="方正仿宋简体" w:eastAsia="方正仿宋简体" w:cs="方正仿宋简体"/>
          <w:b/>
          <w:bCs w:val="0"/>
          <w:color w:val="auto"/>
          <w:sz w:val="32"/>
          <w:szCs w:val="32"/>
        </w:rPr>
        <w:t>的全部财产。财产种类包括但不限</w:t>
      </w:r>
      <w:r>
        <w:rPr>
          <w:rFonts w:hint="eastAsia" w:ascii="方正仿宋简体" w:hAnsi="方正仿宋简体" w:eastAsia="方正仿宋简体" w:cs="方正仿宋简体"/>
          <w:b/>
          <w:bCs w:val="0"/>
          <w:color w:val="auto"/>
          <w:sz w:val="32"/>
          <w:szCs w:val="32"/>
          <w:highlight w:val="none"/>
        </w:rPr>
        <w:t>于</w:t>
      </w:r>
      <w:r>
        <w:rPr>
          <w:rFonts w:hint="eastAsia" w:ascii="方正仿宋简体" w:hAnsi="方正仿宋简体" w:eastAsia="方正仿宋简体" w:cs="方正仿宋简体"/>
          <w:b/>
          <w:bCs w:val="0"/>
          <w:color w:val="auto"/>
          <w:sz w:val="32"/>
          <w:szCs w:val="32"/>
          <w:highlight w:val="none"/>
          <w:lang w:eastAsia="zh-CN"/>
        </w:rPr>
        <w:t>土地</w:t>
      </w:r>
      <w:r>
        <w:rPr>
          <w:rFonts w:hint="eastAsia" w:ascii="方正仿宋简体" w:hAnsi="方正仿宋简体" w:eastAsia="方正仿宋简体" w:cs="方正仿宋简体"/>
          <w:b/>
          <w:bCs w:val="0"/>
          <w:color w:val="auto"/>
          <w:sz w:val="32"/>
          <w:szCs w:val="32"/>
          <w:highlight w:val="none"/>
        </w:rPr>
        <w:t>等具有财产价值的权利和实物。</w:t>
      </w:r>
    </w:p>
    <w:p w14:paraId="6395FDA3">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700" w:lineRule="exact"/>
        <w:ind w:left="0" w:leftChars="0" w:firstLine="641" w:firstLineChars="200"/>
        <w:jc w:val="both"/>
        <w:textAlignment w:val="auto"/>
        <w:rPr>
          <w:rFonts w:hint="eastAsia" w:ascii="方正黑体简体" w:hAnsi="方正黑体简体" w:eastAsia="方正黑体简体" w:cs="方正黑体简体"/>
          <w:b/>
          <w:bCs w:val="0"/>
          <w:color w:val="auto"/>
          <w:sz w:val="32"/>
          <w:szCs w:val="32"/>
        </w:rPr>
      </w:pPr>
      <w:r>
        <w:rPr>
          <w:rFonts w:hint="eastAsia" w:ascii="方正黑体简体" w:hAnsi="方正黑体简体" w:eastAsia="方正黑体简体" w:cs="方正黑体简体"/>
          <w:b/>
          <w:bCs w:val="0"/>
          <w:color w:val="auto"/>
          <w:kern w:val="0"/>
          <w:sz w:val="32"/>
          <w:szCs w:val="32"/>
          <w:lang w:val="en-US" w:eastAsia="zh-CN" w:bidi="ar-SA"/>
        </w:rPr>
        <w:t>二、</w:t>
      </w:r>
      <w:r>
        <w:rPr>
          <w:rFonts w:hint="eastAsia" w:ascii="方正黑体简体" w:hAnsi="方正黑体简体" w:eastAsia="方正黑体简体" w:cs="方正黑体简体"/>
          <w:b/>
          <w:bCs w:val="0"/>
          <w:color w:val="auto"/>
          <w:sz w:val="32"/>
          <w:szCs w:val="32"/>
        </w:rPr>
        <w:t>变价原则</w:t>
      </w:r>
    </w:p>
    <w:p w14:paraId="2E88F3F9">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580" w:lineRule="exact"/>
        <w:ind w:left="0" w:leftChars="0" w:firstLine="643" w:firstLineChars="200"/>
        <w:jc w:val="both"/>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企业财产的变价，最终要达到保护债权人利益和尽量减少企业财产流失的目的，因此，财产变价应遵循以下基本原则。</w:t>
      </w:r>
    </w:p>
    <w:p w14:paraId="7F97FDA4">
      <w:pPr>
        <w:pStyle w:val="8"/>
        <w:keepNext w:val="0"/>
        <w:keepLines w:val="0"/>
        <w:pageBreakBefore w:val="0"/>
        <w:widowControl/>
        <w:numPr>
          <w:ilvl w:val="0"/>
          <w:numId w:val="0"/>
        </w:numPr>
        <w:kinsoku/>
        <w:wordWrap/>
        <w:overflowPunct/>
        <w:topLinePunct w:val="0"/>
        <w:autoSpaceDE/>
        <w:autoSpaceDN/>
        <w:bidi w:val="0"/>
        <w:adjustRightInd/>
        <w:snapToGrid/>
        <w:spacing w:beforeAutospacing="0" w:afterAutospacing="0" w:line="700" w:lineRule="exact"/>
        <w:ind w:left="0" w:leftChars="0" w:firstLine="643" w:firstLineChars="200"/>
        <w:jc w:val="both"/>
        <w:textAlignment w:val="auto"/>
        <w:rPr>
          <w:rFonts w:hint="eastAsia" w:ascii="方正楷体简体" w:hAnsi="方正楷体简体" w:eastAsia="方正楷体简体" w:cs="方正楷体简体"/>
          <w:b/>
          <w:bCs w:val="0"/>
          <w:color w:val="auto"/>
          <w:sz w:val="32"/>
          <w:szCs w:val="32"/>
        </w:rPr>
      </w:pP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一</w:t>
      </w: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rPr>
        <w:t>依法、公开、公平、公正原则</w:t>
      </w:r>
    </w:p>
    <w:p w14:paraId="18AEA2BD">
      <w:pPr>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破产财产是全体债权人实现债权的基础，变价工作事关每个债权人的切身利益，管理人将秉承依法、公开、公平、公正的原则进行破产财产变价工作。</w:t>
      </w:r>
    </w:p>
    <w:p w14:paraId="678AD7F9">
      <w:pPr>
        <w:keepNext w:val="0"/>
        <w:keepLines w:val="0"/>
        <w:pageBreakBefore w:val="0"/>
        <w:kinsoku/>
        <w:wordWrap/>
        <w:overflowPunct/>
        <w:topLinePunct w:val="0"/>
        <w:autoSpaceDE/>
        <w:autoSpaceDN/>
        <w:bidi w:val="0"/>
        <w:adjustRightInd/>
        <w:snapToGrid/>
        <w:spacing w:line="700" w:lineRule="exact"/>
        <w:ind w:left="0" w:leftChars="0" w:firstLine="643" w:firstLineChars="200"/>
        <w:textAlignment w:val="auto"/>
        <w:rPr>
          <w:rFonts w:hint="eastAsia" w:ascii="方正楷体简体" w:hAnsi="方正楷体简体" w:eastAsia="方正楷体简体" w:cs="方正楷体简体"/>
          <w:b/>
          <w:bCs w:val="0"/>
          <w:color w:val="auto"/>
          <w:sz w:val="32"/>
          <w:szCs w:val="32"/>
        </w:rPr>
      </w:pP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二</w:t>
      </w: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rPr>
        <w:t>征得人民法院许可的原则</w:t>
      </w:r>
    </w:p>
    <w:p w14:paraId="7A0C074F">
      <w:pPr>
        <w:pStyle w:val="5"/>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管理人制定的财产</w:t>
      </w:r>
      <w:r>
        <w:rPr>
          <w:rFonts w:hint="eastAsia" w:ascii="方正仿宋简体" w:hAnsi="方正仿宋简体" w:eastAsia="方正仿宋简体" w:cs="方正仿宋简体"/>
          <w:b/>
          <w:bCs w:val="0"/>
          <w:color w:val="auto"/>
          <w:sz w:val="32"/>
          <w:szCs w:val="32"/>
          <w:lang w:val="en-US" w:eastAsia="zh-CN"/>
        </w:rPr>
        <w:t>变价</w:t>
      </w:r>
      <w:r>
        <w:rPr>
          <w:rFonts w:hint="eastAsia" w:ascii="方正仿宋简体" w:hAnsi="方正仿宋简体" w:eastAsia="方正仿宋简体" w:cs="方正仿宋简体"/>
          <w:b/>
          <w:bCs w:val="0"/>
          <w:color w:val="auto"/>
          <w:sz w:val="32"/>
          <w:szCs w:val="32"/>
        </w:rPr>
        <w:t>方案，应提交债权人会议表决通过，并报人民法院</w:t>
      </w:r>
      <w:r>
        <w:rPr>
          <w:rFonts w:hint="eastAsia" w:ascii="方正仿宋简体" w:hAnsi="方正仿宋简体" w:eastAsia="方正仿宋简体" w:cs="方正仿宋简体"/>
          <w:b/>
          <w:bCs w:val="0"/>
          <w:color w:val="auto"/>
          <w:sz w:val="32"/>
          <w:szCs w:val="32"/>
          <w:lang w:val="en-US" w:eastAsia="zh-CN"/>
        </w:rPr>
        <w:t>备案</w:t>
      </w:r>
      <w:r>
        <w:rPr>
          <w:rFonts w:hint="eastAsia" w:ascii="方正仿宋简体" w:hAnsi="方正仿宋简体" w:eastAsia="方正仿宋简体" w:cs="方正仿宋简体"/>
          <w:b/>
          <w:bCs w:val="0"/>
          <w:color w:val="auto"/>
          <w:sz w:val="32"/>
          <w:szCs w:val="32"/>
        </w:rPr>
        <w:t>后</w:t>
      </w:r>
      <w:r>
        <w:rPr>
          <w:rFonts w:hint="eastAsia" w:ascii="方正仿宋简体" w:hAnsi="方正仿宋简体" w:eastAsia="方正仿宋简体" w:cs="方正仿宋简体"/>
          <w:b/>
          <w:bCs w:val="0"/>
          <w:color w:val="auto"/>
          <w:sz w:val="32"/>
          <w:szCs w:val="32"/>
          <w:lang w:val="en-US" w:eastAsia="zh-CN"/>
        </w:rPr>
        <w:t>方可</w:t>
      </w:r>
      <w:r>
        <w:rPr>
          <w:rFonts w:hint="eastAsia" w:ascii="方正仿宋简体" w:hAnsi="方正仿宋简体" w:eastAsia="方正仿宋简体" w:cs="方正仿宋简体"/>
          <w:b/>
          <w:bCs w:val="0"/>
          <w:color w:val="auto"/>
          <w:sz w:val="32"/>
          <w:szCs w:val="32"/>
        </w:rPr>
        <w:t>生效和执行。</w:t>
      </w:r>
    </w:p>
    <w:p w14:paraId="075C49DE">
      <w:pPr>
        <w:pStyle w:val="5"/>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在本案破产程序中，人民法院始终处于主导地位，对管理人的工作进行监督、确认并享有撤销权，所以管理人在处理</w:t>
      </w:r>
      <w:r>
        <w:rPr>
          <w:rFonts w:hint="eastAsia" w:ascii="方正仿宋简体" w:hAnsi="方正仿宋简体" w:eastAsia="方正仿宋简体" w:cs="方正仿宋简体"/>
          <w:b/>
          <w:bCs w:val="0"/>
          <w:color w:val="auto"/>
          <w:sz w:val="32"/>
          <w:szCs w:val="32"/>
          <w:lang w:val="en-US" w:eastAsia="zh-CN"/>
        </w:rPr>
        <w:t>财产变价</w:t>
      </w:r>
      <w:r>
        <w:rPr>
          <w:rFonts w:hint="eastAsia" w:ascii="方正仿宋简体" w:hAnsi="方正仿宋简体" w:eastAsia="方正仿宋简体" w:cs="方正仿宋简体"/>
          <w:b/>
          <w:bCs w:val="0"/>
          <w:color w:val="auto"/>
          <w:sz w:val="32"/>
          <w:szCs w:val="32"/>
        </w:rPr>
        <w:t>工作中，应事先征得人民法院的同意。</w:t>
      </w:r>
    </w:p>
    <w:p w14:paraId="2890149E">
      <w:pPr>
        <w:pStyle w:val="5"/>
        <w:keepNext w:val="0"/>
        <w:keepLines w:val="0"/>
        <w:pageBreakBefore w:val="0"/>
        <w:widowControl w:val="0"/>
        <w:kinsoku/>
        <w:wordWrap/>
        <w:overflowPunct/>
        <w:topLinePunct w:val="0"/>
        <w:autoSpaceDE/>
        <w:autoSpaceDN/>
        <w:bidi w:val="0"/>
        <w:adjustRightInd w:val="0"/>
        <w:snapToGrid w:val="0"/>
        <w:spacing w:line="700" w:lineRule="exact"/>
        <w:ind w:left="0" w:leftChars="0" w:firstLine="643" w:firstLineChars="200"/>
        <w:textAlignment w:val="auto"/>
        <w:rPr>
          <w:rFonts w:hint="eastAsia" w:ascii="方正楷体简体" w:hAnsi="方正楷体简体" w:eastAsia="方正楷体简体" w:cs="方正楷体简体"/>
          <w:b/>
          <w:bCs w:val="0"/>
          <w:color w:val="auto"/>
          <w:sz w:val="32"/>
          <w:szCs w:val="32"/>
          <w:lang w:eastAsia="zh-CN"/>
        </w:rPr>
      </w:pP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三</w:t>
      </w: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财产价值最大化</w:t>
      </w:r>
      <w:r>
        <w:rPr>
          <w:rFonts w:hint="eastAsia" w:ascii="方正楷体简体" w:hAnsi="方正楷体简体" w:eastAsia="方正楷体简体" w:cs="方正楷体简体"/>
          <w:b/>
          <w:bCs w:val="0"/>
          <w:color w:val="auto"/>
          <w:sz w:val="32"/>
          <w:szCs w:val="32"/>
          <w:lang w:eastAsia="zh-CN"/>
        </w:rPr>
        <w:t>原则</w:t>
      </w:r>
    </w:p>
    <w:p w14:paraId="46AA4DDE">
      <w:pPr>
        <w:pStyle w:val="5"/>
        <w:keepNext w:val="0"/>
        <w:keepLines w:val="0"/>
        <w:pageBreakBefore w:val="0"/>
        <w:widowControl w:val="0"/>
        <w:kinsoku/>
        <w:wordWrap/>
        <w:overflowPunct/>
        <w:topLinePunct w:val="0"/>
        <w:autoSpaceDE/>
        <w:autoSpaceDN/>
        <w:bidi w:val="0"/>
        <w:adjustRightInd w:val="0"/>
        <w:snapToGrid w:val="0"/>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lang w:val="en-US" w:eastAsia="zh-CN"/>
        </w:rPr>
      </w:pPr>
      <w:r>
        <w:rPr>
          <w:rFonts w:hint="eastAsia" w:ascii="方正仿宋简体" w:hAnsi="方正仿宋简体" w:eastAsia="方正仿宋简体" w:cs="方正仿宋简体"/>
          <w:b/>
          <w:bCs w:val="0"/>
          <w:color w:val="auto"/>
          <w:sz w:val="32"/>
          <w:szCs w:val="32"/>
          <w:lang w:val="en-US" w:eastAsia="zh-CN"/>
        </w:rPr>
        <w:t>破产财产是全体债权人实现债权的基础，变价工作事关每个债权人的切身利益，管理人以尽可能提升破产人财产价值为原则，维护全体债权人的合法权益。</w:t>
      </w:r>
    </w:p>
    <w:p w14:paraId="5DE60586">
      <w:pPr>
        <w:pStyle w:val="5"/>
        <w:keepNext w:val="0"/>
        <w:keepLines w:val="0"/>
        <w:pageBreakBefore w:val="0"/>
        <w:widowControl w:val="0"/>
        <w:kinsoku/>
        <w:wordWrap/>
        <w:overflowPunct/>
        <w:topLinePunct w:val="0"/>
        <w:autoSpaceDE/>
        <w:autoSpaceDN/>
        <w:bidi w:val="0"/>
        <w:adjustRightInd w:val="0"/>
        <w:snapToGrid w:val="0"/>
        <w:spacing w:line="700" w:lineRule="exact"/>
        <w:ind w:left="0" w:leftChars="0" w:firstLine="643" w:firstLineChars="200"/>
        <w:textAlignment w:val="auto"/>
        <w:rPr>
          <w:rFonts w:hint="eastAsia" w:ascii="方正楷体简体" w:hAnsi="方正楷体简体" w:eastAsia="方正楷体简体" w:cs="方正楷体简体"/>
          <w:b/>
          <w:bCs w:val="0"/>
          <w:color w:val="auto"/>
          <w:sz w:val="32"/>
          <w:szCs w:val="32"/>
        </w:rPr>
      </w:pP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四</w:t>
      </w: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兼顾成本和效率</w:t>
      </w:r>
      <w:r>
        <w:rPr>
          <w:rFonts w:hint="eastAsia" w:ascii="方正楷体简体" w:hAnsi="方正楷体简体" w:eastAsia="方正楷体简体" w:cs="方正楷体简体"/>
          <w:b/>
          <w:bCs w:val="0"/>
          <w:color w:val="auto"/>
          <w:sz w:val="32"/>
          <w:szCs w:val="32"/>
        </w:rPr>
        <w:t>原则</w:t>
      </w:r>
    </w:p>
    <w:p w14:paraId="64E5E981">
      <w:pPr>
        <w:pStyle w:val="5"/>
        <w:keepNext w:val="0"/>
        <w:keepLines w:val="0"/>
        <w:pageBreakBefore w:val="0"/>
        <w:widowControl w:val="0"/>
        <w:kinsoku/>
        <w:wordWrap/>
        <w:overflowPunct/>
        <w:topLinePunct w:val="0"/>
        <w:autoSpaceDE/>
        <w:autoSpaceDN/>
        <w:bidi w:val="0"/>
        <w:adjustRightInd w:val="0"/>
        <w:snapToGrid w:val="0"/>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lang w:val="en-US" w:eastAsia="zh-CN"/>
        </w:rPr>
        <w:t>在尽可能提升破产财产价值的前提下，兼顾成本和效率，综合考虑时间、投资、成本、收益的关系，优化财产管理和变价方案。</w:t>
      </w:r>
    </w:p>
    <w:p w14:paraId="4B1728BB">
      <w:pPr>
        <w:pStyle w:val="5"/>
        <w:keepNext w:val="0"/>
        <w:keepLines w:val="0"/>
        <w:pageBreakBefore w:val="0"/>
        <w:kinsoku/>
        <w:wordWrap/>
        <w:overflowPunct/>
        <w:topLinePunct w:val="0"/>
        <w:autoSpaceDE/>
        <w:autoSpaceDN/>
        <w:bidi w:val="0"/>
        <w:adjustRightInd/>
        <w:snapToGrid/>
        <w:spacing w:line="700" w:lineRule="exact"/>
        <w:ind w:left="0" w:leftChars="0" w:firstLine="643" w:firstLineChars="200"/>
        <w:textAlignment w:val="auto"/>
        <w:rPr>
          <w:rFonts w:hint="eastAsia" w:ascii="方正楷体简体" w:hAnsi="方正楷体简体" w:eastAsia="方正楷体简体" w:cs="方正楷体简体"/>
          <w:b/>
          <w:bCs w:val="0"/>
          <w:color w:val="auto"/>
          <w:sz w:val="32"/>
          <w:szCs w:val="32"/>
        </w:rPr>
      </w:pP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lang w:val="en-US" w:eastAsia="zh-CN"/>
        </w:rPr>
        <w:t>五</w:t>
      </w:r>
      <w:r>
        <w:rPr>
          <w:rFonts w:hint="eastAsia" w:ascii="方正楷体简体" w:hAnsi="方正楷体简体" w:eastAsia="方正楷体简体" w:cs="方正楷体简体"/>
          <w:b/>
          <w:bCs w:val="0"/>
          <w:color w:val="auto"/>
          <w:sz w:val="32"/>
          <w:szCs w:val="32"/>
          <w:lang w:eastAsia="zh-CN"/>
        </w:rPr>
        <w:t>）</w:t>
      </w:r>
      <w:r>
        <w:rPr>
          <w:rFonts w:hint="eastAsia" w:ascii="方正楷体简体" w:hAnsi="方正楷体简体" w:eastAsia="方正楷体简体" w:cs="方正楷体简体"/>
          <w:b/>
          <w:bCs w:val="0"/>
          <w:color w:val="auto"/>
          <w:sz w:val="32"/>
          <w:szCs w:val="32"/>
        </w:rPr>
        <w:t>拍卖处置优先原则</w:t>
      </w:r>
    </w:p>
    <w:p w14:paraId="71D8FECE">
      <w:pPr>
        <w:pStyle w:val="5"/>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rPr>
      </w:pPr>
      <w:r>
        <w:rPr>
          <w:rFonts w:hint="eastAsia" w:ascii="方正仿宋简体" w:hAnsi="方正仿宋简体" w:eastAsia="方正仿宋简体" w:cs="方正仿宋简体"/>
          <w:b/>
          <w:bCs w:val="0"/>
          <w:color w:val="auto"/>
          <w:sz w:val="32"/>
          <w:szCs w:val="32"/>
        </w:rPr>
        <w:t>根据《中华人民共和国企业破产法》以及相关司法解释的规定，对破产财产的变价，可采用拍卖、变卖等公开的方式进行。但是，依法不得拍卖或者流拍的破产财产，可以在最后分配时进行实物分配或者作价变卖</w:t>
      </w:r>
      <w:r>
        <w:rPr>
          <w:rFonts w:hint="eastAsia" w:ascii="方正仿宋简体" w:hAnsi="方正仿宋简体" w:eastAsia="方正仿宋简体" w:cs="方正仿宋简体"/>
          <w:b/>
          <w:bCs w:val="0"/>
          <w:color w:val="auto"/>
          <w:sz w:val="32"/>
          <w:szCs w:val="32"/>
          <w:lang w:eastAsia="zh-CN"/>
        </w:rPr>
        <w:t>；</w:t>
      </w:r>
      <w:r>
        <w:rPr>
          <w:rFonts w:hint="eastAsia" w:ascii="方正仿宋简体" w:hAnsi="方正仿宋简体" w:eastAsia="方正仿宋简体" w:cs="方正仿宋简体"/>
          <w:b/>
          <w:bCs w:val="0"/>
          <w:color w:val="auto"/>
          <w:sz w:val="32"/>
          <w:szCs w:val="32"/>
        </w:rPr>
        <w:t>依法属于限制流通的破产财产，应当由国家指定的部门收购或者按照有关法律的规定处理。</w:t>
      </w:r>
    </w:p>
    <w:p w14:paraId="375FB53D">
      <w:pPr>
        <w:pStyle w:val="5"/>
        <w:keepNext w:val="0"/>
        <w:keepLines w:val="0"/>
        <w:pageBreakBefore w:val="0"/>
        <w:widowControl w:val="0"/>
        <w:numPr>
          <w:ilvl w:val="255"/>
          <w:numId w:val="0"/>
        </w:numPr>
        <w:kinsoku/>
        <w:wordWrap/>
        <w:overflowPunct/>
        <w:topLinePunct w:val="0"/>
        <w:autoSpaceDE/>
        <w:autoSpaceDN/>
        <w:bidi w:val="0"/>
        <w:adjustRightInd w:val="0"/>
        <w:snapToGrid w:val="0"/>
        <w:spacing w:line="700" w:lineRule="exact"/>
        <w:ind w:left="0" w:leftChars="0" w:firstLine="641" w:firstLineChars="200"/>
        <w:textAlignment w:val="auto"/>
        <w:rPr>
          <w:rFonts w:hint="eastAsia" w:ascii="方正黑体简体" w:hAnsi="方正黑体简体" w:eastAsia="方正黑体简体" w:cs="方正黑体简体"/>
          <w:b/>
          <w:bCs w:val="0"/>
          <w:color w:val="auto"/>
          <w:sz w:val="32"/>
          <w:szCs w:val="32"/>
          <w:lang w:eastAsia="zh-CN"/>
        </w:rPr>
      </w:pPr>
      <w:r>
        <w:rPr>
          <w:rFonts w:hint="eastAsia" w:ascii="方正黑体简体" w:hAnsi="方正黑体简体" w:eastAsia="方正黑体简体" w:cs="方正黑体简体"/>
          <w:b/>
          <w:bCs w:val="0"/>
          <w:color w:val="auto"/>
          <w:kern w:val="0"/>
          <w:sz w:val="32"/>
          <w:szCs w:val="32"/>
          <w:lang w:eastAsia="zh-CN"/>
        </w:rPr>
        <w:t>三</w:t>
      </w:r>
      <w:r>
        <w:rPr>
          <w:rFonts w:hint="eastAsia" w:ascii="方正黑体简体" w:hAnsi="方正黑体简体" w:eastAsia="方正黑体简体" w:cs="方正黑体简体"/>
          <w:b/>
          <w:bCs w:val="0"/>
          <w:color w:val="auto"/>
          <w:kern w:val="0"/>
          <w:sz w:val="32"/>
          <w:szCs w:val="32"/>
        </w:rPr>
        <w:t>、破产财产状况</w:t>
      </w:r>
      <w:r>
        <w:rPr>
          <w:rFonts w:hint="eastAsia" w:ascii="方正黑体简体" w:hAnsi="方正黑体简体" w:eastAsia="方正黑体简体" w:cs="方正黑体简体"/>
          <w:b/>
          <w:bCs w:val="0"/>
          <w:color w:val="auto"/>
          <w:kern w:val="0"/>
          <w:sz w:val="32"/>
          <w:szCs w:val="32"/>
          <w:lang w:eastAsia="zh-CN"/>
        </w:rPr>
        <w:t>、变价方案及变价预备措施</w:t>
      </w:r>
    </w:p>
    <w:p w14:paraId="18A63F2E">
      <w:pPr>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kern w:val="0"/>
          <w:sz w:val="32"/>
          <w:szCs w:val="32"/>
          <w:highlight w:val="none"/>
          <w:lang w:val="en-US" w:eastAsia="zh-CN" w:bidi="ar-SA"/>
        </w:rPr>
      </w:pPr>
      <w:r>
        <w:rPr>
          <w:rFonts w:hint="eastAsia" w:ascii="方正仿宋简体" w:hAnsi="方正仿宋简体" w:eastAsia="方正仿宋简体" w:cs="方正仿宋简体"/>
          <w:b/>
          <w:bCs w:val="0"/>
          <w:color w:val="auto"/>
          <w:kern w:val="0"/>
          <w:sz w:val="32"/>
          <w:szCs w:val="32"/>
          <w:highlight w:val="none"/>
          <w:lang w:val="en-US" w:eastAsia="zh-CN" w:bidi="ar-SA"/>
        </w:rPr>
        <w:t>截止本次债权人会议时止，经管理人全面清理清查，兴宏达公司的财产状况涉及土地、房屋建（构）筑物及生物性资产，其变价方案及变价措施如下：</w:t>
      </w:r>
    </w:p>
    <w:p w14:paraId="2CC67457">
      <w:pPr>
        <w:keepNext w:val="0"/>
        <w:keepLines w:val="0"/>
        <w:pageBreakBefore w:val="0"/>
        <w:widowControl w:val="0"/>
        <w:kinsoku/>
        <w:wordWrap/>
        <w:overflowPunct/>
        <w:topLinePunct w:val="0"/>
        <w:autoSpaceDE/>
        <w:autoSpaceDN/>
        <w:bidi w:val="0"/>
        <w:adjustRightInd w:val="0"/>
        <w:snapToGrid w:val="0"/>
        <w:spacing w:line="700" w:lineRule="exact"/>
        <w:ind w:left="0" w:leftChars="0" w:right="0" w:firstLine="643" w:firstLineChars="200"/>
        <w:jc w:val="both"/>
        <w:textAlignment w:val="auto"/>
        <w:rPr>
          <w:rFonts w:hint="eastAsia" w:ascii="方正楷体简体" w:hAnsi="方正楷体简体" w:eastAsia="方正楷体简体" w:cs="方正楷体简体"/>
          <w:b/>
          <w:bCs w:val="0"/>
          <w:color w:val="auto"/>
          <w:sz w:val="32"/>
          <w:szCs w:val="32"/>
          <w:lang w:val="en-US" w:eastAsia="zh-CN"/>
        </w:rPr>
      </w:pPr>
      <w:r>
        <w:rPr>
          <w:rFonts w:hint="eastAsia" w:ascii="方正楷体简体" w:hAnsi="方正楷体简体" w:eastAsia="方正楷体简体" w:cs="方正楷体简体"/>
          <w:b/>
          <w:bCs w:val="0"/>
          <w:color w:val="auto"/>
          <w:sz w:val="32"/>
          <w:szCs w:val="32"/>
          <w:highlight w:val="none"/>
          <w:lang w:val="en-US" w:eastAsia="zh-CN"/>
        </w:rPr>
        <w:t>（一）方案一</w:t>
      </w:r>
    </w:p>
    <w:p w14:paraId="713C82D3">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firstLine="643" w:firstLineChars="200"/>
        <w:jc w:val="both"/>
        <w:textAlignment w:val="auto"/>
        <w:rPr>
          <w:rFonts w:hint="eastAsia" w:ascii="方正仿宋简体" w:hAnsi="方正仿宋简体" w:eastAsia="方正仿宋简体" w:cs="方正仿宋简体"/>
          <w:b/>
          <w:bCs w:val="0"/>
          <w:color w:val="auto"/>
          <w:sz w:val="32"/>
          <w:szCs w:val="32"/>
          <w:highlight w:val="none"/>
          <w:lang w:val="en-US" w:eastAsia="zh-CN"/>
        </w:rPr>
      </w:pPr>
      <w:r>
        <w:rPr>
          <w:rFonts w:hint="eastAsia" w:ascii="方正仿宋简体" w:hAnsi="方正仿宋简体" w:eastAsia="方正仿宋简体" w:cs="方正仿宋简体"/>
          <w:b/>
          <w:bCs w:val="0"/>
          <w:color w:val="auto"/>
          <w:sz w:val="32"/>
          <w:szCs w:val="32"/>
          <w:lang w:val="en-US" w:eastAsia="zh-CN"/>
        </w:rPr>
        <w:t>继续履行《收购协议》由荣县自然资源和规划局重新评估后挂网拍卖，拍卖成功扣除相关费用后，将成交价款转入管理人账户，价格可能低于1271559元。同时，根据目前的市场行情，方案一拍卖成功的可能性很低，短期无法实现付款条件。荣县土地储备中心初步意见是采取恢复土地使用权证及房产证的方案，即方案二，且目前正在为该方案实施准备工作。</w:t>
      </w:r>
    </w:p>
    <w:p w14:paraId="58826338">
      <w:pPr>
        <w:keepNext w:val="0"/>
        <w:keepLines w:val="0"/>
        <w:pageBreakBefore w:val="0"/>
        <w:widowControl w:val="0"/>
        <w:kinsoku/>
        <w:wordWrap/>
        <w:overflowPunct/>
        <w:topLinePunct w:val="0"/>
        <w:autoSpaceDE/>
        <w:autoSpaceDN/>
        <w:bidi w:val="0"/>
        <w:adjustRightInd w:val="0"/>
        <w:snapToGrid w:val="0"/>
        <w:spacing w:line="700" w:lineRule="exact"/>
        <w:ind w:left="0" w:leftChars="0" w:right="0" w:firstLine="643" w:firstLineChars="200"/>
        <w:jc w:val="both"/>
        <w:textAlignment w:val="auto"/>
        <w:rPr>
          <w:rFonts w:hint="eastAsia" w:ascii="方正楷体简体" w:hAnsi="方正楷体简体" w:eastAsia="方正楷体简体" w:cs="方正楷体简体"/>
          <w:b/>
          <w:bCs w:val="0"/>
          <w:color w:val="auto"/>
          <w:sz w:val="32"/>
          <w:szCs w:val="32"/>
          <w:highlight w:val="none"/>
          <w:lang w:val="en-US" w:eastAsia="zh-CN"/>
        </w:rPr>
      </w:pPr>
      <w:r>
        <w:rPr>
          <w:rFonts w:hint="eastAsia" w:ascii="方正楷体简体" w:hAnsi="方正楷体简体" w:eastAsia="方正楷体简体" w:cs="方正楷体简体"/>
          <w:b/>
          <w:bCs w:val="0"/>
          <w:color w:val="auto"/>
          <w:sz w:val="32"/>
          <w:szCs w:val="32"/>
          <w:highlight w:val="none"/>
          <w:lang w:val="en-US" w:eastAsia="zh-CN"/>
        </w:rPr>
        <w:t>（二）方案二</w:t>
      </w:r>
    </w:p>
    <w:p w14:paraId="3D5DF87E">
      <w:pPr>
        <w:keepNext w:val="0"/>
        <w:keepLines w:val="0"/>
        <w:pageBreakBefore w:val="0"/>
        <w:kinsoku/>
        <w:wordWrap/>
        <w:overflowPunct/>
        <w:topLinePunct w:val="0"/>
        <w:autoSpaceDE/>
        <w:autoSpaceDN/>
        <w:bidi w:val="0"/>
        <w:spacing w:line="580" w:lineRule="exact"/>
        <w:ind w:firstLine="643" w:firstLineChars="200"/>
        <w:textAlignment w:val="auto"/>
        <w:rPr>
          <w:rFonts w:hint="eastAsia" w:ascii="方正仿宋简体" w:hAnsi="方正仿宋简体" w:eastAsia="方正仿宋简体" w:cs="方正仿宋简体"/>
          <w:b/>
          <w:bCs w:val="0"/>
          <w:color w:val="auto"/>
          <w:sz w:val="32"/>
          <w:szCs w:val="32"/>
          <w:lang w:val="en-US" w:eastAsia="zh-CN"/>
        </w:rPr>
      </w:pPr>
      <w:r>
        <w:rPr>
          <w:rFonts w:hint="eastAsia" w:ascii="方正仿宋简体" w:hAnsi="方正仿宋简体" w:eastAsia="方正仿宋简体" w:cs="方正仿宋简体"/>
          <w:b/>
          <w:bCs w:val="0"/>
          <w:color w:val="auto"/>
          <w:sz w:val="32"/>
          <w:szCs w:val="32"/>
          <w:highlight w:val="none"/>
          <w:lang w:val="en-US" w:eastAsia="zh-CN"/>
        </w:rPr>
        <w:t>解除2014年7月7日荣县土地储备中心、荣县于佳乡人民政府、荣县兴宏达商贸有限公司签订的《国有建设用地使用权及地上房屋建（构）筑物收购协议》，因协议约定出让成功后且成交价款全额缴入县财政专户后15日内，由荣县土地储备中心支付兴宏达公司，因至今未出让成功故解除协议后</w:t>
      </w:r>
      <w:r>
        <w:rPr>
          <w:rFonts w:hint="eastAsia" w:ascii="方正仿宋简体" w:hAnsi="方正仿宋简体" w:eastAsia="方正仿宋简体" w:cs="方正仿宋简体"/>
          <w:b/>
          <w:bCs w:val="0"/>
          <w:color w:val="auto"/>
          <w:sz w:val="32"/>
          <w:szCs w:val="32"/>
          <w:lang w:val="en-US" w:eastAsia="zh-CN"/>
        </w:rPr>
        <w:t>互不追究违约责任，恢复国有土地使用证证书号荣国用[2013]第54001号、房产证号荣房权证荣字第201306020、201306024号，由管理人评估后挂网拍卖。</w:t>
      </w:r>
    </w:p>
    <w:p w14:paraId="0B366276">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firstLine="643" w:firstLineChars="200"/>
        <w:jc w:val="both"/>
        <w:textAlignment w:val="auto"/>
        <w:rPr>
          <w:rFonts w:hint="eastAsia" w:ascii="方正仿宋简体" w:hAnsi="方正仿宋简体" w:eastAsia="方正仿宋简体" w:cs="方正仿宋简体"/>
          <w:b/>
          <w:bCs w:val="0"/>
          <w:color w:val="auto"/>
          <w:sz w:val="32"/>
          <w:szCs w:val="32"/>
          <w:highlight w:val="yellow"/>
        </w:rPr>
      </w:pPr>
      <w:r>
        <w:rPr>
          <w:rFonts w:hint="eastAsia" w:ascii="方正仿宋简体" w:hAnsi="方正仿宋简体" w:eastAsia="方正仿宋简体" w:cs="方正仿宋简体"/>
          <w:b/>
          <w:bCs w:val="0"/>
          <w:color w:val="auto"/>
          <w:sz w:val="32"/>
          <w:szCs w:val="32"/>
          <w:highlight w:val="none"/>
          <w:lang w:val="en-US" w:eastAsia="zh-CN"/>
        </w:rPr>
        <w:t>如荣县人民政府最终确定方案二，</w:t>
      </w:r>
      <w:r>
        <w:rPr>
          <w:rFonts w:hint="eastAsia" w:ascii="方正仿宋简体" w:hAnsi="方正仿宋简体" w:eastAsia="方正仿宋简体" w:cs="方正仿宋简体"/>
          <w:b/>
          <w:bCs w:val="0"/>
          <w:color w:val="auto"/>
          <w:sz w:val="32"/>
          <w:szCs w:val="32"/>
          <w:lang w:val="en-US" w:eastAsia="zh-CN"/>
        </w:rPr>
        <w:t>由管理人进行处置。</w:t>
      </w:r>
      <w:r>
        <w:rPr>
          <w:rFonts w:hint="eastAsia" w:ascii="方正仿宋简体" w:hAnsi="方正仿宋简体" w:eastAsia="方正仿宋简体" w:cs="方正仿宋简体"/>
          <w:b/>
          <w:bCs w:val="0"/>
          <w:color w:val="auto"/>
          <w:sz w:val="32"/>
          <w:szCs w:val="32"/>
          <w:highlight w:val="none"/>
        </w:rPr>
        <w:t>根据《中华人民共和国企业破产法》第一百一十二条第一款规定：“变价出售破产财产应当通过拍卖进行。但是，债权人会议另有决议的除外。”为确保破产财产变价价值最大化，最大限度维护全体债权人的合法权益，管理人建议，对</w:t>
      </w:r>
      <w:r>
        <w:rPr>
          <w:rFonts w:hint="eastAsia" w:ascii="方正仿宋简体" w:hAnsi="方正仿宋简体" w:eastAsia="方正仿宋简体" w:cs="方正仿宋简体"/>
          <w:b/>
          <w:bCs w:val="0"/>
          <w:color w:val="auto"/>
          <w:sz w:val="32"/>
          <w:szCs w:val="32"/>
          <w:highlight w:val="none"/>
          <w:lang w:eastAsia="zh-CN"/>
        </w:rPr>
        <w:t>债务人</w:t>
      </w:r>
      <w:r>
        <w:rPr>
          <w:rFonts w:hint="eastAsia" w:ascii="方正仿宋简体" w:hAnsi="方正仿宋简体" w:eastAsia="方正仿宋简体" w:cs="方正仿宋简体"/>
          <w:b/>
          <w:bCs w:val="0"/>
          <w:color w:val="auto"/>
          <w:sz w:val="32"/>
          <w:szCs w:val="32"/>
          <w:highlight w:val="none"/>
        </w:rPr>
        <w:t>的财产通过公开拍卖方式</w:t>
      </w:r>
      <w:r>
        <w:rPr>
          <w:rFonts w:hint="eastAsia" w:ascii="方正仿宋简体" w:hAnsi="方正仿宋简体" w:eastAsia="方正仿宋简体" w:cs="方正仿宋简体"/>
          <w:b/>
          <w:bCs w:val="0"/>
          <w:color w:val="auto"/>
          <w:sz w:val="32"/>
          <w:szCs w:val="32"/>
          <w:highlight w:val="none"/>
          <w:lang w:eastAsia="zh-CN"/>
        </w:rPr>
        <w:t>进行</w:t>
      </w:r>
      <w:r>
        <w:rPr>
          <w:rFonts w:hint="eastAsia" w:ascii="方正仿宋简体" w:hAnsi="方正仿宋简体" w:eastAsia="方正仿宋简体" w:cs="方正仿宋简体"/>
          <w:b/>
          <w:bCs w:val="0"/>
          <w:color w:val="auto"/>
          <w:sz w:val="32"/>
          <w:szCs w:val="32"/>
          <w:highlight w:val="none"/>
        </w:rPr>
        <w:t>处置。</w:t>
      </w:r>
    </w:p>
    <w:p w14:paraId="2D5633FD">
      <w:pPr>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color w:val="auto"/>
          <w:sz w:val="32"/>
          <w:szCs w:val="32"/>
          <w:highlight w:val="none"/>
        </w:rPr>
      </w:pPr>
      <w:r>
        <w:rPr>
          <w:rFonts w:hint="eastAsia" w:ascii="方正仿宋简体" w:hAnsi="方正仿宋简体" w:eastAsia="方正仿宋简体" w:cs="方正仿宋简体"/>
          <w:b/>
          <w:bCs w:val="0"/>
          <w:color w:val="auto"/>
          <w:sz w:val="32"/>
          <w:szCs w:val="32"/>
          <w:highlight w:val="none"/>
        </w:rPr>
        <w:t>管理人将根据《中华人民共和国拍卖法》《最高人民法院关于人民法院民事执行中拍卖、变卖财产的规定》《最高人民法院关于人民法院委托评估、拍卖和变卖工作的若干规定》的有关规定，在</w:t>
      </w:r>
      <w:r>
        <w:rPr>
          <w:rFonts w:hint="eastAsia" w:ascii="方正仿宋简体" w:hAnsi="方正仿宋简体" w:eastAsia="方正仿宋简体" w:cs="方正仿宋简体"/>
          <w:b/>
          <w:bCs w:val="0"/>
          <w:color w:val="auto"/>
          <w:sz w:val="32"/>
          <w:szCs w:val="32"/>
          <w:highlight w:val="none"/>
          <w:lang w:val="en-US" w:eastAsia="zh-CN"/>
        </w:rPr>
        <w:t>四川省荣县人民法院</w:t>
      </w:r>
      <w:r>
        <w:rPr>
          <w:rFonts w:hint="eastAsia" w:ascii="方正仿宋简体" w:hAnsi="方正仿宋简体" w:eastAsia="方正仿宋简体" w:cs="方正仿宋简体"/>
          <w:b/>
          <w:bCs w:val="0"/>
          <w:color w:val="auto"/>
          <w:sz w:val="32"/>
          <w:szCs w:val="32"/>
          <w:highlight w:val="none"/>
        </w:rPr>
        <w:t>的指导和全体债权人的监督下依法对破产财产进行变价。具体变价方式及程序如下：</w:t>
      </w:r>
    </w:p>
    <w:p w14:paraId="04D65A6A">
      <w:pPr>
        <w:keepNext w:val="0"/>
        <w:keepLines w:val="0"/>
        <w:pageBreakBefore w:val="0"/>
        <w:kinsoku/>
        <w:wordWrap/>
        <w:overflowPunct/>
        <w:topLinePunct w:val="0"/>
        <w:autoSpaceDE/>
        <w:autoSpaceDN/>
        <w:bidi w:val="0"/>
        <w:spacing w:line="580" w:lineRule="exact"/>
        <w:ind w:firstLine="643" w:firstLineChars="200"/>
        <w:textAlignment w:val="auto"/>
        <w:rPr>
          <w:rFonts w:hint="eastAsia" w:ascii="方正仿宋简体" w:hAnsi="方正仿宋简体" w:eastAsia="方正仿宋简体" w:cs="方正仿宋简体"/>
          <w:b/>
          <w:bCs w:val="0"/>
          <w:color w:val="auto"/>
          <w:sz w:val="32"/>
          <w:szCs w:val="32"/>
          <w:highlight w:val="none"/>
          <w:lang w:val="en-US" w:eastAsia="zh-CN"/>
        </w:rPr>
      </w:pPr>
      <w:r>
        <w:rPr>
          <w:rFonts w:hint="eastAsia" w:ascii="方正仿宋简体" w:hAnsi="方正仿宋简体" w:eastAsia="方正仿宋简体" w:cs="方正仿宋简体"/>
          <w:b/>
          <w:bCs w:val="0"/>
          <w:color w:val="auto"/>
          <w:sz w:val="32"/>
          <w:szCs w:val="32"/>
          <w:highlight w:val="none"/>
          <w:lang w:val="en-US" w:eastAsia="zh-CN"/>
        </w:rPr>
        <w:t>1.</w:t>
      </w:r>
      <w:r>
        <w:rPr>
          <w:rFonts w:hint="eastAsia" w:ascii="方正仿宋简体" w:hAnsi="方正仿宋简体" w:eastAsia="方正仿宋简体" w:cs="方正仿宋简体"/>
          <w:b/>
          <w:bCs w:val="0"/>
          <w:color w:val="auto"/>
          <w:sz w:val="32"/>
          <w:szCs w:val="32"/>
          <w:highlight w:val="none"/>
        </w:rPr>
        <w:t>管理人</w:t>
      </w:r>
      <w:r>
        <w:rPr>
          <w:rFonts w:hint="eastAsia" w:ascii="方正仿宋简体" w:hAnsi="方正仿宋简体" w:eastAsia="方正仿宋简体" w:cs="方正仿宋简体"/>
          <w:b/>
          <w:bCs w:val="0"/>
          <w:color w:val="auto"/>
          <w:sz w:val="32"/>
          <w:szCs w:val="32"/>
          <w:highlight w:val="none"/>
          <w:lang w:val="en-US" w:eastAsia="zh-CN"/>
        </w:rPr>
        <w:t>将按照债权人会议表决通过的《破产财产管理和变价方案》，采取公开竞争方式遴选评估机构进行评估；</w:t>
      </w:r>
    </w:p>
    <w:p w14:paraId="5DB8FE76">
      <w:pPr>
        <w:keepNext w:val="0"/>
        <w:keepLines w:val="0"/>
        <w:pageBreakBefore w:val="0"/>
        <w:widowControl w:val="0"/>
        <w:kinsoku/>
        <w:wordWrap/>
        <w:overflowPunct/>
        <w:topLinePunct w:val="0"/>
        <w:autoSpaceDE/>
        <w:autoSpaceDN/>
        <w:bidi w:val="0"/>
        <w:adjustRightInd w:val="0"/>
        <w:snapToGrid w:val="0"/>
        <w:spacing w:line="580" w:lineRule="exact"/>
        <w:ind w:left="0" w:leftChars="0" w:firstLine="640"/>
        <w:textAlignment w:val="auto"/>
        <w:rPr>
          <w:rFonts w:hint="eastAsia" w:ascii="方正仿宋简体" w:hAnsi="方正仿宋简体" w:eastAsia="方正仿宋简体" w:cs="方正仿宋简体"/>
          <w:b/>
          <w:bCs w:val="0"/>
          <w:i w:val="0"/>
          <w:iCs w:val="0"/>
          <w:color w:val="auto"/>
          <w:kern w:val="0"/>
          <w:sz w:val="32"/>
          <w:szCs w:val="32"/>
          <w:highlight w:val="none"/>
          <w:u w:val="none"/>
          <w:lang w:val="en-US" w:eastAsia="zh-CN" w:bidi="ar"/>
        </w:rPr>
      </w:pPr>
      <w:r>
        <w:rPr>
          <w:rFonts w:hint="eastAsia" w:ascii="方正仿宋简体" w:hAnsi="方正仿宋简体" w:eastAsia="方正仿宋简体" w:cs="方正仿宋简体"/>
          <w:b/>
          <w:bCs w:val="0"/>
          <w:color w:val="auto"/>
          <w:sz w:val="32"/>
          <w:szCs w:val="32"/>
          <w:highlight w:val="none"/>
          <w:lang w:val="en-US" w:eastAsia="zh-CN"/>
        </w:rPr>
        <w:t>2.第一次公开拍卖的起拍价以评估报告的评估价为底价公开拍卖</w:t>
      </w:r>
      <w:r>
        <w:rPr>
          <w:rFonts w:hint="eastAsia" w:ascii="方正仿宋简体" w:hAnsi="方正仿宋简体" w:eastAsia="方正仿宋简体" w:cs="方正仿宋简体"/>
          <w:b/>
          <w:bCs w:val="0"/>
          <w:i w:val="0"/>
          <w:iCs w:val="0"/>
          <w:color w:val="auto"/>
          <w:kern w:val="0"/>
          <w:sz w:val="32"/>
          <w:szCs w:val="32"/>
          <w:highlight w:val="none"/>
          <w:u w:val="none"/>
          <w:lang w:val="en-US" w:eastAsia="zh-CN" w:bidi="ar"/>
        </w:rPr>
        <w:t>；</w:t>
      </w:r>
    </w:p>
    <w:p w14:paraId="483E7C42">
      <w:pPr>
        <w:pStyle w:val="3"/>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方正仿宋简体" w:hAnsi="方正仿宋简体" w:eastAsia="方正仿宋简体" w:cs="方正仿宋简体"/>
          <w:b/>
          <w:bCs w:val="0"/>
          <w:color w:val="auto"/>
          <w:sz w:val="32"/>
          <w:szCs w:val="32"/>
          <w:lang w:val="en-US" w:eastAsia="zh-CN"/>
        </w:rPr>
      </w:pPr>
      <w:r>
        <w:rPr>
          <w:rFonts w:hint="eastAsia" w:ascii="方正仿宋简体" w:hAnsi="方正仿宋简体" w:eastAsia="方正仿宋简体" w:cs="方正仿宋简体"/>
          <w:b/>
          <w:bCs w:val="0"/>
          <w:color w:val="auto"/>
          <w:sz w:val="32"/>
          <w:szCs w:val="32"/>
          <w:lang w:val="en-US" w:eastAsia="zh-CN"/>
        </w:rPr>
        <w:t>3.如遇第一次公开拍卖流拍，管理人有权将前述价格降价20%再次依法公开拍卖，如仍然流拍的，管理人可在前次确定价格的基础上继续降价20%再次公开拍卖，如仍未拍卖成功，管理人可在前次确定价格的基础上降价10%再次公开拍卖，以此类推，直至变价成功。同时，为降低实施拍卖行为产生的费用，并有效扩大意向竞买人的征集范围，提高成交可能性，保证财产的保值增值，切实保护债权人的合法权益。管理人将通过网络拍卖平台实施前述拍卖活动。网络拍卖平台将由管理人在最高人民法院司法拍卖网络服务提供者名单库中选取；</w:t>
      </w:r>
    </w:p>
    <w:p w14:paraId="61F70879">
      <w:pPr>
        <w:pStyle w:val="3"/>
        <w:keepNext w:val="0"/>
        <w:keepLines w:val="0"/>
        <w:pageBreakBefore w:val="0"/>
        <w:widowControl w:val="0"/>
        <w:kinsoku/>
        <w:wordWrap/>
        <w:overflowPunct/>
        <w:topLinePunct w:val="0"/>
        <w:autoSpaceDE/>
        <w:autoSpaceDN/>
        <w:bidi w:val="0"/>
        <w:adjustRightInd/>
        <w:snapToGrid/>
        <w:spacing w:line="580" w:lineRule="exact"/>
        <w:ind w:firstLine="643" w:firstLineChars="200"/>
        <w:jc w:val="both"/>
        <w:textAlignment w:val="auto"/>
        <w:rPr>
          <w:rFonts w:hint="eastAsia" w:ascii="方正仿宋简体" w:hAnsi="方正仿宋简体" w:eastAsia="方正仿宋简体" w:cs="方正仿宋简体"/>
          <w:b/>
          <w:bCs w:val="0"/>
          <w:color w:val="auto"/>
          <w:sz w:val="32"/>
          <w:szCs w:val="32"/>
          <w:lang w:val="en-US" w:eastAsia="zh-CN"/>
        </w:rPr>
      </w:pPr>
      <w:r>
        <w:rPr>
          <w:rFonts w:hint="eastAsia" w:ascii="方正仿宋简体" w:hAnsi="方正仿宋简体" w:eastAsia="方正仿宋简体" w:cs="方正仿宋简体"/>
          <w:b/>
          <w:bCs w:val="0"/>
          <w:color w:val="auto"/>
          <w:sz w:val="32"/>
          <w:szCs w:val="32"/>
          <w:lang w:val="en-US" w:eastAsia="zh-CN"/>
        </w:rPr>
        <w:t>4.为保证</w:t>
      </w:r>
      <w:r>
        <w:rPr>
          <w:rFonts w:hint="eastAsia" w:ascii="方正仿宋简体" w:hAnsi="方正仿宋简体" w:eastAsia="方正仿宋简体" w:cs="方正仿宋简体"/>
          <w:b/>
          <w:bCs w:val="0"/>
          <w:color w:val="auto"/>
          <w:sz w:val="32"/>
          <w:szCs w:val="32"/>
          <w:highlight w:val="none"/>
          <w:lang w:val="en-US" w:eastAsia="zh-CN"/>
        </w:rPr>
        <w:t>财产处置及过户的顺利进行，</w:t>
      </w:r>
      <w:r>
        <w:rPr>
          <w:rFonts w:hint="eastAsia" w:ascii="方正仿宋简体" w:hAnsi="方正仿宋简体" w:eastAsia="方正仿宋简体" w:cs="方正仿宋简体"/>
          <w:b/>
          <w:bCs w:val="0"/>
          <w:color w:val="auto"/>
          <w:sz w:val="32"/>
          <w:szCs w:val="32"/>
          <w:lang w:val="en-US" w:eastAsia="zh-CN"/>
        </w:rPr>
        <w:t>拍卖财产产生的买卖双方的交易税费均由</w:t>
      </w:r>
      <w:r>
        <w:rPr>
          <w:rFonts w:hint="eastAsia" w:ascii="方正仿宋简体" w:hAnsi="方正仿宋简体" w:eastAsia="方正仿宋简体" w:cs="方正仿宋简体"/>
          <w:b/>
          <w:bCs w:val="0"/>
          <w:color w:val="auto"/>
          <w:sz w:val="32"/>
          <w:szCs w:val="32"/>
          <w:highlight w:val="none"/>
          <w:lang w:val="en-US" w:eastAsia="zh-CN"/>
        </w:rPr>
        <w:t>买受人承担；</w:t>
      </w:r>
    </w:p>
    <w:p w14:paraId="5B5B0CD6">
      <w:pPr>
        <w:pStyle w:val="4"/>
        <w:keepNext w:val="0"/>
        <w:keepLines w:val="0"/>
        <w:pageBreakBefore w:val="0"/>
        <w:widowControl w:val="0"/>
        <w:kinsoku/>
        <w:wordWrap/>
        <w:overflowPunct/>
        <w:topLinePunct w:val="0"/>
        <w:autoSpaceDE/>
        <w:autoSpaceDN/>
        <w:bidi w:val="0"/>
        <w:adjustRightInd/>
        <w:snapToGrid/>
        <w:spacing w:line="580" w:lineRule="exact"/>
        <w:ind w:left="0" w:leftChars="0"/>
        <w:textAlignment w:val="auto"/>
        <w:rPr>
          <w:rFonts w:hint="eastAsia" w:ascii="方正仿宋简体" w:hAnsi="方正仿宋简体" w:eastAsia="方正仿宋简体" w:cs="方正仿宋简体"/>
          <w:b/>
          <w:bCs w:val="0"/>
          <w:color w:val="auto"/>
          <w:kern w:val="2"/>
          <w:sz w:val="32"/>
          <w:szCs w:val="32"/>
          <w:highlight w:val="none"/>
          <w:lang w:val="en-US" w:eastAsia="zh-CN" w:bidi="ar-SA"/>
        </w:rPr>
      </w:pPr>
      <w:r>
        <w:rPr>
          <w:rFonts w:hint="eastAsia" w:ascii="方正仿宋简体" w:hAnsi="方正仿宋简体" w:eastAsia="方正仿宋简体" w:cs="方正仿宋简体"/>
          <w:b/>
          <w:bCs w:val="0"/>
          <w:color w:val="auto"/>
          <w:kern w:val="2"/>
          <w:sz w:val="32"/>
          <w:szCs w:val="32"/>
          <w:highlight w:val="none"/>
          <w:lang w:val="en-US" w:eastAsia="zh-CN" w:bidi="ar-SA"/>
        </w:rPr>
        <w:t>5.在破产财产变价过程中，如遇其他特殊情况或需要采取拍卖方式之外的变价措施的，则由管理人提出方案</w:t>
      </w:r>
      <w:r>
        <w:rPr>
          <w:rFonts w:hint="eastAsia" w:ascii="方正仿宋简体" w:hAnsi="方正仿宋简体" w:eastAsia="方正仿宋简体" w:cs="方正仿宋简体"/>
          <w:b/>
          <w:bCs w:val="0"/>
          <w:color w:val="auto"/>
          <w:sz w:val="32"/>
          <w:szCs w:val="32"/>
          <w:highlight w:val="none"/>
          <w:lang w:val="en-US" w:eastAsia="zh-Hans"/>
        </w:rPr>
        <w:t>经债权人同意和人民法院批准后实施</w:t>
      </w:r>
      <w:r>
        <w:rPr>
          <w:rFonts w:hint="eastAsia" w:ascii="方正仿宋简体" w:hAnsi="方正仿宋简体" w:eastAsia="方正仿宋简体" w:cs="方正仿宋简体"/>
          <w:b/>
          <w:bCs w:val="0"/>
          <w:color w:val="auto"/>
          <w:sz w:val="32"/>
          <w:szCs w:val="32"/>
          <w:highlight w:val="none"/>
          <w:lang w:val="en-US" w:eastAsia="zh-CN"/>
        </w:rPr>
        <w:t>；</w:t>
      </w:r>
    </w:p>
    <w:p w14:paraId="4D5994C4">
      <w:pPr>
        <w:keepNext w:val="0"/>
        <w:keepLines w:val="0"/>
        <w:pageBreakBefore w:val="0"/>
        <w:kinsoku/>
        <w:wordWrap/>
        <w:overflowPunct/>
        <w:topLinePunct w:val="0"/>
        <w:autoSpaceDE/>
        <w:autoSpaceDN/>
        <w:bidi w:val="0"/>
        <w:adjustRightInd/>
        <w:snapToGrid/>
        <w:spacing w:line="580" w:lineRule="exact"/>
        <w:ind w:left="0" w:leftChars="0" w:firstLine="643" w:firstLineChars="200"/>
        <w:textAlignment w:val="auto"/>
        <w:rPr>
          <w:rFonts w:hint="eastAsia" w:ascii="方正仿宋简体" w:hAnsi="方正仿宋简体" w:eastAsia="方正仿宋简体" w:cs="方正仿宋简体"/>
          <w:b/>
          <w:bCs w:val="0"/>
          <w:sz w:val="32"/>
          <w:szCs w:val="32"/>
        </w:rPr>
      </w:pPr>
      <w:r>
        <w:rPr>
          <w:rFonts w:hint="eastAsia" w:ascii="方正仿宋简体" w:hAnsi="方正仿宋简体" w:eastAsia="方正仿宋简体" w:cs="方正仿宋简体"/>
          <w:b/>
          <w:bCs w:val="0"/>
          <w:color w:val="auto"/>
          <w:kern w:val="0"/>
          <w:sz w:val="32"/>
          <w:szCs w:val="32"/>
          <w:highlight w:val="none"/>
          <w:lang w:val="en-US" w:eastAsia="zh-CN"/>
        </w:rPr>
        <w:t>6.</w:t>
      </w:r>
      <w:r>
        <w:rPr>
          <w:rFonts w:hint="eastAsia" w:ascii="方正仿宋简体" w:hAnsi="方正仿宋简体" w:eastAsia="方正仿宋简体" w:cs="方正仿宋简体"/>
          <w:b/>
          <w:bCs w:val="0"/>
          <w:color w:val="auto"/>
          <w:kern w:val="0"/>
          <w:sz w:val="32"/>
          <w:szCs w:val="32"/>
          <w:highlight w:val="none"/>
        </w:rPr>
        <w:t>如债权人会议对上述破产财产变价方式另有决议，管理人将遵循债权人会议</w:t>
      </w:r>
      <w:r>
        <w:rPr>
          <w:rFonts w:hint="eastAsia" w:ascii="方正仿宋简体" w:hAnsi="方正仿宋简体" w:eastAsia="方正仿宋简体" w:cs="方正仿宋简体"/>
          <w:b/>
          <w:bCs w:val="0"/>
          <w:color w:val="auto"/>
          <w:kern w:val="0"/>
          <w:sz w:val="32"/>
          <w:szCs w:val="32"/>
          <w:highlight w:val="none"/>
          <w:lang w:val="en-US" w:eastAsia="zh-CN"/>
        </w:rPr>
        <w:t>的</w:t>
      </w:r>
      <w:r>
        <w:rPr>
          <w:rFonts w:hint="eastAsia" w:ascii="方正仿宋简体" w:hAnsi="方正仿宋简体" w:eastAsia="方正仿宋简体" w:cs="方正仿宋简体"/>
          <w:b/>
          <w:bCs w:val="0"/>
          <w:color w:val="auto"/>
          <w:kern w:val="0"/>
          <w:sz w:val="32"/>
          <w:szCs w:val="32"/>
          <w:highlight w:val="none"/>
        </w:rPr>
        <w:t>决议对破产财产进行变价。</w:t>
      </w:r>
      <w:bookmarkStart w:id="0" w:name="_GoBack"/>
      <w:bookmarkEnd w:id="0"/>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00000000000000000"/>
    <w:charset w:val="86"/>
    <w:family w:val="auto"/>
    <w:pitch w:val="default"/>
    <w:sig w:usb0="A00002BF" w:usb1="184F6CFA" w:usb2="00000012" w:usb3="00000000" w:csb0="00040001" w:csb1="00000000"/>
  </w:font>
  <w:font w:name="方正楷体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4B628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825A1AA">
                          <w:pPr>
                            <w:pStyle w:val="6"/>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825A1AA">
                    <w:pPr>
                      <w:pStyle w:val="6"/>
                      <w:rPr>
                        <w:b/>
                        <w:bCs/>
                        <w:sz w:val="28"/>
                        <w:szCs w:val="28"/>
                      </w:rPr>
                    </w:pPr>
                    <w:r>
                      <w:rPr>
                        <w:b/>
                        <w:bCs/>
                        <w:sz w:val="28"/>
                        <w:szCs w:val="28"/>
                      </w:rPr>
                      <w:t xml:space="preserve">— </w:t>
                    </w:r>
                    <w:r>
                      <w:rPr>
                        <w:b/>
                        <w:bCs/>
                        <w:sz w:val="28"/>
                        <w:szCs w:val="28"/>
                      </w:rPr>
                      <w:fldChar w:fldCharType="begin"/>
                    </w:r>
                    <w:r>
                      <w:rPr>
                        <w:b/>
                        <w:bCs/>
                        <w:sz w:val="28"/>
                        <w:szCs w:val="28"/>
                      </w:rPr>
                      <w:instrText xml:space="preserve"> PAGE  \* MERGEFORMAT </w:instrText>
                    </w:r>
                    <w:r>
                      <w:rPr>
                        <w:b/>
                        <w:bCs/>
                        <w:sz w:val="28"/>
                        <w:szCs w:val="28"/>
                      </w:rPr>
                      <w:fldChar w:fldCharType="separate"/>
                    </w:r>
                    <w:r>
                      <w:rPr>
                        <w:b/>
                        <w:bCs/>
                        <w:sz w:val="28"/>
                        <w:szCs w:val="28"/>
                      </w:rPr>
                      <w:t>1</w:t>
                    </w:r>
                    <w:r>
                      <w:rPr>
                        <w:b/>
                        <w:bCs/>
                        <w:sz w:val="28"/>
                        <w:szCs w:val="28"/>
                      </w:rPr>
                      <w:fldChar w:fldCharType="end"/>
                    </w:r>
                    <w:r>
                      <w:rPr>
                        <w:b/>
                        <w:bCs/>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C54F42"/>
    <w:rsid w:val="682A5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ind w:firstLine="883" w:firstLineChars="200"/>
      <w:jc w:val="both"/>
    </w:pPr>
    <w:rPr>
      <w:rFonts w:ascii="Times New Roman" w:hAnsi="Times New Roman" w:eastAsia="方正仿宋简体" w:cstheme="minorBidi"/>
      <w:kern w:val="2"/>
      <w:sz w:val="32"/>
      <w:szCs w:val="24"/>
      <w:lang w:val="en-US" w:eastAsia="zh-CN" w:bidi="ar-SA"/>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outlineLvl w:val="4"/>
    </w:pPr>
    <w:rPr>
      <w:rFonts w:ascii="Arial" w:hAnsi="Arial" w:eastAsia="黑体"/>
      <w:b/>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4">
    <w:name w:val="Normal Indent"/>
    <w:basedOn w:val="1"/>
    <w:next w:val="1"/>
    <w:unhideWhenUsed/>
    <w:qFormat/>
    <w:uiPriority w:val="0"/>
    <w:pPr>
      <w:spacing w:line="300" w:lineRule="auto"/>
      <w:ind w:firstLine="420" w:firstLineChars="200"/>
      <w:jc w:val="left"/>
    </w:pPr>
    <w:rPr>
      <w:rFonts w:ascii="Calibri" w:hAnsi="Calibri" w:eastAsia="仿宋"/>
      <w:sz w:val="28"/>
      <w:szCs w:val="22"/>
    </w:rPr>
  </w:style>
  <w:style w:type="paragraph" w:styleId="5">
    <w:name w:val="Salutation"/>
    <w:basedOn w:val="1"/>
    <w:next w:val="1"/>
    <w:qFormat/>
    <w:uiPriority w:val="0"/>
    <w:rPr>
      <w:sz w:val="24"/>
      <w:szCs w:val="20"/>
    </w:r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1847</Words>
  <Characters>1894</Characters>
  <Lines>0</Lines>
  <Paragraphs>0</Paragraphs>
  <TotalTime>2</TotalTime>
  <ScaleCrop>false</ScaleCrop>
  <LinksUpToDate>false</LinksUpToDate>
  <CharactersWithSpaces>1894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2025-07-23T08:12:00Z</dcterms:created>
  <dc:creator>Administrator</dc:creator>
  <cp:lastModifiedBy>俊</cp:lastModifiedBy>
  <dcterms:modified xsi:type="dcterms:W3CDTF">2025-07-24T03:40:17Z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eyJoZGlkIjoiY2U4NjE2ZGUxNGU5ZDMxZDY1NTllMzBlOGZiYmViOTEiLCJ1c2VySWQiOiI1MTQzODM0MTYifQ==</vt:lpwstr>
  </property>
  <property fmtid="{D5CDD505-2E9C-101B-9397-08002B2CF9AE}" pid="4" name="ICV">
    <vt:lpwstr>9A70F38D42DE43A88A18B7A43CB335C5_12</vt:lpwstr>
  </property>
</Properties>
</file>