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34CC49">
      <w:pPr>
        <w:spacing w:line="560" w:lineRule="exact"/>
        <w:ind w:left="0" w:leftChars="0" w:firstLine="0" w:firstLineChars="0"/>
        <w:jc w:val="left"/>
        <w:rPr>
          <w:rFonts w:hint="eastAsia" w:ascii="方正仿宋简体" w:hAnsi="方正仿宋简体" w:eastAsia="方正仿宋简体" w:cs="方正仿宋简体"/>
          <w:b/>
          <w:bCs/>
          <w:color w:val="auto"/>
          <w:sz w:val="32"/>
          <w:szCs w:val="32"/>
        </w:rPr>
      </w:pPr>
    </w:p>
    <w:p w14:paraId="008801C2">
      <w:pPr>
        <w:spacing w:line="560" w:lineRule="exact"/>
        <w:ind w:left="0" w:leftChars="0" w:firstLine="0" w:firstLineChars="0"/>
        <w:jc w:val="center"/>
        <w:rPr>
          <w:rFonts w:hint="eastAsia" w:ascii="方正仿宋简体" w:hAnsi="方正仿宋简体" w:eastAsia="方正仿宋简体" w:cs="方正仿宋简体"/>
          <w:b/>
          <w:bCs/>
          <w:color w:val="auto"/>
          <w:sz w:val="32"/>
          <w:szCs w:val="32"/>
        </w:rPr>
      </w:pPr>
      <w:r>
        <w:rPr>
          <w:rFonts w:hint="eastAsia" w:ascii="方正小标宋简体" w:hAnsi="方正小标宋简体" w:eastAsia="方正小标宋简体" w:cs="方正小标宋简体"/>
          <w:b/>
          <w:bCs/>
          <w:sz w:val="44"/>
          <w:szCs w:val="44"/>
        </w:rPr>
        <w:t>管理人报酬方案</w:t>
      </w:r>
      <w:bookmarkStart w:id="4" w:name="_GoBack"/>
      <w:bookmarkEnd w:id="4"/>
    </w:p>
    <w:p w14:paraId="0819C6AB">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bCs/>
          <w:sz w:val="44"/>
          <w:szCs w:val="44"/>
        </w:rPr>
      </w:pPr>
    </w:p>
    <w:p w14:paraId="00F3D915">
      <w:pPr>
        <w:spacing w:line="560" w:lineRule="exact"/>
        <w:ind w:left="0" w:leftChars="0" w:firstLine="0" w:firstLineChars="0"/>
        <w:jc w:val="left"/>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lang w:val="en-US" w:eastAsia="zh-CN"/>
        </w:rPr>
        <w:t>四川省荣县人民法院</w:t>
      </w:r>
      <w:r>
        <w:rPr>
          <w:rFonts w:hint="eastAsia" w:ascii="方正仿宋简体" w:hAnsi="方正仿宋简体" w:eastAsia="方正仿宋简体" w:cs="方正仿宋简体"/>
          <w:b/>
          <w:bCs/>
          <w:color w:val="auto"/>
          <w:sz w:val="32"/>
          <w:szCs w:val="32"/>
        </w:rPr>
        <w:t>、各位债权人：</w:t>
      </w:r>
    </w:p>
    <w:p w14:paraId="66BDB77B">
      <w:pPr>
        <w:spacing w:line="560" w:lineRule="exact"/>
        <w:ind w:firstLine="643" w:firstLineChars="200"/>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lang w:val="en-US" w:eastAsia="zh-CN"/>
        </w:rPr>
        <w:t>四川省荣县人民法院根据债务人荣县兴宏达商贸有限公司的申请，于2025年6月3日作出（2025）川0321破申1号民事裁定书，裁定受理荣县兴宏达商贸有限公司破产清算一案，并于2025年6月5日作出（2025）川0321破2号决定书，指定四川融通清算事务所有限公司自贡分公司担任荣县兴宏达商贸有限公司管理人（下称管理人）。</w:t>
      </w:r>
    </w:p>
    <w:p w14:paraId="242E6F62">
      <w:pPr>
        <w:spacing w:line="560" w:lineRule="exact"/>
        <w:ind w:firstLine="643" w:firstLineChars="200"/>
        <w:rPr>
          <w:rFonts w:hint="eastAsia" w:ascii="方正仿宋简体" w:hAnsi="方正仿宋简体" w:eastAsia="方正仿宋简体" w:cs="方正仿宋简体"/>
          <w:b/>
          <w:bCs/>
          <w:color w:val="auto"/>
          <w:sz w:val="32"/>
          <w:szCs w:val="32"/>
          <w:lang w:val="en-US" w:eastAsia="zh-CN"/>
        </w:rPr>
      </w:pPr>
      <w:r>
        <w:rPr>
          <w:rFonts w:hint="eastAsia" w:ascii="方正仿宋简体" w:hAnsi="方正仿宋简体" w:eastAsia="方正仿宋简体" w:cs="方正仿宋简体"/>
          <w:b/>
          <w:bCs/>
          <w:color w:val="auto"/>
          <w:sz w:val="32"/>
          <w:szCs w:val="32"/>
          <w:lang w:val="en-US" w:eastAsia="zh-CN"/>
        </w:rPr>
        <w:t>管理人在接受人民法院指定后，以细致认真、勤勉尽责的工作态度切实地履行管理人职责，处理破产事务。根据最高人民法院《关于审理企业破产案件确定管理人报酬的规定》第一条、第九条、第十三条之规定，管理人履行《中华人民共和国企业破产法》第二十五条规定的职责，有权获得相应的报酬。因此，管理人根据荣县兴宏达商贸有限公司可供清偿的财产价值和本案的工作量、复杂性、管理人能力以及勤勉尽责程度等多种因素，最终确定管理人报酬的确定及支付等相关事宜方案，内容如下：</w:t>
      </w:r>
    </w:p>
    <w:p w14:paraId="4365502B">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60" w:lineRule="exact"/>
        <w:ind w:firstLine="643" w:firstLineChars="200"/>
        <w:textAlignment w:val="auto"/>
        <w:outlineLvl w:val="0"/>
        <w:rPr>
          <w:rFonts w:hint="eastAsia" w:ascii="方正仿宋简体" w:hAnsi="方正仿宋简体" w:eastAsia="方正仿宋简体" w:cs="方正仿宋简体"/>
          <w:b/>
          <w:bCs/>
          <w:color w:val="auto"/>
          <w:sz w:val="32"/>
          <w:szCs w:val="32"/>
        </w:rPr>
      </w:pPr>
      <w:bookmarkStart w:id="0" w:name="_Toc30046"/>
      <w:bookmarkStart w:id="1" w:name="_Toc14446"/>
      <w:r>
        <w:rPr>
          <w:rFonts w:hint="eastAsia" w:ascii="方正仿宋简体" w:hAnsi="方正仿宋简体" w:eastAsia="方正仿宋简体" w:cs="方正仿宋简体"/>
          <w:b/>
          <w:bCs/>
          <w:color w:val="auto"/>
          <w:sz w:val="32"/>
          <w:szCs w:val="32"/>
        </w:rPr>
        <w:t>一、管理人报酬比例</w:t>
      </w:r>
      <w:bookmarkEnd w:id="0"/>
      <w:bookmarkEnd w:id="1"/>
    </w:p>
    <w:p w14:paraId="1133EBB1">
      <w:pPr>
        <w:spacing w:beforeLines="0" w:afterLines="0" w:line="560" w:lineRule="exact"/>
        <w:ind w:firstLine="643" w:firstLineChars="200"/>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根据债务人最终可供清偿的财产总额价值和管理人工作量所</w:t>
      </w:r>
      <w:r>
        <w:rPr>
          <w:rFonts w:hint="eastAsia" w:ascii="方正仿宋简体" w:hAnsi="方正仿宋简体" w:eastAsia="方正仿宋简体" w:cs="方正仿宋简体"/>
          <w:b/>
          <w:bCs/>
          <w:color w:val="auto"/>
          <w:sz w:val="32"/>
          <w:szCs w:val="32"/>
          <w:lang w:eastAsia="zh-CN"/>
        </w:rPr>
        <w:t>做</w:t>
      </w:r>
      <w:r>
        <w:rPr>
          <w:rFonts w:hint="eastAsia" w:ascii="方正仿宋简体" w:hAnsi="方正仿宋简体" w:eastAsia="方正仿宋简体" w:cs="方正仿宋简体"/>
          <w:b/>
          <w:bCs/>
          <w:color w:val="auto"/>
          <w:sz w:val="32"/>
          <w:szCs w:val="32"/>
        </w:rPr>
        <w:t>的预测，依照最高人民法院《关于审理企业破产案件确定管理人报酬的规定》第二条之规定，确定管理人在以下比例分段确定管理人报酬：</w:t>
      </w:r>
    </w:p>
    <w:tbl>
      <w:tblPr>
        <w:tblStyle w:val="6"/>
        <w:tblW w:w="84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4818"/>
        <w:gridCol w:w="2631"/>
      </w:tblGrid>
      <w:tr w14:paraId="54CB0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7CACA9">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序号</w:t>
            </w:r>
          </w:p>
        </w:tc>
        <w:tc>
          <w:tcPr>
            <w:tcW w:w="481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17C9A6">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债务人最终清偿的财产价值总额</w:t>
            </w:r>
          </w:p>
        </w:tc>
        <w:tc>
          <w:tcPr>
            <w:tcW w:w="263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2625E5">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管理人报酬比例</w:t>
            </w:r>
          </w:p>
        </w:tc>
      </w:tr>
      <w:tr w14:paraId="045A3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A3DB87">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1</w:t>
            </w:r>
          </w:p>
        </w:tc>
        <w:tc>
          <w:tcPr>
            <w:tcW w:w="481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517206">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不超过一百万元（含本数，下同）</w:t>
            </w:r>
          </w:p>
        </w:tc>
        <w:tc>
          <w:tcPr>
            <w:tcW w:w="263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6FAA12">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12%</w:t>
            </w:r>
          </w:p>
        </w:tc>
      </w:tr>
      <w:tr w14:paraId="552FF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6C512F">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2</w:t>
            </w:r>
          </w:p>
        </w:tc>
        <w:tc>
          <w:tcPr>
            <w:tcW w:w="481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0A6642">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超过一百万元至五百万元的部分</w:t>
            </w:r>
          </w:p>
        </w:tc>
        <w:tc>
          <w:tcPr>
            <w:tcW w:w="263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41DDE7">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10%</w:t>
            </w:r>
          </w:p>
        </w:tc>
      </w:tr>
      <w:tr w14:paraId="3192B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5DD529">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3</w:t>
            </w:r>
          </w:p>
        </w:tc>
        <w:tc>
          <w:tcPr>
            <w:tcW w:w="481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96B420">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超过五百万元至一千万元的部分</w:t>
            </w:r>
          </w:p>
        </w:tc>
        <w:tc>
          <w:tcPr>
            <w:tcW w:w="263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3A859A">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8%</w:t>
            </w:r>
          </w:p>
        </w:tc>
      </w:tr>
      <w:tr w14:paraId="284A5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3EB047">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4</w:t>
            </w:r>
          </w:p>
        </w:tc>
        <w:tc>
          <w:tcPr>
            <w:tcW w:w="481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BD83D7">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超过一千万元至五千万元的部分</w:t>
            </w:r>
          </w:p>
        </w:tc>
        <w:tc>
          <w:tcPr>
            <w:tcW w:w="263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DA54DA">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6%</w:t>
            </w:r>
          </w:p>
        </w:tc>
      </w:tr>
      <w:tr w14:paraId="4AF9F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FCC3EF">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5</w:t>
            </w:r>
          </w:p>
        </w:tc>
        <w:tc>
          <w:tcPr>
            <w:tcW w:w="481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6070C7">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超过五千万元至一亿元的部分</w:t>
            </w:r>
          </w:p>
        </w:tc>
        <w:tc>
          <w:tcPr>
            <w:tcW w:w="263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82C836">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3%</w:t>
            </w:r>
          </w:p>
        </w:tc>
      </w:tr>
      <w:tr w14:paraId="20B4D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7688C2">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6</w:t>
            </w:r>
          </w:p>
        </w:tc>
        <w:tc>
          <w:tcPr>
            <w:tcW w:w="481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F39B591">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超过一亿元至五亿元的部分</w:t>
            </w:r>
          </w:p>
        </w:tc>
        <w:tc>
          <w:tcPr>
            <w:tcW w:w="263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8F06BE">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1%</w:t>
            </w:r>
          </w:p>
        </w:tc>
      </w:tr>
      <w:tr w14:paraId="13308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A3BD44">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7</w:t>
            </w:r>
          </w:p>
        </w:tc>
        <w:tc>
          <w:tcPr>
            <w:tcW w:w="481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A1B810">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超过五亿元的部分</w:t>
            </w:r>
          </w:p>
        </w:tc>
        <w:tc>
          <w:tcPr>
            <w:tcW w:w="263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594046">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0.5%</w:t>
            </w:r>
          </w:p>
        </w:tc>
      </w:tr>
    </w:tbl>
    <w:p w14:paraId="7B8A0F62">
      <w:pPr>
        <w:spacing w:beforeLines="0" w:afterLines="0" w:line="560" w:lineRule="exact"/>
        <w:ind w:firstLine="643" w:firstLineChars="200"/>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上述财产价值总额不包括担保权人优先受偿的担保物价值</w:t>
      </w:r>
      <w:r>
        <w:rPr>
          <w:rFonts w:hint="eastAsia" w:ascii="方正仿宋简体" w:hAnsi="方正仿宋简体" w:eastAsia="方正仿宋简体" w:cs="方正仿宋简体"/>
          <w:b/>
          <w:bCs/>
          <w:color w:val="auto"/>
          <w:sz w:val="32"/>
          <w:szCs w:val="32"/>
          <w:lang w:eastAsia="zh-CN"/>
        </w:rPr>
        <w:t>，管理人对担保物的维护、变现、交付等管理工作付出合理劳动的，有权向担保权人收取适当的报酬</w:t>
      </w:r>
      <w:r>
        <w:rPr>
          <w:rFonts w:hint="eastAsia" w:ascii="方正仿宋简体" w:hAnsi="方正仿宋简体" w:eastAsia="方正仿宋简体" w:cs="方正仿宋简体"/>
          <w:b/>
          <w:bCs/>
          <w:color w:val="auto"/>
          <w:sz w:val="32"/>
          <w:szCs w:val="32"/>
        </w:rPr>
        <w:t>。</w:t>
      </w:r>
    </w:p>
    <w:p w14:paraId="69016D2F">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方正仿宋简体" w:hAnsi="方正仿宋简体" w:eastAsia="方正仿宋简体" w:cs="方正仿宋简体"/>
          <w:b/>
          <w:bCs/>
          <w:color w:val="auto"/>
          <w:sz w:val="32"/>
          <w:szCs w:val="32"/>
          <w:highlight w:val="none"/>
          <w:lang w:val="en-US" w:eastAsia="zh-CN"/>
        </w:rPr>
      </w:pPr>
      <w:r>
        <w:rPr>
          <w:rFonts w:hint="eastAsia" w:ascii="方正仿宋简体" w:hAnsi="方正仿宋简体" w:eastAsia="方正仿宋简体" w:cs="方正仿宋简体"/>
          <w:b/>
          <w:bCs/>
          <w:color w:val="auto"/>
          <w:sz w:val="32"/>
          <w:szCs w:val="32"/>
        </w:rPr>
        <w:t>二</w:t>
      </w:r>
      <w:bookmarkStart w:id="2" w:name="_Toc12099"/>
      <w:bookmarkStart w:id="3" w:name="_Toc13732"/>
      <w:r>
        <w:rPr>
          <w:rFonts w:hint="eastAsia" w:ascii="方正仿宋简体" w:hAnsi="方正仿宋简体" w:eastAsia="方正仿宋简体" w:cs="方正仿宋简体"/>
          <w:b/>
          <w:bCs/>
          <w:color w:val="auto"/>
          <w:sz w:val="32"/>
          <w:szCs w:val="32"/>
          <w:highlight w:val="none"/>
          <w:lang w:val="en-US" w:eastAsia="zh-CN"/>
        </w:rPr>
        <w:t>、管理人报酬</w:t>
      </w:r>
      <w:bookmarkEnd w:id="2"/>
      <w:bookmarkEnd w:id="3"/>
      <w:r>
        <w:rPr>
          <w:rFonts w:hint="eastAsia" w:ascii="方正仿宋简体" w:hAnsi="方正仿宋简体" w:eastAsia="方正仿宋简体" w:cs="方正仿宋简体"/>
          <w:b/>
          <w:bCs/>
          <w:color w:val="auto"/>
          <w:sz w:val="32"/>
          <w:szCs w:val="32"/>
          <w:highlight w:val="none"/>
          <w:lang w:val="en-US" w:eastAsia="zh-CN"/>
        </w:rPr>
        <w:t>收取</w:t>
      </w:r>
    </w:p>
    <w:p w14:paraId="4DB0962D">
      <w:pPr>
        <w:spacing w:beforeLines="0" w:afterLines="0" w:line="560" w:lineRule="exact"/>
        <w:ind w:firstLine="643" w:firstLineChars="200"/>
        <w:rPr>
          <w:rFonts w:hint="eastAsia" w:ascii="方正仿宋简体" w:hAnsi="方正仿宋简体" w:eastAsia="方正仿宋简体" w:cs="方正仿宋简体"/>
          <w:b/>
          <w:bCs/>
          <w:color w:val="auto"/>
          <w:sz w:val="32"/>
          <w:szCs w:val="32"/>
          <w:highlight w:val="none"/>
          <w:lang w:eastAsia="zh-CN"/>
        </w:rPr>
      </w:pPr>
      <w:r>
        <w:rPr>
          <w:rFonts w:hint="eastAsia" w:ascii="方正仿宋简体" w:hAnsi="方正仿宋简体" w:eastAsia="方正仿宋简体" w:cs="方正仿宋简体"/>
          <w:b/>
          <w:bCs/>
          <w:color w:val="auto"/>
          <w:sz w:val="32"/>
          <w:szCs w:val="32"/>
          <w:highlight w:val="none"/>
        </w:rPr>
        <w:t>本方案确定本机构一次性收取报酬，收取时间为破产财产分配之时</w:t>
      </w:r>
      <w:r>
        <w:rPr>
          <w:rFonts w:hint="eastAsia" w:ascii="方正仿宋简体" w:hAnsi="方正仿宋简体" w:eastAsia="方正仿宋简体" w:cs="方正仿宋简体"/>
          <w:b/>
          <w:bCs/>
          <w:color w:val="auto"/>
          <w:sz w:val="32"/>
          <w:szCs w:val="32"/>
          <w:highlight w:val="none"/>
          <w:lang w:eastAsia="zh-CN"/>
        </w:rPr>
        <w:t>。</w:t>
      </w:r>
    </w:p>
    <w:p w14:paraId="530D7C7F">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方正仿宋简体" w:hAnsi="方正仿宋简体" w:eastAsia="方正仿宋简体" w:cs="方正仿宋简体"/>
          <w:b/>
          <w:bCs/>
          <w:color w:val="auto"/>
          <w:sz w:val="32"/>
          <w:szCs w:val="32"/>
          <w:highlight w:val="none"/>
        </w:rPr>
      </w:pPr>
      <w:r>
        <w:rPr>
          <w:rFonts w:hint="eastAsia" w:ascii="方正仿宋简体" w:hAnsi="方正仿宋简体" w:eastAsia="方正仿宋简体" w:cs="方正仿宋简体"/>
          <w:b/>
          <w:bCs/>
          <w:color w:val="auto"/>
          <w:sz w:val="32"/>
          <w:szCs w:val="32"/>
          <w:highlight w:val="none"/>
          <w:lang w:eastAsia="zh-CN"/>
        </w:rPr>
        <w:t>三</w:t>
      </w:r>
      <w:r>
        <w:rPr>
          <w:rFonts w:hint="eastAsia" w:ascii="方正仿宋简体" w:hAnsi="方正仿宋简体" w:eastAsia="方正仿宋简体" w:cs="方正仿宋简体"/>
          <w:b/>
          <w:bCs/>
          <w:color w:val="auto"/>
          <w:sz w:val="32"/>
          <w:szCs w:val="32"/>
          <w:highlight w:val="none"/>
        </w:rPr>
        <w:t>、管理人报酬的收取方式</w:t>
      </w:r>
    </w:p>
    <w:p w14:paraId="2839106B">
      <w:pPr>
        <w:keepNext w:val="0"/>
        <w:keepLines w:val="0"/>
        <w:pageBreakBefore w:val="0"/>
        <w:widowControl/>
        <w:numPr>
          <w:ilvl w:val="-1"/>
          <w:numId w:val="0"/>
        </w:numPr>
        <w:kinsoku/>
        <w:wordWrap/>
        <w:overflowPunct/>
        <w:topLinePunct w:val="0"/>
        <w:autoSpaceDE/>
        <w:autoSpaceDN/>
        <w:bidi w:val="0"/>
        <w:adjustRightInd/>
        <w:snapToGrid/>
        <w:spacing w:beforeLines="0" w:afterLines="0" w:line="560" w:lineRule="exact"/>
        <w:ind w:left="0" w:leftChars="0" w:right="0" w:rightChars="0" w:firstLine="643" w:firstLineChars="200"/>
        <w:textAlignment w:val="auto"/>
        <w:rPr>
          <w:rFonts w:hint="eastAsia" w:ascii="方正仿宋简体" w:hAnsi="方正仿宋简体" w:eastAsia="方正仿宋简体" w:cs="方正仿宋简体"/>
          <w:b/>
          <w:bCs/>
          <w:color w:val="auto"/>
          <w:sz w:val="32"/>
          <w:szCs w:val="32"/>
          <w:highlight w:val="none"/>
        </w:rPr>
      </w:pPr>
      <w:r>
        <w:rPr>
          <w:rFonts w:hint="eastAsia" w:ascii="方正仿宋简体" w:hAnsi="方正仿宋简体" w:eastAsia="方正仿宋简体" w:cs="方正仿宋简体"/>
          <w:b/>
          <w:bCs/>
          <w:color w:val="auto"/>
          <w:sz w:val="32"/>
          <w:szCs w:val="32"/>
          <w:highlight w:val="none"/>
        </w:rPr>
        <w:t>管理人收取报酬前应向人民法院提出书面申请，由人民法院确定应支付管理人的报酬。</w:t>
      </w:r>
    </w:p>
    <w:p w14:paraId="4ACB3DAE">
      <w:pPr>
        <w:pStyle w:val="2"/>
        <w:rPr>
          <w:rFonts w:hint="eastAsia"/>
        </w:rPr>
      </w:pPr>
    </w:p>
    <w:p w14:paraId="627C290D">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default" w:ascii="方正仿宋简体" w:hAnsi="方正仿宋简体" w:eastAsia="方正仿宋简体" w:cs="方正仿宋简体"/>
          <w:b/>
          <w:bCs/>
          <w:color w:val="auto"/>
          <w:sz w:val="32"/>
          <w:szCs w:val="32"/>
          <w:lang w:val="en-US" w:eastAsia="zh-CN"/>
        </w:rPr>
      </w:pPr>
      <w:r>
        <w:rPr>
          <w:rFonts w:hint="eastAsia" w:ascii="方正仿宋简体" w:hAnsi="方正仿宋简体" w:eastAsia="方正仿宋简体" w:cs="方正仿宋简体"/>
          <w:b/>
          <w:bCs/>
          <w:color w:val="auto"/>
          <w:sz w:val="32"/>
          <w:szCs w:val="32"/>
          <w:lang w:val="en-US" w:eastAsia="zh-CN"/>
        </w:rPr>
        <w:t xml:space="preserve">           荣县兴宏达商贸有限公司</w:t>
      </w:r>
      <w:r>
        <w:rPr>
          <w:rFonts w:hint="eastAsia" w:ascii="方正仿宋简体" w:hAnsi="方正仿宋简体" w:eastAsia="方正仿宋简体" w:cs="方正仿宋简体"/>
          <w:b/>
          <w:bCs/>
          <w:color w:val="auto"/>
          <w:sz w:val="32"/>
          <w:szCs w:val="32"/>
        </w:rPr>
        <w:t>管理人</w:t>
      </w:r>
      <w:r>
        <w:rPr>
          <w:rFonts w:hint="eastAsia" w:ascii="方正仿宋简体" w:hAnsi="方正仿宋简体" w:eastAsia="方正仿宋简体" w:cs="方正仿宋简体"/>
          <w:b/>
          <w:bCs/>
          <w:color w:val="auto"/>
          <w:sz w:val="32"/>
          <w:szCs w:val="32"/>
          <w:lang w:val="en-US" w:eastAsia="zh-CN"/>
        </w:rPr>
        <w:t xml:space="preserve">       </w:t>
      </w:r>
    </w:p>
    <w:p w14:paraId="5E460738">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right"/>
        <w:textAlignment w:val="auto"/>
        <w:rPr>
          <w:rFonts w:hint="eastAsia" w:ascii="方正仿宋简体" w:hAnsi="方正仿宋简体" w:eastAsia="方正仿宋简体" w:cs="方正仿宋简体"/>
          <w:b/>
          <w:bCs/>
          <w:color w:val="auto"/>
          <w:sz w:val="32"/>
          <w:szCs w:val="32"/>
          <w:lang w:eastAsia="zh-CN"/>
        </w:rPr>
      </w:pPr>
      <w:r>
        <w:rPr>
          <w:rFonts w:hint="eastAsia" w:ascii="方正仿宋简体" w:hAnsi="方正仿宋简体" w:eastAsia="方正仿宋简体" w:cs="方正仿宋简体"/>
          <w:b/>
          <w:bCs/>
          <w:color w:val="auto"/>
          <w:sz w:val="32"/>
          <w:szCs w:val="32"/>
          <w:lang w:eastAsia="zh-CN"/>
        </w:rPr>
        <w:t>（四川融通清算事务所有限公司自贡分公司代章）</w:t>
      </w:r>
    </w:p>
    <w:p w14:paraId="2F6294A9">
      <w:pPr>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color w:val="auto"/>
          <w:sz w:val="32"/>
          <w:szCs w:val="32"/>
          <w:lang w:val="en-US" w:eastAsia="zh-CN"/>
        </w:rPr>
        <w:t xml:space="preserve">                           </w:t>
      </w:r>
      <w:r>
        <w:rPr>
          <w:rFonts w:hint="eastAsia" w:ascii="方正仿宋简体" w:hAnsi="方正仿宋简体" w:eastAsia="方正仿宋简体" w:cs="方正仿宋简体"/>
          <w:b/>
          <w:bCs/>
          <w:color w:val="auto"/>
          <w:sz w:val="32"/>
          <w:szCs w:val="32"/>
        </w:rPr>
        <w:t>202</w:t>
      </w:r>
      <w:r>
        <w:rPr>
          <w:rFonts w:hint="eastAsia" w:ascii="方正仿宋简体" w:hAnsi="方正仿宋简体" w:eastAsia="方正仿宋简体" w:cs="方正仿宋简体"/>
          <w:b/>
          <w:bCs/>
          <w:color w:val="auto"/>
          <w:sz w:val="32"/>
          <w:szCs w:val="32"/>
          <w:lang w:val="en-US" w:eastAsia="zh-CN"/>
        </w:rPr>
        <w:t>5</w:t>
      </w:r>
      <w:r>
        <w:rPr>
          <w:rFonts w:hint="eastAsia" w:ascii="方正仿宋简体" w:hAnsi="方正仿宋简体" w:eastAsia="方正仿宋简体" w:cs="方正仿宋简体"/>
          <w:b/>
          <w:bCs/>
          <w:color w:val="auto"/>
          <w:sz w:val="32"/>
          <w:szCs w:val="32"/>
        </w:rPr>
        <w:t>年</w:t>
      </w:r>
      <w:r>
        <w:rPr>
          <w:rFonts w:hint="eastAsia" w:ascii="方正仿宋简体" w:hAnsi="方正仿宋简体" w:eastAsia="方正仿宋简体" w:cs="方正仿宋简体"/>
          <w:b/>
          <w:bCs/>
          <w:color w:val="auto"/>
          <w:sz w:val="32"/>
          <w:szCs w:val="32"/>
          <w:lang w:val="en-US" w:eastAsia="zh-CN"/>
        </w:rPr>
        <w:t>7</w:t>
      </w:r>
      <w:r>
        <w:rPr>
          <w:rFonts w:hint="eastAsia" w:ascii="方正仿宋简体" w:hAnsi="方正仿宋简体" w:eastAsia="方正仿宋简体" w:cs="方正仿宋简体"/>
          <w:b/>
          <w:bCs/>
          <w:color w:val="auto"/>
          <w:sz w:val="32"/>
          <w:szCs w:val="32"/>
        </w:rPr>
        <w:t>月</w:t>
      </w:r>
      <w:r>
        <w:rPr>
          <w:rFonts w:hint="eastAsia" w:ascii="方正仿宋简体" w:hAnsi="方正仿宋简体" w:eastAsia="方正仿宋简体" w:cs="方正仿宋简体"/>
          <w:b/>
          <w:bCs/>
          <w:color w:val="auto"/>
          <w:sz w:val="32"/>
          <w:szCs w:val="32"/>
          <w:lang w:val="en-US" w:eastAsia="zh-CN"/>
        </w:rPr>
        <w:t>18</w:t>
      </w:r>
      <w:r>
        <w:rPr>
          <w:rFonts w:hint="eastAsia" w:ascii="方正仿宋简体" w:hAnsi="方正仿宋简体" w:eastAsia="方正仿宋简体" w:cs="方正仿宋简体"/>
          <w:b/>
          <w:bCs/>
          <w:color w:val="auto"/>
          <w:sz w:val="32"/>
          <w:szCs w:val="32"/>
        </w:rPr>
        <w:t>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简体">
    <w:panose1 w:val="02000000000000000000"/>
    <w:charset w:val="86"/>
    <w:family w:val="auto"/>
    <w:pitch w:val="default"/>
    <w:sig w:usb0="A00002BF" w:usb1="184F6CFA" w:usb2="00000012"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34FCCC">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603E54">
                          <w:pPr>
                            <w:pStyle w:val="4"/>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C603E54">
                    <w:pPr>
                      <w:pStyle w:val="4"/>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multilevel"/>
    <w:tmpl w:val="00000003"/>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511C12"/>
    <w:rsid w:val="3CCC0D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标题 5（有编号）（绿盟科技）"/>
    <w:basedOn w:val="1"/>
    <w:next w:val="3"/>
    <w:qFormat/>
    <w:uiPriority w:val="0"/>
    <w:pPr>
      <w:keepNext/>
      <w:keepLines/>
      <w:numPr>
        <w:ilvl w:val="4"/>
        <w:numId w:val="1"/>
      </w:numPr>
      <w:spacing w:before="280" w:after="156" w:line="377" w:lineRule="auto"/>
      <w:outlineLvl w:val="4"/>
    </w:pPr>
    <w:rPr>
      <w:rFonts w:ascii="Arial" w:hAnsi="Arial" w:eastAsia="黑体"/>
      <w:b/>
      <w:sz w:val="24"/>
      <w:szCs w:val="28"/>
    </w:rPr>
  </w:style>
  <w:style w:type="paragraph" w:customStyle="1" w:styleId="3">
    <w:name w:val="正文（绿盟科技）"/>
    <w:qFormat/>
    <w:uiPriority w:val="0"/>
    <w:pPr>
      <w:spacing w:line="300" w:lineRule="auto"/>
    </w:pPr>
    <w:rPr>
      <w:rFonts w:ascii="Arial" w:hAnsi="Arial" w:eastAsia="宋体" w:cs="黑体"/>
      <w:sz w:val="21"/>
      <w:szCs w:val="21"/>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823</Words>
  <Characters>856</Characters>
  <Lines>0</Lines>
  <Paragraphs>0</Paragraphs>
  <TotalTime>2</TotalTime>
  <ScaleCrop>false</ScaleCrop>
  <LinksUpToDate>false</LinksUpToDate>
  <CharactersWithSpaces>901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2025-07-24T03:13:00Z</dcterms:created>
  <dc:creator>Administrator</dc:creator>
  <cp:lastModifiedBy>俊</cp:lastModifiedBy>
  <dcterms:modified xsi:type="dcterms:W3CDTF">2025-07-24T07:25:31Z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eyJoZGlkIjoiY2U4NjE2ZGUxNGU5ZDMxZDY1NTllMzBlOGZiYmViOTEiLCJ1c2VySWQiOiI1MTQzODM0MTYifQ==</vt:lpwstr>
  </property>
  <property fmtid="{D5CDD505-2E9C-101B-9397-08002B2CF9AE}" pid="4" name="ICV">
    <vt:lpwstr>0EA52F4BD3D141DFAC7BC2188DF05CCD_12</vt:lpwstr>
  </property>
</Properties>
</file>