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1D5886E">
      <w:pPr>
        <w:spacing w:line="540" w:lineRule="exact"/>
        <w:jc w:val="center"/>
        <w:rPr>
          <w:rFonts w:hint="eastAsia" w:ascii="华文中宋" w:hAnsi="华文中宋" w:eastAsia="华文中宋" w:cs="仿宋"/>
          <w:b/>
          <w:bCs/>
          <w:sz w:val="44"/>
          <w:szCs w:val="44"/>
          <w:lang w:eastAsia="zh-CN"/>
        </w:rPr>
      </w:pPr>
      <w:r>
        <w:rPr>
          <w:rFonts w:hint="eastAsia" w:ascii="华文中宋" w:hAnsi="华文中宋" w:eastAsia="华文中宋" w:cs="仿宋"/>
          <w:b/>
          <w:bCs/>
          <w:sz w:val="44"/>
          <w:szCs w:val="44"/>
          <w:lang w:val="en-US" w:eastAsia="zh-CN"/>
        </w:rPr>
        <w:t>上犹县源丰保安服务有限公司</w:t>
      </w:r>
      <w:r>
        <w:rPr>
          <w:rFonts w:hint="eastAsia" w:ascii="华文中宋" w:hAnsi="华文中宋" w:eastAsia="华文中宋" w:cs="仿宋"/>
          <w:b/>
          <w:bCs/>
          <w:sz w:val="44"/>
          <w:szCs w:val="44"/>
          <w:lang w:eastAsia="zh-CN"/>
        </w:rPr>
        <w:t>破产清算案</w:t>
      </w:r>
    </w:p>
    <w:p w14:paraId="3D592424">
      <w:pPr>
        <w:spacing w:line="540" w:lineRule="exact"/>
        <w:jc w:val="center"/>
        <w:rPr>
          <w:rFonts w:ascii="仿宋" w:hAnsi="仿宋" w:eastAsia="仿宋" w:cs="仿宋"/>
          <w:sz w:val="28"/>
          <w:szCs w:val="28"/>
        </w:rPr>
      </w:pPr>
      <w:r>
        <w:rPr>
          <w:rFonts w:hint="eastAsia" w:ascii="华文中宋" w:hAnsi="华文中宋" w:eastAsia="华文中宋" w:cs="仿宋"/>
          <w:b/>
          <w:bCs/>
          <w:sz w:val="44"/>
          <w:szCs w:val="44"/>
        </w:rPr>
        <w:t>债权申报指引</w:t>
      </w:r>
      <w:r>
        <w:rPr>
          <w:rFonts w:ascii="仿宋" w:hAnsi="仿宋" w:eastAsia="仿宋" w:cs="仿宋"/>
          <w:sz w:val="28"/>
          <w:szCs w:val="28"/>
        </w:rPr>
        <w:t xml:space="preserve">           </w:t>
      </w:r>
    </w:p>
    <w:p w14:paraId="4C2E17AA">
      <w:pPr>
        <w:spacing w:line="540" w:lineRule="exact"/>
        <w:jc w:val="center"/>
        <w:rPr>
          <w:rFonts w:ascii="华文中宋" w:hAnsi="华文中宋" w:eastAsia="华文中宋" w:cs="仿宋"/>
          <w:b/>
          <w:bCs/>
          <w:sz w:val="44"/>
          <w:szCs w:val="44"/>
        </w:rPr>
      </w:pPr>
      <w:r>
        <w:rPr>
          <w:rFonts w:ascii="仿宋" w:hAnsi="仿宋" w:eastAsia="仿宋" w:cs="仿宋"/>
          <w:sz w:val="28"/>
          <w:szCs w:val="28"/>
        </w:rPr>
        <w:t xml:space="preserve">                           </w:t>
      </w:r>
      <w:r>
        <w:rPr>
          <w:rFonts w:hint="eastAsia" w:ascii="仿宋" w:hAnsi="仿宋" w:eastAsia="仿宋" w:cs="仿宋"/>
          <w:sz w:val="28"/>
          <w:szCs w:val="28"/>
        </w:rPr>
        <w:t xml:space="preserve"> </w:t>
      </w:r>
    </w:p>
    <w:p w14:paraId="6970BECC">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为保证</w:t>
      </w:r>
      <w:r>
        <w:rPr>
          <w:rFonts w:hint="eastAsia" w:ascii="仿宋" w:hAnsi="仿宋" w:eastAsia="仿宋" w:cs="仿宋"/>
          <w:sz w:val="28"/>
          <w:szCs w:val="28"/>
          <w:lang w:val="en-US" w:eastAsia="zh-CN"/>
        </w:rPr>
        <w:t>上犹县源丰保安服务有限公司</w:t>
      </w:r>
      <w:r>
        <w:rPr>
          <w:rFonts w:hint="eastAsia" w:ascii="仿宋" w:hAnsi="仿宋" w:eastAsia="仿宋" w:cs="仿宋"/>
          <w:sz w:val="28"/>
          <w:szCs w:val="28"/>
        </w:rPr>
        <w:t>（以下简称“</w:t>
      </w:r>
      <w:r>
        <w:rPr>
          <w:rFonts w:hint="eastAsia" w:ascii="仿宋" w:hAnsi="仿宋" w:eastAsia="仿宋" w:cs="仿宋"/>
          <w:sz w:val="28"/>
          <w:szCs w:val="28"/>
          <w:lang w:val="en-US" w:eastAsia="zh-CN"/>
        </w:rPr>
        <w:t>源丰公司</w:t>
      </w:r>
      <w:r>
        <w:rPr>
          <w:rFonts w:hint="eastAsia" w:ascii="仿宋" w:hAnsi="仿宋" w:eastAsia="仿宋" w:cs="仿宋"/>
          <w:sz w:val="28"/>
          <w:szCs w:val="28"/>
        </w:rPr>
        <w:t>”）债权申报工作有序进行，</w:t>
      </w:r>
      <w:r>
        <w:rPr>
          <w:rFonts w:hint="eastAsia" w:ascii="仿宋" w:hAnsi="仿宋" w:eastAsia="仿宋" w:cs="仿宋"/>
          <w:sz w:val="28"/>
          <w:szCs w:val="28"/>
          <w:lang w:val="en-US" w:eastAsia="zh-CN"/>
        </w:rPr>
        <w:t>上犹县源丰保安服务有限公司</w:t>
      </w:r>
      <w:r>
        <w:rPr>
          <w:rFonts w:hint="eastAsia" w:ascii="仿宋" w:hAnsi="仿宋" w:eastAsia="仿宋" w:cs="仿宋"/>
          <w:sz w:val="28"/>
          <w:szCs w:val="28"/>
        </w:rPr>
        <w:t>破产管理人（以下简称“管理人”）现根据有关法律法规之规定，并结合</w:t>
      </w:r>
      <w:r>
        <w:rPr>
          <w:rFonts w:hint="eastAsia" w:ascii="仿宋" w:hAnsi="仿宋" w:eastAsia="仿宋" w:cs="仿宋"/>
          <w:sz w:val="28"/>
          <w:szCs w:val="28"/>
          <w:lang w:val="en-US" w:eastAsia="zh-CN"/>
        </w:rPr>
        <w:t>源丰公司</w:t>
      </w:r>
      <w:r>
        <w:rPr>
          <w:rFonts w:hint="eastAsia" w:ascii="仿宋" w:hAnsi="仿宋" w:eastAsia="仿宋" w:cs="仿宋"/>
          <w:sz w:val="28"/>
          <w:szCs w:val="28"/>
        </w:rPr>
        <w:t>的实际情况，就债权申报事宜制作如下指引：</w:t>
      </w:r>
    </w:p>
    <w:p w14:paraId="7CB240BB">
      <w:pPr>
        <w:spacing w:line="54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一、债权人应提交的材料</w:t>
      </w:r>
    </w:p>
    <w:p w14:paraId="3EA791F4">
      <w:pPr>
        <w:pStyle w:val="19"/>
        <w:spacing w:line="540" w:lineRule="exact"/>
        <w:ind w:firstLine="562"/>
        <w:rPr>
          <w:rFonts w:ascii="仿宋" w:hAnsi="仿宋" w:eastAsia="仿宋" w:cs="仿宋"/>
          <w:b/>
          <w:bCs/>
          <w:sz w:val="28"/>
          <w:szCs w:val="28"/>
        </w:rPr>
      </w:pPr>
      <w:r>
        <w:rPr>
          <w:rFonts w:hint="eastAsia" w:ascii="仿宋" w:hAnsi="仿宋" w:eastAsia="仿宋" w:cs="仿宋"/>
          <w:b/>
          <w:bCs/>
          <w:sz w:val="28"/>
          <w:szCs w:val="28"/>
        </w:rPr>
        <w:t>(一)债权申报登记表</w:t>
      </w:r>
    </w:p>
    <w:p w14:paraId="105C73DC">
      <w:pPr>
        <w:pStyle w:val="19"/>
        <w:spacing w:line="540" w:lineRule="exact"/>
        <w:ind w:firstLine="0" w:firstLineChars="0"/>
        <w:rPr>
          <w:rFonts w:ascii="仿宋" w:hAnsi="仿宋" w:eastAsia="仿宋" w:cs="仿宋"/>
          <w:sz w:val="28"/>
          <w:szCs w:val="28"/>
        </w:rPr>
      </w:pPr>
      <w:r>
        <w:rPr>
          <w:rFonts w:hint="eastAsia" w:ascii="仿宋" w:hAnsi="仿宋" w:eastAsia="仿宋" w:cs="仿宋"/>
          <w:sz w:val="28"/>
          <w:szCs w:val="28"/>
        </w:rPr>
        <w:t xml:space="preserve">    1.债权申报登记表须写明申报的</w:t>
      </w:r>
      <w:r>
        <w:rPr>
          <w:rFonts w:hint="eastAsia" w:ascii="仿宋" w:hAnsi="仿宋" w:eastAsia="仿宋" w:cs="仿宋"/>
          <w:b/>
          <w:sz w:val="28"/>
          <w:szCs w:val="28"/>
        </w:rPr>
        <w:t>债权金额、性质、形成原因、经过、有无财产担保</w:t>
      </w:r>
      <w:r>
        <w:rPr>
          <w:rFonts w:hint="eastAsia" w:ascii="仿宋" w:hAnsi="仿宋" w:eastAsia="仿宋" w:cs="仿宋"/>
          <w:sz w:val="28"/>
          <w:szCs w:val="28"/>
        </w:rPr>
        <w:t>等相关事项。机构债权人应在债权登记表上加盖债权人公章，个人债权人本人应在债权登记表上签字并捺手印。</w:t>
      </w:r>
    </w:p>
    <w:p w14:paraId="3FE3A724">
      <w:pPr>
        <w:pStyle w:val="19"/>
        <w:spacing w:line="540" w:lineRule="exact"/>
        <w:ind w:firstLine="562"/>
        <w:rPr>
          <w:rFonts w:hint="eastAsia" w:ascii="仿宋" w:hAnsi="仿宋" w:eastAsia="仿宋" w:cs="仿宋"/>
          <w:b/>
          <w:bCs/>
          <w:sz w:val="28"/>
          <w:szCs w:val="28"/>
          <w:lang w:eastAsia="zh-CN"/>
        </w:rPr>
      </w:pPr>
      <w:r>
        <w:rPr>
          <w:rFonts w:hint="eastAsia" w:ascii="仿宋" w:hAnsi="仿宋" w:eastAsia="仿宋" w:cs="仿宋"/>
          <w:b/>
          <w:bCs/>
          <w:sz w:val="28"/>
          <w:szCs w:val="28"/>
        </w:rPr>
        <w:t xml:space="preserve"> (二)证明债权申报人主体资格的材料</w:t>
      </w:r>
      <w:r>
        <w:rPr>
          <w:rFonts w:hint="eastAsia" w:ascii="仿宋" w:hAnsi="仿宋" w:eastAsia="仿宋" w:cs="仿宋"/>
          <w:b/>
          <w:bCs/>
          <w:sz w:val="28"/>
          <w:szCs w:val="28"/>
          <w:lang w:eastAsia="zh-CN"/>
        </w:rPr>
        <w:t>。</w:t>
      </w:r>
    </w:p>
    <w:p w14:paraId="34860A0B">
      <w:pPr>
        <w:pStyle w:val="19"/>
        <w:spacing w:line="540" w:lineRule="exact"/>
        <w:ind w:firstLine="0" w:firstLineChars="0"/>
        <w:rPr>
          <w:rFonts w:ascii="仿宋" w:hAnsi="仿宋" w:eastAsia="仿宋" w:cs="仿宋"/>
          <w:sz w:val="28"/>
          <w:szCs w:val="28"/>
        </w:rPr>
      </w:pPr>
      <w:r>
        <w:rPr>
          <w:rFonts w:hint="eastAsia" w:ascii="仿宋" w:hAnsi="仿宋" w:eastAsia="仿宋" w:cs="仿宋"/>
          <w:sz w:val="28"/>
          <w:szCs w:val="28"/>
        </w:rPr>
        <w:t xml:space="preserve">    1.机构债权人须提交的材料：有效的企业法人营业执照、事业单位和社会团体法人登记证书、组织机构代码证等复印件（加盖公章）；法定代表人或负责人身份证明书（原件）。（如机构债权人与</w:t>
      </w:r>
      <w:r>
        <w:rPr>
          <w:rFonts w:hint="eastAsia" w:ascii="仿宋" w:hAnsi="仿宋" w:eastAsia="仿宋" w:cs="仿宋"/>
          <w:sz w:val="28"/>
          <w:szCs w:val="28"/>
          <w:lang w:val="en-US" w:eastAsia="zh-CN"/>
        </w:rPr>
        <w:t>源丰公司</w:t>
      </w:r>
      <w:r>
        <w:rPr>
          <w:rFonts w:hint="eastAsia" w:ascii="仿宋" w:hAnsi="仿宋" w:eastAsia="仿宋" w:cs="仿宋"/>
          <w:sz w:val="28"/>
          <w:szCs w:val="28"/>
        </w:rPr>
        <w:t>发生债权债务后名称发生变更的，还应提交主管登记机关出具的名称变更证明原件）。</w:t>
      </w:r>
    </w:p>
    <w:p w14:paraId="1B4670BF">
      <w:pPr>
        <w:pStyle w:val="19"/>
        <w:spacing w:line="540" w:lineRule="exact"/>
        <w:ind w:firstLine="0" w:firstLineChars="0"/>
        <w:rPr>
          <w:rFonts w:ascii="仿宋" w:hAnsi="仿宋" w:eastAsia="仿宋" w:cs="仿宋"/>
          <w:sz w:val="28"/>
          <w:szCs w:val="28"/>
        </w:rPr>
      </w:pPr>
      <w:r>
        <w:rPr>
          <w:rFonts w:hint="eastAsia" w:ascii="仿宋" w:hAnsi="仿宋" w:eastAsia="仿宋" w:cs="仿宋"/>
          <w:sz w:val="28"/>
          <w:szCs w:val="28"/>
        </w:rPr>
        <w:t xml:space="preserve">    2.个人债权人须提交的材料：债权人身份证等个人有效证件原件及复印件。</w:t>
      </w:r>
    </w:p>
    <w:p w14:paraId="7D33CABF">
      <w:pPr>
        <w:pStyle w:val="19"/>
        <w:spacing w:line="540" w:lineRule="exact"/>
        <w:ind w:firstLine="0" w:firstLineChars="0"/>
        <w:rPr>
          <w:rFonts w:ascii="仿宋" w:hAnsi="仿宋" w:eastAsia="仿宋" w:cs="仿宋"/>
          <w:sz w:val="28"/>
          <w:szCs w:val="28"/>
        </w:rPr>
      </w:pPr>
      <w:r>
        <w:rPr>
          <w:rFonts w:hint="eastAsia" w:ascii="仿宋" w:hAnsi="仿宋" w:eastAsia="仿宋" w:cs="仿宋"/>
          <w:sz w:val="28"/>
          <w:szCs w:val="28"/>
        </w:rPr>
        <w:t xml:space="preserve">    3.委托代理申报须提交的材料：除了提供上述材料外，还需提交如下材料：</w:t>
      </w:r>
    </w:p>
    <w:p w14:paraId="003BFB11">
      <w:pPr>
        <w:pStyle w:val="19"/>
        <w:spacing w:line="540" w:lineRule="exact"/>
        <w:ind w:firstLine="0" w:firstLineChars="0"/>
        <w:rPr>
          <w:rFonts w:ascii="仿宋" w:hAnsi="仿宋" w:eastAsia="仿宋" w:cs="仿宋"/>
          <w:sz w:val="28"/>
          <w:szCs w:val="28"/>
        </w:rPr>
      </w:pPr>
      <w:r>
        <w:rPr>
          <w:rFonts w:hint="eastAsia" w:ascii="仿宋" w:hAnsi="仿宋" w:eastAsia="仿宋" w:cs="仿宋"/>
          <w:sz w:val="28"/>
          <w:szCs w:val="28"/>
        </w:rPr>
        <w:t xml:space="preserve">    (1)机构债权人须提交的材料：法定代表人的授权委托书（法定代表人签字并加盖公章）和代理人的身份证等个人有效证件原件（核对后归还）及复印件；</w:t>
      </w:r>
    </w:p>
    <w:p w14:paraId="151EE207">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(2)个人债权人须提交的材料：授权委托书原件和代理人的身份证等个人有效证件原件（核对后归还）及复印件；</w:t>
      </w:r>
    </w:p>
    <w:p w14:paraId="50740410">
      <w:pPr>
        <w:pStyle w:val="19"/>
        <w:spacing w:line="540" w:lineRule="exact"/>
        <w:ind w:firstLineChars="150"/>
        <w:rPr>
          <w:rFonts w:ascii="仿宋" w:hAnsi="仿宋" w:eastAsia="仿宋" w:cs="仿宋"/>
          <w:sz w:val="28"/>
          <w:szCs w:val="28"/>
        </w:rPr>
      </w:pPr>
      <w:r>
        <w:rPr>
          <w:rFonts w:hint="eastAsia" w:ascii="仿宋" w:hAnsi="仿宋" w:eastAsia="仿宋" w:cs="仿宋"/>
          <w:sz w:val="28"/>
          <w:szCs w:val="28"/>
        </w:rPr>
        <w:t>（3）代理人为律师的须提交的材料：授权委托书、所在律所出具的函和律师证复印件。</w:t>
      </w:r>
    </w:p>
    <w:p w14:paraId="50AEFAF9">
      <w:pPr>
        <w:pStyle w:val="19"/>
        <w:spacing w:line="540" w:lineRule="exact"/>
        <w:ind w:firstLine="562"/>
        <w:rPr>
          <w:rFonts w:ascii="仿宋" w:hAnsi="仿宋" w:eastAsia="仿宋" w:cs="仿宋"/>
          <w:b/>
          <w:bCs/>
          <w:sz w:val="28"/>
          <w:szCs w:val="28"/>
        </w:rPr>
      </w:pPr>
      <w:r>
        <w:rPr>
          <w:rFonts w:hint="eastAsia" w:ascii="仿宋" w:hAnsi="仿宋" w:eastAsia="仿宋" w:cs="仿宋"/>
          <w:b/>
          <w:bCs/>
          <w:sz w:val="28"/>
          <w:szCs w:val="28"/>
        </w:rPr>
        <w:t>(三)证明债权发生事实及其数额的材料</w:t>
      </w:r>
    </w:p>
    <w:p w14:paraId="046AD560">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1.各类合同书等证明债权发生的原始凭证原件和复印件；有关债权形成的借条、票据、银行流水、签证单、结算书、农民工资清单、职工工资表及复印件；</w:t>
      </w:r>
    </w:p>
    <w:p w14:paraId="1F5E52D1">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2.债权如有担保的，还须提交抵押合同、质押合同、保证合同及相关的登记证件等担保原始材料原件及复印件；</w:t>
      </w:r>
    </w:p>
    <w:p w14:paraId="46586E19">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3.债权如有生效法律文书支持的，须提交生效法律文书，法院出具的生效法律文书应</w:t>
      </w:r>
      <w:r>
        <w:rPr>
          <w:rFonts w:hint="eastAsia" w:ascii="仿宋" w:hAnsi="仿宋" w:eastAsia="仿宋" w:cs="仿宋"/>
          <w:b/>
          <w:sz w:val="28"/>
          <w:szCs w:val="28"/>
        </w:rPr>
        <w:t>加盖法律文书生效章</w:t>
      </w:r>
      <w:r>
        <w:rPr>
          <w:rFonts w:hint="eastAsia" w:ascii="仿宋" w:hAnsi="仿宋" w:eastAsia="仿宋" w:cs="仿宋"/>
          <w:sz w:val="28"/>
          <w:szCs w:val="28"/>
        </w:rPr>
        <w:t>，如果经过两级法院审理，一、二审法院的法律文书皆需提供；仲裁机关出具的生效法律文书应附上</w:t>
      </w:r>
      <w:r>
        <w:rPr>
          <w:rFonts w:hint="eastAsia" w:ascii="仿宋" w:hAnsi="仿宋" w:eastAsia="仿宋" w:cs="仿宋"/>
          <w:b/>
          <w:sz w:val="28"/>
          <w:szCs w:val="28"/>
        </w:rPr>
        <w:t>仲裁机关关于法律文书已经生效的函件或双方当事人已签收的送达回执以及证据材料</w:t>
      </w:r>
      <w:r>
        <w:rPr>
          <w:rFonts w:hint="eastAsia" w:ascii="仿宋" w:hAnsi="仿宋" w:eastAsia="仿宋" w:cs="仿宋"/>
          <w:sz w:val="28"/>
          <w:szCs w:val="28"/>
        </w:rPr>
        <w:t>。如已申请人民法院强制执行的，还须提交人民法院</w:t>
      </w:r>
      <w:r>
        <w:rPr>
          <w:rFonts w:hint="eastAsia" w:ascii="仿宋" w:hAnsi="仿宋" w:eastAsia="仿宋" w:cs="仿宋"/>
          <w:b/>
          <w:sz w:val="28"/>
          <w:szCs w:val="28"/>
        </w:rPr>
        <w:t>执行立案通知书、中止执行裁定书、执行情况的说明</w:t>
      </w:r>
      <w:r>
        <w:rPr>
          <w:rFonts w:hint="eastAsia" w:ascii="仿宋" w:hAnsi="仿宋" w:eastAsia="仿宋" w:cs="仿宋"/>
          <w:sz w:val="28"/>
          <w:szCs w:val="28"/>
        </w:rPr>
        <w:t>等相关文件；</w:t>
      </w:r>
    </w:p>
    <w:p w14:paraId="2E34569B">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4.申报人在诉讼中或仲裁程序中申请财产保全的，须提交人民法院作出的保全裁定书等相关文件；</w:t>
      </w:r>
    </w:p>
    <w:p w14:paraId="6F674AD3">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5.能够证明债权发生、变更、存续、诉讼时效中止、中断、延长及债权金额的其他材料；</w:t>
      </w:r>
    </w:p>
    <w:p w14:paraId="0A8FC614">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6.债权如有偿还或其他抵债情形的，则须提供偿债凭证、协议或以物抵债协议等。如该等偿债或以物抵债是由法院裁定认可的，须同时提交裁定书；</w:t>
      </w:r>
    </w:p>
    <w:p w14:paraId="7335DACF">
      <w:pPr>
        <w:pStyle w:val="19"/>
        <w:spacing w:line="540" w:lineRule="exact"/>
        <w:ind w:firstLineChars="0"/>
        <w:rPr>
          <w:rFonts w:ascii="仿宋" w:hAnsi="仿宋" w:eastAsia="仿宋" w:cs="仿宋"/>
          <w:b/>
          <w:sz w:val="28"/>
          <w:szCs w:val="28"/>
          <w:u w:val="single"/>
        </w:rPr>
      </w:pPr>
      <w:r>
        <w:rPr>
          <w:rFonts w:hint="eastAsia" w:ascii="仿宋" w:hAnsi="仿宋" w:eastAsia="仿宋" w:cs="仿宋"/>
          <w:sz w:val="28"/>
          <w:szCs w:val="28"/>
        </w:rPr>
        <w:t>7.申报的债权涉及利息的，根据《中华人民共和国企业破产法》第四十六条第二款之规定，利息计算至</w:t>
      </w:r>
      <w:r>
        <w:rPr>
          <w:rFonts w:hint="eastAsia" w:ascii="仿宋" w:hAnsi="仿宋" w:eastAsia="仿宋" w:cs="仿宋"/>
          <w:b/>
          <w:sz w:val="28"/>
          <w:szCs w:val="28"/>
          <w:u w:val="single"/>
          <w:lang w:val="en-US" w:eastAsia="zh-CN"/>
        </w:rPr>
        <w:t>江西省上犹县人民法院</w:t>
      </w:r>
      <w:r>
        <w:rPr>
          <w:rFonts w:hint="eastAsia" w:ascii="仿宋" w:hAnsi="仿宋" w:eastAsia="仿宋" w:cs="仿宋"/>
          <w:b/>
          <w:sz w:val="28"/>
          <w:szCs w:val="28"/>
          <w:u w:val="single"/>
        </w:rPr>
        <w:t>裁定受理</w:t>
      </w:r>
      <w:r>
        <w:rPr>
          <w:rFonts w:hint="eastAsia" w:ascii="仿宋" w:hAnsi="仿宋" w:eastAsia="仿宋" w:cs="仿宋"/>
          <w:b/>
          <w:sz w:val="28"/>
          <w:szCs w:val="28"/>
          <w:u w:val="single"/>
          <w:lang w:val="en-US" w:eastAsia="zh-CN"/>
        </w:rPr>
        <w:t>上犹县源丰保安服务有限公司</w:t>
      </w:r>
      <w:r>
        <w:rPr>
          <w:rFonts w:hint="eastAsia" w:ascii="仿宋" w:hAnsi="仿宋" w:eastAsia="仿宋" w:cs="仿宋"/>
          <w:b/>
          <w:sz w:val="28"/>
          <w:szCs w:val="28"/>
          <w:u w:val="single"/>
        </w:rPr>
        <w:t>破产清算案之日，即</w:t>
      </w:r>
      <w:r>
        <w:rPr>
          <w:rFonts w:hint="eastAsia" w:ascii="仿宋" w:hAnsi="仿宋" w:eastAsia="仿宋" w:cs="仿宋"/>
          <w:b/>
          <w:sz w:val="28"/>
          <w:szCs w:val="28"/>
          <w:u w:val="single"/>
          <w:lang w:eastAsia="zh-CN"/>
        </w:rPr>
        <w:t>202</w:t>
      </w:r>
      <w:r>
        <w:rPr>
          <w:rFonts w:hint="eastAsia" w:ascii="仿宋" w:hAnsi="仿宋" w:eastAsia="仿宋" w:cs="仿宋"/>
          <w:b/>
          <w:sz w:val="28"/>
          <w:szCs w:val="28"/>
          <w:u w:val="single"/>
          <w:lang w:val="en-US" w:eastAsia="zh-CN"/>
        </w:rPr>
        <w:t>5</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8</w:t>
      </w:r>
      <w:r>
        <w:rPr>
          <w:rFonts w:hint="eastAsia" w:ascii="仿宋" w:hAnsi="仿宋" w:eastAsia="仿宋" w:cs="仿宋"/>
          <w:b/>
          <w:sz w:val="28"/>
          <w:szCs w:val="28"/>
          <w:u w:val="single"/>
          <w:lang w:eastAsia="zh-CN"/>
        </w:rPr>
        <w:t>月</w:t>
      </w:r>
      <w:r>
        <w:rPr>
          <w:rFonts w:hint="eastAsia" w:ascii="仿宋" w:hAnsi="仿宋" w:eastAsia="仿宋" w:cs="仿宋"/>
          <w:b/>
          <w:sz w:val="28"/>
          <w:szCs w:val="28"/>
          <w:u w:val="single"/>
          <w:lang w:val="en-US" w:eastAsia="zh-CN"/>
        </w:rPr>
        <w:t>12</w:t>
      </w:r>
      <w:r>
        <w:rPr>
          <w:rFonts w:hint="eastAsia" w:ascii="仿宋" w:hAnsi="仿宋" w:eastAsia="仿宋" w:cs="仿宋"/>
          <w:b/>
          <w:sz w:val="28"/>
          <w:szCs w:val="28"/>
          <w:u w:val="single"/>
          <w:lang w:eastAsia="zh-CN"/>
        </w:rPr>
        <w:t>日</w:t>
      </w:r>
      <w:r>
        <w:rPr>
          <w:rFonts w:hint="eastAsia" w:ascii="仿宋" w:hAnsi="仿宋" w:eastAsia="仿宋" w:cs="仿宋"/>
          <w:sz w:val="28"/>
          <w:szCs w:val="28"/>
        </w:rPr>
        <w:t>。</w:t>
      </w:r>
      <w:r>
        <w:rPr>
          <w:rFonts w:hint="eastAsia" w:ascii="仿宋" w:hAnsi="仿宋" w:eastAsia="仿宋" w:cs="仿宋"/>
          <w:b/>
          <w:sz w:val="28"/>
          <w:szCs w:val="28"/>
        </w:rPr>
        <w:t>申报人应提供利息计算表，说明利息的计算依据、计算方法和计算结果，同时将正常利息与罚息、复利等分开计算（迟延利息、滞纳金除外）；</w:t>
      </w:r>
    </w:p>
    <w:p w14:paraId="232B0655">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8. 其他能够证明债权成立的依据。</w:t>
      </w:r>
    </w:p>
    <w:p w14:paraId="6DE92B11">
      <w:pPr>
        <w:pStyle w:val="19"/>
        <w:spacing w:line="540" w:lineRule="exact"/>
        <w:ind w:firstLine="562"/>
        <w:rPr>
          <w:rFonts w:ascii="仿宋" w:hAnsi="仿宋" w:eastAsia="仿宋" w:cs="仿宋"/>
          <w:b/>
          <w:sz w:val="28"/>
          <w:szCs w:val="28"/>
        </w:rPr>
      </w:pPr>
      <w:r>
        <w:rPr>
          <w:rFonts w:hint="eastAsia" w:ascii="仿宋" w:hAnsi="仿宋" w:eastAsia="仿宋" w:cs="仿宋"/>
          <w:b/>
          <w:sz w:val="28"/>
          <w:szCs w:val="28"/>
        </w:rPr>
        <w:t>特别提示：以上1至8项材料须提交原件及复印件，原件现场核查。</w:t>
      </w:r>
    </w:p>
    <w:p w14:paraId="0BC83804">
      <w:pPr>
        <w:pStyle w:val="19"/>
        <w:spacing w:line="540" w:lineRule="exact"/>
        <w:ind w:firstLine="422" w:firstLineChars="150"/>
        <w:rPr>
          <w:rFonts w:ascii="仿宋" w:hAnsi="仿宋" w:eastAsia="仿宋" w:cs="仿宋"/>
          <w:b/>
          <w:sz w:val="28"/>
          <w:szCs w:val="28"/>
        </w:rPr>
      </w:pPr>
      <w:r>
        <w:rPr>
          <w:rFonts w:hint="eastAsia" w:ascii="仿宋" w:hAnsi="仿宋" w:eastAsia="仿宋" w:cs="仿宋"/>
          <w:b/>
          <w:sz w:val="28"/>
          <w:szCs w:val="28"/>
        </w:rPr>
        <w:t>（四）《债权人送达地址（送达方式）确认书》《关于同意采用网络（数据电文）方式送达文书、召开会议、表决投票的声明》《关于对债权申报方式和管理人履行职责的声明》</w:t>
      </w:r>
    </w:p>
    <w:p w14:paraId="60BC2CB7">
      <w:pPr>
        <w:pStyle w:val="19"/>
        <w:spacing w:line="540" w:lineRule="exact"/>
        <w:ind w:firstLine="562"/>
        <w:rPr>
          <w:rFonts w:ascii="仿宋" w:hAnsi="仿宋" w:eastAsia="仿宋" w:cs="仿宋"/>
          <w:b/>
          <w:bCs/>
          <w:sz w:val="28"/>
          <w:szCs w:val="28"/>
        </w:rPr>
      </w:pPr>
      <w:r>
        <w:rPr>
          <w:rFonts w:hint="eastAsia" w:ascii="仿宋" w:hAnsi="仿宋" w:eastAsia="仿宋" w:cs="仿宋"/>
          <w:b/>
          <w:bCs/>
          <w:sz w:val="28"/>
          <w:szCs w:val="28"/>
        </w:rPr>
        <w:t>二、债权人提交资料的要求</w:t>
      </w:r>
    </w:p>
    <w:p w14:paraId="346B3F46">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b/>
          <w:sz w:val="28"/>
          <w:szCs w:val="28"/>
        </w:rPr>
        <w:t>债权人提交的资料应</w:t>
      </w:r>
      <w:r>
        <w:rPr>
          <w:rFonts w:hint="eastAsia" w:ascii="仿宋" w:hAnsi="仿宋" w:eastAsia="仿宋" w:cs="仿宋"/>
          <w:b/>
          <w:sz w:val="28"/>
          <w:szCs w:val="28"/>
          <w:u w:val="single"/>
        </w:rPr>
        <w:t>一式</w:t>
      </w:r>
      <w:r>
        <w:rPr>
          <w:rFonts w:hint="eastAsia" w:ascii="仿宋" w:hAnsi="仿宋" w:eastAsia="仿宋" w:cs="仿宋"/>
          <w:b/>
          <w:sz w:val="28"/>
          <w:szCs w:val="28"/>
          <w:u w:val="single"/>
          <w:lang w:val="en-US" w:eastAsia="zh-CN"/>
        </w:rPr>
        <w:t>三</w:t>
      </w:r>
      <w:r>
        <w:rPr>
          <w:rFonts w:hint="eastAsia" w:ascii="仿宋" w:hAnsi="仿宋" w:eastAsia="仿宋" w:cs="仿宋"/>
          <w:b/>
          <w:sz w:val="28"/>
          <w:szCs w:val="28"/>
          <w:u w:val="single"/>
        </w:rPr>
        <w:t>份</w:t>
      </w:r>
      <w:r>
        <w:rPr>
          <w:rFonts w:hint="eastAsia" w:ascii="仿宋" w:hAnsi="仿宋" w:eastAsia="仿宋" w:cs="仿宋"/>
          <w:sz w:val="28"/>
          <w:szCs w:val="28"/>
        </w:rPr>
        <w:t>；</w:t>
      </w:r>
    </w:p>
    <w:p w14:paraId="78E277A5">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2.债权人对</w:t>
      </w:r>
      <w:r>
        <w:rPr>
          <w:rFonts w:hint="eastAsia" w:ascii="仿宋" w:hAnsi="仿宋" w:eastAsia="仿宋" w:cs="仿宋"/>
          <w:sz w:val="28"/>
          <w:szCs w:val="28"/>
          <w:lang w:val="en-US" w:eastAsia="zh-CN"/>
        </w:rPr>
        <w:t>源丰公司</w:t>
      </w:r>
      <w:r>
        <w:rPr>
          <w:rFonts w:hint="eastAsia" w:ascii="仿宋" w:hAnsi="仿宋" w:eastAsia="仿宋" w:cs="仿宋"/>
          <w:sz w:val="28"/>
          <w:szCs w:val="28"/>
        </w:rPr>
        <w:t>享有多笔债权的，应分别提交申报材料（证明债权申报人主体资格的材料除外）；</w:t>
      </w:r>
    </w:p>
    <w:p w14:paraId="5DA75E78">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3.债权申报登记表、授权委托书必须为原件，其他材料可以提交复印件，但应同时提交原件核对，原件核对无误后予以返还；</w:t>
      </w:r>
    </w:p>
    <w:p w14:paraId="5BA2B8C3">
      <w:pPr>
        <w:pStyle w:val="19"/>
        <w:spacing w:line="540" w:lineRule="exact"/>
        <w:ind w:firstLine="560"/>
        <w:rPr>
          <w:rFonts w:ascii="仿宋" w:hAnsi="仿宋" w:eastAsia="仿宋" w:cs="仿宋"/>
          <w:sz w:val="28"/>
          <w:szCs w:val="28"/>
        </w:rPr>
      </w:pPr>
      <w:r>
        <w:rPr>
          <w:rFonts w:hint="eastAsia" w:ascii="仿宋" w:hAnsi="仿宋" w:eastAsia="仿宋" w:cs="仿宋"/>
          <w:sz w:val="28"/>
          <w:szCs w:val="28"/>
        </w:rPr>
        <w:t>4.对于债权人提交的资料为复印件的，债权人为机构的，须在材料上加盖债权人单位印章；债权人为自然人的，由债权人本人或代理人在材料上签字。</w:t>
      </w:r>
    </w:p>
    <w:p w14:paraId="6A48B8E8">
      <w:pPr>
        <w:pStyle w:val="19"/>
        <w:spacing w:line="540" w:lineRule="exact"/>
        <w:ind w:firstLine="562"/>
        <w:rPr>
          <w:rFonts w:ascii="仿宋" w:hAnsi="仿宋" w:eastAsia="仿宋" w:cs="仿宋"/>
          <w:b/>
          <w:bCs/>
          <w:sz w:val="28"/>
          <w:szCs w:val="28"/>
        </w:rPr>
      </w:pPr>
      <w:r>
        <w:rPr>
          <w:rFonts w:hint="eastAsia" w:ascii="仿宋" w:hAnsi="仿宋" w:eastAsia="仿宋" w:cs="仿宋"/>
          <w:b/>
          <w:bCs/>
          <w:sz w:val="28"/>
          <w:szCs w:val="28"/>
        </w:rPr>
        <w:t>三、受理债权申报时间及地址</w:t>
      </w:r>
    </w:p>
    <w:p w14:paraId="6BB58688">
      <w:pPr>
        <w:spacing w:line="540" w:lineRule="exact"/>
        <w:ind w:firstLine="562" w:firstLineChars="200"/>
        <w:rPr>
          <w:rFonts w:ascii="仿宋" w:hAnsi="仿宋" w:eastAsia="仿宋" w:cs="仿宋"/>
          <w:b/>
          <w:color w:val="FF0000"/>
          <w:sz w:val="28"/>
          <w:szCs w:val="28"/>
        </w:rPr>
      </w:pPr>
      <w:r>
        <w:rPr>
          <w:rFonts w:hint="eastAsia" w:ascii="仿宋" w:hAnsi="仿宋" w:eastAsia="仿宋" w:cs="仿宋"/>
          <w:b/>
          <w:bCs/>
          <w:color w:val="FF0000"/>
          <w:sz w:val="28"/>
          <w:szCs w:val="28"/>
        </w:rPr>
        <w:t>1.债权申报截</w:t>
      </w:r>
      <w:r>
        <w:rPr>
          <w:rFonts w:hint="eastAsia" w:ascii="仿宋" w:hAnsi="仿宋" w:eastAsia="仿宋" w:cs="仿宋"/>
          <w:b/>
          <w:color w:val="FF0000"/>
          <w:sz w:val="28"/>
          <w:szCs w:val="28"/>
        </w:rPr>
        <w:t>止日期：</w:t>
      </w:r>
      <w:r>
        <w:rPr>
          <w:rFonts w:hint="eastAsia" w:ascii="仿宋" w:hAnsi="仿宋" w:eastAsia="仿宋" w:cs="仿宋"/>
          <w:b/>
          <w:color w:val="FF0000"/>
          <w:sz w:val="28"/>
          <w:szCs w:val="28"/>
          <w:u w:val="single"/>
        </w:rPr>
        <w:t>202</w:t>
      </w:r>
      <w:r>
        <w:rPr>
          <w:rFonts w:hint="eastAsia" w:ascii="仿宋" w:hAnsi="仿宋" w:eastAsia="仿宋" w:cs="仿宋"/>
          <w:b/>
          <w:color w:val="FF0000"/>
          <w:sz w:val="28"/>
          <w:szCs w:val="28"/>
          <w:u w:val="single"/>
          <w:lang w:val="en-US" w:eastAsia="zh-CN"/>
        </w:rPr>
        <w:t>5</w:t>
      </w:r>
      <w:r>
        <w:rPr>
          <w:rFonts w:hint="eastAsia" w:ascii="仿宋" w:hAnsi="仿宋" w:eastAsia="仿宋" w:cs="仿宋"/>
          <w:b/>
          <w:color w:val="FF0000"/>
          <w:sz w:val="28"/>
          <w:szCs w:val="28"/>
          <w:u w:val="single"/>
        </w:rPr>
        <w:t>年</w:t>
      </w:r>
      <w:r>
        <w:rPr>
          <w:rFonts w:hint="eastAsia" w:ascii="仿宋" w:hAnsi="仿宋" w:eastAsia="仿宋" w:cs="仿宋"/>
          <w:b/>
          <w:color w:val="FF0000"/>
          <w:sz w:val="28"/>
          <w:szCs w:val="28"/>
          <w:highlight w:val="none"/>
          <w:u w:val="single"/>
          <w:lang w:val="en-US" w:eastAsia="zh-CN"/>
        </w:rPr>
        <w:t>9月21日</w:t>
      </w:r>
      <w:r>
        <w:rPr>
          <w:rFonts w:hint="eastAsia" w:ascii="仿宋" w:hAnsi="仿宋" w:eastAsia="仿宋" w:cs="仿宋"/>
          <w:b/>
          <w:color w:val="FF0000"/>
          <w:sz w:val="28"/>
          <w:szCs w:val="28"/>
        </w:rPr>
        <w:t>。</w:t>
      </w:r>
    </w:p>
    <w:p w14:paraId="7914A052">
      <w:pPr>
        <w:pStyle w:val="19"/>
        <w:spacing w:line="540" w:lineRule="exact"/>
        <w:ind w:firstLine="560"/>
        <w:rPr>
          <w:rFonts w:hint="eastAsia" w:ascii="仿宋" w:hAnsi="仿宋" w:eastAsia="仿宋" w:cs="仿宋"/>
          <w:b/>
          <w:sz w:val="28"/>
          <w:szCs w:val="28"/>
          <w:u w:val="single"/>
          <w:lang w:eastAsia="zh-CN"/>
        </w:rPr>
      </w:pPr>
      <w:r>
        <w:rPr>
          <w:rFonts w:hint="eastAsia" w:ascii="仿宋" w:hAnsi="仿宋" w:eastAsia="仿宋" w:cs="仿宋"/>
          <w:sz w:val="28"/>
          <w:szCs w:val="28"/>
        </w:rPr>
        <w:t>2.申报地址</w:t>
      </w:r>
      <w:r>
        <w:rPr>
          <w:rFonts w:hint="eastAsia" w:ascii="仿宋" w:hAnsi="仿宋" w:eastAsia="仿宋" w:cs="仿宋"/>
          <w:sz w:val="28"/>
          <w:szCs w:val="28"/>
          <w:lang w:eastAsia="zh-CN"/>
        </w:rPr>
        <w:t>：</w:t>
      </w:r>
      <w:r>
        <w:rPr>
          <w:rFonts w:hint="eastAsia" w:ascii="仿宋" w:hAnsi="仿宋" w:eastAsia="仿宋" w:cs="仿宋"/>
          <w:b/>
          <w:sz w:val="28"/>
          <w:szCs w:val="28"/>
          <w:u w:val="single"/>
        </w:rPr>
        <w:t>江西省赣州市</w:t>
      </w:r>
      <w:r>
        <w:rPr>
          <w:rFonts w:hint="eastAsia" w:ascii="仿宋" w:hAnsi="仿宋" w:eastAsia="仿宋" w:cs="仿宋"/>
          <w:b/>
          <w:sz w:val="28"/>
          <w:szCs w:val="28"/>
          <w:u w:val="single"/>
          <w:lang w:val="en-US" w:eastAsia="zh-CN"/>
        </w:rPr>
        <w:t>定南县</w:t>
      </w:r>
      <w:r>
        <w:rPr>
          <w:rFonts w:hint="eastAsia" w:ascii="仿宋" w:hAnsi="仿宋" w:eastAsia="仿宋" w:cs="仿宋"/>
          <w:b/>
          <w:sz w:val="28"/>
          <w:szCs w:val="28"/>
          <w:u w:val="single"/>
          <w:lang w:eastAsia="zh-CN"/>
        </w:rPr>
        <w:t>历市镇中南路2-1号江西敬虔律师事务所。</w:t>
      </w:r>
    </w:p>
    <w:p w14:paraId="74D0B0D5">
      <w:pPr>
        <w:pStyle w:val="19"/>
        <w:spacing w:line="540" w:lineRule="exact"/>
        <w:ind w:firstLine="562"/>
        <w:rPr>
          <w:rFonts w:ascii="仿宋" w:hAnsi="仿宋" w:eastAsia="仿宋" w:cs="仿宋"/>
          <w:sz w:val="28"/>
          <w:szCs w:val="28"/>
        </w:rPr>
      </w:pPr>
      <w:r>
        <w:rPr>
          <w:rFonts w:hint="eastAsia" w:ascii="仿宋" w:hAnsi="仿宋" w:eastAsia="仿宋" w:cs="仿宋"/>
          <w:b/>
          <w:bCs/>
          <w:sz w:val="28"/>
          <w:szCs w:val="28"/>
        </w:rPr>
        <w:t>温馨提示：债权人进行债权申报前，请提前与管理人电话联系。</w:t>
      </w:r>
    </w:p>
    <w:p w14:paraId="23A04E77">
      <w:pPr>
        <w:widowControl/>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3.联系人及联系方式</w:t>
      </w:r>
    </w:p>
    <w:p w14:paraId="138DB785">
      <w:pPr>
        <w:widowControl/>
        <w:spacing w:line="540" w:lineRule="exact"/>
        <w:ind w:firstLine="560" w:firstLineChars="200"/>
        <w:rPr>
          <w:rFonts w:hint="default" w:ascii="仿宋" w:hAnsi="仿宋" w:eastAsia="仿宋" w:cs="华文仿宋"/>
          <w:kern w:val="0"/>
          <w:sz w:val="28"/>
          <w:szCs w:val="28"/>
          <w:lang w:val="en-US" w:eastAsia="zh-CN"/>
        </w:rPr>
      </w:pPr>
      <w:r>
        <w:rPr>
          <w:rFonts w:hint="eastAsia" w:ascii="仿宋" w:hAnsi="仿宋" w:eastAsia="仿宋" w:cs="华文仿宋"/>
          <w:kern w:val="0"/>
          <w:sz w:val="28"/>
          <w:szCs w:val="28"/>
          <w:lang w:val="en-US" w:eastAsia="zh-CN"/>
        </w:rPr>
        <w:t>熊健爱</w:t>
      </w:r>
      <w:r>
        <w:rPr>
          <w:rFonts w:hint="eastAsia" w:ascii="仿宋" w:hAnsi="仿宋" w:eastAsia="仿宋" w:cs="华文仿宋"/>
          <w:kern w:val="0"/>
          <w:sz w:val="28"/>
          <w:szCs w:val="28"/>
        </w:rPr>
        <w:t>，联系电话：</w:t>
      </w:r>
      <w:r>
        <w:rPr>
          <w:rFonts w:hint="eastAsia" w:ascii="仿宋" w:hAnsi="仿宋" w:eastAsia="仿宋" w:cs="华文仿宋"/>
          <w:kern w:val="0"/>
          <w:sz w:val="28"/>
          <w:szCs w:val="28"/>
          <w:lang w:val="en-US" w:eastAsia="zh-CN"/>
        </w:rPr>
        <w:t>18720921413</w:t>
      </w:r>
    </w:p>
    <w:p w14:paraId="03969A87">
      <w:pPr>
        <w:widowControl/>
        <w:spacing w:line="540" w:lineRule="exact"/>
        <w:ind w:firstLine="560" w:firstLineChars="200"/>
        <w:rPr>
          <w:rFonts w:hint="eastAsia" w:ascii="仿宋" w:hAnsi="仿宋" w:eastAsia="仿宋" w:cs="华文仿宋"/>
          <w:kern w:val="0"/>
          <w:sz w:val="28"/>
          <w:szCs w:val="28"/>
          <w:lang w:val="en-US" w:eastAsia="zh-CN"/>
        </w:rPr>
      </w:pPr>
      <w:r>
        <w:rPr>
          <w:rFonts w:hint="eastAsia" w:ascii="仿宋" w:hAnsi="仿宋" w:eastAsia="仿宋" w:cs="华文仿宋"/>
          <w:kern w:val="0"/>
          <w:sz w:val="28"/>
          <w:szCs w:val="28"/>
          <w:lang w:val="en-US" w:eastAsia="zh-CN"/>
        </w:rPr>
        <w:t>谢  纯，联系电话：18222017064</w:t>
      </w:r>
    </w:p>
    <w:p w14:paraId="2DCD29F3">
      <w:pPr>
        <w:widowControl/>
        <w:spacing w:line="540" w:lineRule="exact"/>
        <w:ind w:firstLine="560" w:firstLineChars="200"/>
        <w:rPr>
          <w:rFonts w:hint="default" w:ascii="仿宋" w:hAnsi="仿宋" w:eastAsia="仿宋" w:cs="华文仿宋"/>
          <w:kern w:val="0"/>
          <w:sz w:val="28"/>
          <w:szCs w:val="28"/>
          <w:lang w:val="en-US" w:eastAsia="zh-CN"/>
        </w:rPr>
      </w:pPr>
    </w:p>
    <w:p w14:paraId="7196A5BF">
      <w:pPr>
        <w:jc w:val="right"/>
        <w:rPr>
          <w:rFonts w:ascii="仿宋" w:hAnsi="仿宋" w:eastAsia="仿宋" w:cs="仿宋"/>
          <w:sz w:val="28"/>
          <w:szCs w:val="28"/>
        </w:rPr>
      </w:pPr>
      <w:r>
        <w:rPr>
          <w:rFonts w:hint="eastAsia" w:ascii="仿宋" w:hAnsi="仿宋" w:eastAsia="仿宋" w:cs="仿宋"/>
          <w:sz w:val="28"/>
          <w:szCs w:val="28"/>
          <w:lang w:val="en-US" w:eastAsia="zh-CN"/>
        </w:rPr>
        <w:t>上犹县源丰保安服务有限公司</w:t>
      </w:r>
      <w:r>
        <w:rPr>
          <w:rFonts w:hint="eastAsia" w:ascii="仿宋" w:hAnsi="仿宋" w:eastAsia="仿宋" w:cs="仿宋"/>
          <w:sz w:val="28"/>
          <w:szCs w:val="28"/>
        </w:rPr>
        <w:t>管理人</w:t>
      </w:r>
    </w:p>
    <w:p w14:paraId="47BE205E">
      <w:pPr>
        <w:spacing w:line="540" w:lineRule="exact"/>
        <w:jc w:val="right"/>
      </w:pP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eastAsia="zh-CN"/>
        </w:rPr>
        <w:t>二〇二</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八</w:t>
      </w:r>
      <w:r>
        <w:rPr>
          <w:rFonts w:hint="eastAsia" w:ascii="仿宋" w:hAnsi="仿宋" w:eastAsia="仿宋" w:cs="仿宋"/>
          <w:sz w:val="28"/>
          <w:szCs w:val="28"/>
          <w:highlight w:val="none"/>
          <w:lang w:val="en-US" w:eastAsia="zh-CN"/>
        </w:rPr>
        <w:t>月二十二</w:t>
      </w:r>
      <w:r>
        <w:rPr>
          <w:rFonts w:hint="eastAsia" w:ascii="仿宋" w:hAnsi="仿宋" w:eastAsia="仿宋" w:cs="仿宋"/>
          <w:sz w:val="28"/>
          <w:szCs w:val="28"/>
          <w:highlight w:val="none"/>
          <w:lang w:eastAsia="zh-CN"/>
        </w:rPr>
        <w:t xml:space="preserve">日 </w:t>
      </w:r>
      <w:r>
        <w:rPr>
          <w:rFonts w:hint="eastAsia" w:ascii="仿宋" w:hAnsi="仿宋" w:eastAsia="仿宋" w:cs="仿宋"/>
          <w:sz w:val="28"/>
          <w:szCs w:val="28"/>
          <w:lang w:eastAsia="zh-CN"/>
        </w:rPr>
        <w:t xml:space="preserve"> </w:t>
      </w:r>
      <w:r>
        <w:rPr>
          <w:rFonts w:hint="eastAsia" w:ascii="仿宋" w:hAnsi="仿宋" w:eastAsia="仿宋" w:cs="仿宋"/>
          <w:b/>
          <w:color w:val="FF0000"/>
          <w:sz w:val="28"/>
          <w:szCs w:val="28"/>
        </w:rPr>
        <w:t xml:space="preserve"> </w:t>
      </w:r>
      <w:bookmarkStart w:id="0" w:name="_GoBack"/>
      <w:bookmarkEnd w:id="0"/>
    </w:p>
    <w:sectPr>
      <w:headerReference r:id="rId3" w:type="default"/>
      <w:footerReference r:id="rId4" w:type="default"/>
      <w:pgSz w:w="11906" w:h="16838"/>
      <w:pgMar w:top="567" w:right="1134" w:bottom="1134" w:left="1134" w:header="907" w:footer="283"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3520480"/>
    </w:sdtPr>
    <w:sdtContent>
      <w:p w14:paraId="099D9086">
        <w:pPr>
          <w:pStyle w:val="6"/>
          <w:jc w:val="center"/>
        </w:pPr>
        <w:r>
          <w:rPr>
            <w:rFonts w:hint="eastAsia"/>
          </w:rPr>
          <w:t>第</w:t>
        </w:r>
        <w:r>
          <w:fldChar w:fldCharType="begin"/>
        </w:r>
        <w:r>
          <w:instrText xml:space="preserve"> PAGE  \* Arabic  \* MERGEFORMAT </w:instrText>
        </w:r>
        <w:r>
          <w:fldChar w:fldCharType="separate"/>
        </w:r>
        <w:r>
          <w:t>3</w:t>
        </w:r>
        <w:r>
          <w:fldChar w:fldCharType="end"/>
        </w:r>
        <w:r>
          <w:rPr>
            <w:rFonts w:hint="eastAsia"/>
          </w:rPr>
          <w:t>页，共</w:t>
        </w:r>
        <w:r>
          <w:fldChar w:fldCharType="begin"/>
        </w:r>
        <w:r>
          <w:instrText xml:space="preserve"> NUMPAGES   \* MERGEFORMAT </w:instrText>
        </w:r>
        <w:r>
          <w:fldChar w:fldCharType="separate"/>
        </w:r>
        <w:r>
          <w:t>3</w:t>
        </w:r>
        <w:r>
          <w:fldChar w:fldCharType="end"/>
        </w:r>
        <w:r>
          <w:rPr>
            <w:rFonts w:hint="eastAsia"/>
          </w:rPr>
          <w:t>页</w:t>
        </w:r>
      </w:p>
    </w:sdtContent>
  </w:sdt>
  <w:p w14:paraId="2B7EF82C">
    <w:pPr>
      <w:pStyle w:val="6"/>
      <w:jc w:val="center"/>
      <w:rPr>
        <w:rFonts w:ascii="黑体" w:hAnsi="黑体" w:eastAsia="黑体" w:cs="黑体"/>
        <w:color w:val="72000C"/>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F4810">
    <w:pP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92F1D2E"/>
    <w:rsid w:val="64DA28A0"/>
    <w:rsid w:val="655C52B4"/>
    <w:rsid w:val="679B6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widowControl/>
      <w:spacing w:before="100" w:beforeAutospacing="1" w:after="100" w:afterAutospacing="1"/>
      <w:jc w:val="left"/>
      <w:outlineLvl w:val="1"/>
    </w:pPr>
    <w:rPr>
      <w:rFonts w:eastAsiaTheme="minorEastAsia"/>
      <w:b/>
      <w:bCs/>
      <w:kern w:val="0"/>
      <w:sz w:val="36"/>
      <w:szCs w:val="36"/>
    </w:rPr>
  </w:style>
  <w:style w:type="paragraph" w:styleId="3">
    <w:name w:val="heading 3"/>
    <w:basedOn w:val="1"/>
    <w:next w:val="1"/>
    <w:qFormat/>
    <w:uiPriority w:val="9"/>
    <w:pPr>
      <w:widowControl/>
      <w:spacing w:before="100" w:beforeAutospacing="1" w:after="100" w:afterAutospacing="1"/>
      <w:jc w:val="left"/>
      <w:outlineLvl w:val="2"/>
    </w:pPr>
    <w:rPr>
      <w:rFonts w:eastAsiaTheme="minorEastAsia"/>
      <w:b/>
      <w:bCs/>
      <w:kern w:val="0"/>
      <w:sz w:val="27"/>
      <w:szCs w:val="27"/>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eastAsiaTheme="minorEastAsia"/>
      <w:kern w:val="0"/>
      <w:sz w:val="24"/>
    </w:r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page number"/>
    <w:basedOn w:val="11"/>
    <w:qFormat/>
    <w:uiPriority w:val="0"/>
  </w:style>
  <w:style w:type="character" w:styleId="14">
    <w:name w:val="Hyperlink"/>
    <w:basedOn w:val="11"/>
    <w:qFormat/>
    <w:uiPriority w:val="0"/>
    <w:rPr>
      <w:color w:val="666666"/>
      <w:u w:val="none"/>
    </w:rPr>
  </w:style>
  <w:style w:type="character" w:customStyle="1" w:styleId="15">
    <w:name w:val="页脚 字符"/>
    <w:basedOn w:val="11"/>
    <w:link w:val="6"/>
    <w:qFormat/>
    <w:uiPriority w:val="99"/>
    <w:rPr>
      <w:kern w:val="2"/>
      <w:sz w:val="18"/>
      <w:szCs w:val="18"/>
    </w:rPr>
  </w:style>
  <w:style w:type="character" w:customStyle="1" w:styleId="16">
    <w:name w:val="批注框文本 字符"/>
    <w:basedOn w:val="11"/>
    <w:link w:val="5"/>
    <w:qFormat/>
    <w:uiPriority w:val="0"/>
    <w:rPr>
      <w:kern w:val="2"/>
      <w:sz w:val="18"/>
      <w:szCs w:val="18"/>
    </w:rPr>
  </w:style>
  <w:style w:type="paragraph" w:customStyle="1" w:styleId="17">
    <w:name w:val="Body text|1"/>
    <w:basedOn w:val="1"/>
    <w:qFormat/>
    <w:uiPriority w:val="0"/>
    <w:pPr>
      <w:spacing w:line="386" w:lineRule="auto"/>
      <w:ind w:firstLine="400"/>
    </w:pPr>
    <w:rPr>
      <w:rFonts w:ascii="宋体" w:hAnsi="宋体" w:cs="宋体"/>
      <w:sz w:val="60"/>
      <w:szCs w:val="60"/>
      <w:lang w:val="zh-TW" w:eastAsia="zh-TW" w:bidi="zh-TW"/>
    </w:rPr>
  </w:style>
  <w:style w:type="paragraph" w:customStyle="1" w:styleId="18">
    <w:name w:val="Body text|4"/>
    <w:basedOn w:val="1"/>
    <w:qFormat/>
    <w:uiPriority w:val="0"/>
    <w:rPr>
      <w:sz w:val="30"/>
      <w:szCs w:val="30"/>
      <w:shd w:val="clear" w:color="auto" w:fill="FFFFFF"/>
    </w:rPr>
  </w:style>
  <w:style w:type="paragraph" w:customStyle="1" w:styleId="19">
    <w:name w:val="列出段落1"/>
    <w:basedOn w:val="1"/>
    <w:qFormat/>
    <w:uiPriority w:val="0"/>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3</Pages>
  <Words>1697</Words>
  <Characters>1750</Characters>
  <Lines>13</Lines>
  <Paragraphs>3</Paragraphs>
  <TotalTime>15</TotalTime>
  <ScaleCrop>false</ScaleCrop>
  <LinksUpToDate>false</LinksUpToDate>
  <CharactersWithSpaces>1860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2023-05-15T17:12:00Z</dcterms:created>
  <dc:creator>lenovo</dc:creator>
  <cp:lastModifiedBy>Trimble</cp:lastModifiedBy>
  <cp:lastPrinted>2022-10-19T17:01:00Z</cp:lastPrinted>
  <dcterms:modified xsi:type="dcterms:W3CDTF">2025-08-21T17:22:03Z</dcterms:modified>
  <dc:title>『法律顾问合同』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7DE2E15403274C1396ED8D4AE8B2FA0F_13</vt:lpwstr>
  </property>
  <property fmtid="{D5CDD505-2E9C-101B-9397-08002B2CF9AE}" pid="4" name="KSOTemplateDocerSaveRecord">
    <vt:lpwstr>eyJoZGlkIjoiNjI3ZWEyMjZmN2UzYWY2ZWUzZDcxODUwZTJmNTlkNTgiLCJ1c2VySWQiOiIyODI5OTM3ODMifQ==</vt:lpwstr>
  </property>
</Properties>
</file>