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EBE9C3">
      <w:pPr>
        <w:adjustRightInd w:val="0"/>
        <w:snapToGrid w:val="0"/>
        <w:spacing w:line="560" w:lineRule="exact"/>
        <w:jc w:val="center"/>
        <w:rPr>
          <w:rFonts w:hint="eastAsia" w:ascii="方正小标宋简体" w:hAnsi="方正小标宋简体" w:eastAsia="方正小标宋简体" w:cs="方正小标宋简体"/>
          <w:b/>
          <w:sz w:val="36"/>
          <w:szCs w:val="36"/>
          <w:highlight w:val="none"/>
        </w:rPr>
      </w:pPr>
      <w:bookmarkStart w:id="0" w:name="_Hlk116053315"/>
      <w:bookmarkStart w:id="1" w:name="_Hlk62568964"/>
      <w:bookmarkStart w:id="2" w:name="_Hlk116057349"/>
      <w:r>
        <w:rPr>
          <w:rFonts w:hint="eastAsia" w:ascii="方正小标宋简体" w:hAnsi="方正小标宋简体" w:eastAsia="方正小标宋简体" w:cs="方正小标宋简体"/>
          <w:b/>
          <w:sz w:val="36"/>
          <w:szCs w:val="36"/>
          <w:highlight w:val="none"/>
        </w:rPr>
        <w:t>嘉峪关溥源置业有限责任公司名下</w:t>
      </w:r>
      <w:bookmarkStart w:id="3" w:name="_Hlk196396236"/>
      <w:r>
        <w:rPr>
          <w:rFonts w:hint="eastAsia" w:ascii="方正小标宋简体" w:hAnsi="方正小标宋简体" w:eastAsia="方正小标宋简体" w:cs="方正小标宋简体"/>
          <w:b/>
          <w:sz w:val="36"/>
          <w:szCs w:val="36"/>
          <w:highlight w:val="none"/>
        </w:rPr>
        <w:t>嘉峪关市新华</w:t>
      </w:r>
    </w:p>
    <w:p w14:paraId="58EA5D87">
      <w:pPr>
        <w:adjustRightInd w:val="0"/>
        <w:snapToGrid w:val="0"/>
        <w:spacing w:line="560" w:lineRule="exact"/>
        <w:jc w:val="center"/>
        <w:rPr>
          <w:rFonts w:hint="eastAsia" w:ascii="方正小标宋简体" w:hAnsi="方正小标宋简体" w:eastAsia="方正小标宋简体" w:cs="方正小标宋简体"/>
          <w:b/>
          <w:sz w:val="36"/>
          <w:szCs w:val="36"/>
          <w:highlight w:val="none"/>
        </w:rPr>
      </w:pPr>
      <w:r>
        <w:rPr>
          <w:rFonts w:hint="eastAsia" w:ascii="方正小标宋简体" w:hAnsi="方正小标宋简体" w:eastAsia="方正小标宋简体" w:cs="方正小标宋简体"/>
          <w:b/>
          <w:sz w:val="36"/>
          <w:szCs w:val="36"/>
          <w:highlight w:val="none"/>
        </w:rPr>
        <w:t>南路</w:t>
      </w:r>
      <w:r>
        <w:rPr>
          <w:rFonts w:hint="eastAsia" w:ascii="方正小标宋简体" w:hAnsi="方正小标宋简体" w:eastAsia="方正小标宋简体" w:cs="方正小标宋简体"/>
          <w:b/>
          <w:sz w:val="36"/>
          <w:szCs w:val="36"/>
          <w:highlight w:val="yellow"/>
        </w:rPr>
        <w:t>111-1-318号</w:t>
      </w:r>
      <w:r>
        <w:rPr>
          <w:rFonts w:hint="eastAsia" w:ascii="方正小标宋简体" w:hAnsi="方正小标宋简体" w:eastAsia="方正小标宋简体" w:cs="方正小标宋简体"/>
          <w:b/>
          <w:sz w:val="36"/>
          <w:szCs w:val="36"/>
          <w:highlight w:val="yellow"/>
          <w:lang w:val="en-US" w:eastAsia="zh-CN"/>
        </w:rPr>
        <w:t>商业用房</w:t>
      </w:r>
      <w:r>
        <w:rPr>
          <w:rFonts w:hint="eastAsia" w:ascii="方正小标宋简体" w:hAnsi="方正小标宋简体" w:eastAsia="方正小标宋简体" w:cs="方正小标宋简体"/>
          <w:b/>
          <w:sz w:val="36"/>
          <w:szCs w:val="36"/>
          <w:highlight w:val="none"/>
        </w:rPr>
        <w:t>房产</w:t>
      </w:r>
      <w:bookmarkEnd w:id="3"/>
      <w:r>
        <w:rPr>
          <w:rFonts w:hint="eastAsia" w:ascii="方正小标宋简体" w:hAnsi="方正小标宋简体" w:eastAsia="方正小标宋简体" w:cs="方正小标宋简体"/>
          <w:b/>
          <w:sz w:val="36"/>
          <w:szCs w:val="36"/>
          <w:highlight w:val="none"/>
        </w:rPr>
        <w:t>拍卖公告</w:t>
      </w:r>
    </w:p>
    <w:bookmarkEnd w:id="0"/>
    <w:bookmarkEnd w:id="1"/>
    <w:bookmarkEnd w:id="2"/>
    <w:p w14:paraId="3212D98A">
      <w:pPr>
        <w:adjustRightInd w:val="0"/>
        <w:snapToGrid w:val="0"/>
        <w:spacing w:line="560" w:lineRule="exact"/>
        <w:rPr>
          <w:rFonts w:hint="eastAsia" w:ascii="仿宋_GB2312" w:hAnsi="仿宋_GB2312" w:eastAsia="仿宋_GB2312" w:cs="仿宋_GB2312"/>
          <w:bCs/>
          <w:sz w:val="30"/>
          <w:szCs w:val="30"/>
          <w:highlight w:val="none"/>
        </w:rPr>
      </w:pPr>
    </w:p>
    <w:p w14:paraId="18304047">
      <w:pPr>
        <w:adjustRightInd w:val="0"/>
        <w:snapToGrid w:val="0"/>
        <w:spacing w:line="560" w:lineRule="exact"/>
        <w:ind w:firstLine="600" w:firstLineChars="200"/>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甘肃省嘉峪关市中级人民法院于2023年12月14日作出（2023）甘02破申2号民事裁定，受理债权人浙江省东阳第三建筑工程有限公司对嘉峪关溥源置业有限责任公司（下称“溥源公司”）的破产重整申请，并于2023年12月18日作出（2023）甘02破1号决定书，指定甘肃资产管理有限公司担任管理人。2024年7月16日，甘肃省嘉峪关市中级人民法院作出（2023）甘02破1号民事裁定，依法批准溥源公司重整计划并终止溥源公司重整程序，后续由管理人负责执行重整计划，按照重整计划安排盘活嘉峪关天诚广场项目，依法维护保障购房人、债权人等各方合法权益。</w:t>
      </w:r>
    </w:p>
    <w:p w14:paraId="47DFF541">
      <w:pPr>
        <w:adjustRightInd w:val="0"/>
        <w:snapToGrid w:val="0"/>
        <w:spacing w:line="560" w:lineRule="exact"/>
        <w:ind w:firstLine="600" w:firstLineChars="200"/>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在重整计划执行阶段，根据人民法院批准的重整计划和相关方的申请，管理人对嘉峪关溥源置业有限责任公司名下</w:t>
      </w:r>
      <w:r>
        <w:rPr>
          <w:rFonts w:hint="eastAsia" w:ascii="仿宋_GB2312" w:hAnsi="仿宋_GB2312" w:eastAsia="仿宋_GB2312" w:cs="仿宋_GB2312"/>
          <w:sz w:val="30"/>
          <w:szCs w:val="30"/>
          <w:highlight w:val="yellow"/>
          <w:lang w:eastAsia="zh-CN"/>
        </w:rPr>
        <w:t>嘉峪关市新华南路111-1-318号商业用房</w:t>
      </w:r>
      <w:r>
        <w:rPr>
          <w:rFonts w:hint="eastAsia" w:ascii="仿宋_GB2312" w:hAnsi="仿宋_GB2312" w:eastAsia="仿宋_GB2312" w:cs="仿宋_GB2312"/>
          <w:sz w:val="30"/>
          <w:szCs w:val="30"/>
          <w:highlight w:val="yellow"/>
        </w:rPr>
        <w:t>房产</w:t>
      </w:r>
      <w:r>
        <w:rPr>
          <w:rFonts w:hint="eastAsia" w:ascii="仿宋_GB2312" w:hAnsi="仿宋_GB2312" w:eastAsia="仿宋_GB2312" w:cs="仿宋_GB2312"/>
          <w:sz w:val="30"/>
          <w:szCs w:val="30"/>
          <w:highlight w:val="none"/>
        </w:rPr>
        <w:t>进行第一次公开拍卖。现公告如下：</w:t>
      </w:r>
    </w:p>
    <w:p w14:paraId="75D096CD">
      <w:pPr>
        <w:adjustRightInd w:val="0"/>
        <w:snapToGrid w:val="0"/>
        <w:spacing w:line="560" w:lineRule="exact"/>
        <w:ind w:firstLine="600" w:firstLineChars="200"/>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拍卖平台：阿里拍卖竞价平台（网址：</w:t>
      </w:r>
      <w:r>
        <w:rPr>
          <w:highlight w:val="none"/>
        </w:rPr>
        <w:fldChar w:fldCharType="begin"/>
      </w:r>
      <w:r>
        <w:rPr>
          <w:highlight w:val="none"/>
        </w:rPr>
        <w:instrText xml:space="preserve"> HYPERLINK "https://zc-paimai.taobao.com/" </w:instrText>
      </w:r>
      <w:r>
        <w:rPr>
          <w:highlight w:val="none"/>
        </w:rPr>
        <w:fldChar w:fldCharType="separate"/>
      </w:r>
      <w:r>
        <w:rPr>
          <w:rStyle w:val="15"/>
          <w:rFonts w:hint="eastAsia" w:ascii="仿宋_GB2312" w:hAnsi="仿宋_GB2312" w:eastAsia="仿宋_GB2312" w:cs="仿宋_GB2312"/>
          <w:sz w:val="30"/>
          <w:szCs w:val="30"/>
          <w:highlight w:val="none"/>
        </w:rPr>
        <w:t>https://zc-paimai.taobao.com/</w:t>
      </w:r>
      <w:r>
        <w:rPr>
          <w:rStyle w:val="15"/>
          <w:rFonts w:hint="eastAsia" w:ascii="仿宋_GB2312" w:hAnsi="仿宋_GB2312" w:eastAsia="仿宋_GB2312" w:cs="仿宋_GB2312"/>
          <w:sz w:val="30"/>
          <w:szCs w:val="30"/>
          <w:highlight w:val="none"/>
        </w:rPr>
        <w:fldChar w:fldCharType="end"/>
      </w:r>
      <w:r>
        <w:rPr>
          <w:rFonts w:hint="eastAsia" w:ascii="仿宋_GB2312" w:hAnsi="仿宋_GB2312" w:eastAsia="仿宋_GB2312" w:cs="仿宋_GB2312"/>
          <w:sz w:val="30"/>
          <w:szCs w:val="30"/>
          <w:highlight w:val="none"/>
        </w:rPr>
        <w:t>）</w:t>
      </w:r>
    </w:p>
    <w:p w14:paraId="5E362EA8">
      <w:pPr>
        <w:adjustRightInd w:val="0"/>
        <w:snapToGrid w:val="0"/>
        <w:spacing w:line="560" w:lineRule="exact"/>
        <w:ind w:firstLine="600" w:firstLineChars="200"/>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竞拍时间：2025</w:t>
      </w:r>
      <w:r>
        <w:rPr>
          <w:rFonts w:hint="eastAsia" w:ascii="仿宋_GB2312" w:hAnsi="仿宋_GB2312" w:eastAsia="仿宋_GB2312" w:cs="仿宋_GB2312"/>
          <w:sz w:val="30"/>
          <w:szCs w:val="30"/>
          <w:highlight w:val="yellow"/>
        </w:rPr>
        <w:t>年</w:t>
      </w:r>
      <w:r>
        <w:rPr>
          <w:rFonts w:hint="eastAsia" w:ascii="仿宋_GB2312" w:hAnsi="仿宋_GB2312" w:eastAsia="仿宋_GB2312" w:cs="仿宋_GB2312"/>
          <w:sz w:val="30"/>
          <w:szCs w:val="30"/>
          <w:highlight w:val="yellow"/>
          <w:lang w:val="en-US" w:eastAsia="zh-CN"/>
        </w:rPr>
        <w:t>8</w:t>
      </w:r>
      <w:r>
        <w:rPr>
          <w:rFonts w:hint="eastAsia" w:ascii="仿宋_GB2312" w:hAnsi="仿宋_GB2312" w:eastAsia="仿宋_GB2312" w:cs="仿宋_GB2312"/>
          <w:sz w:val="30"/>
          <w:szCs w:val="30"/>
          <w:highlight w:val="yellow"/>
        </w:rPr>
        <w:t>月</w:t>
      </w:r>
      <w:r>
        <w:rPr>
          <w:rFonts w:hint="eastAsia" w:ascii="仿宋_GB2312" w:hAnsi="仿宋_GB2312" w:eastAsia="仿宋_GB2312" w:cs="仿宋_GB2312"/>
          <w:sz w:val="30"/>
          <w:szCs w:val="30"/>
          <w:highlight w:val="yellow"/>
          <w:lang w:val="en-US" w:eastAsia="zh-CN"/>
        </w:rPr>
        <w:t>28</w:t>
      </w:r>
      <w:r>
        <w:rPr>
          <w:rFonts w:hint="eastAsia" w:ascii="仿宋_GB2312" w:hAnsi="仿宋_GB2312" w:eastAsia="仿宋_GB2312" w:cs="仿宋_GB2312"/>
          <w:sz w:val="30"/>
          <w:szCs w:val="30"/>
          <w:highlight w:val="yellow"/>
        </w:rPr>
        <w:t>日</w:t>
      </w:r>
      <w:r>
        <w:rPr>
          <w:rFonts w:hint="eastAsia" w:ascii="仿宋_GB2312" w:hAnsi="仿宋_GB2312" w:eastAsia="仿宋_GB2312" w:cs="仿宋_GB2312"/>
          <w:sz w:val="30"/>
          <w:szCs w:val="30"/>
          <w:highlight w:val="none"/>
        </w:rPr>
        <w:t>10时起至2025年</w:t>
      </w:r>
      <w:r>
        <w:rPr>
          <w:rFonts w:hint="eastAsia" w:ascii="仿宋_GB2312" w:hAnsi="仿宋_GB2312" w:eastAsia="仿宋_GB2312" w:cs="仿宋_GB2312"/>
          <w:sz w:val="30"/>
          <w:szCs w:val="30"/>
          <w:highlight w:val="yellow"/>
          <w:lang w:val="en-US" w:eastAsia="zh-CN"/>
        </w:rPr>
        <w:t>8</w:t>
      </w:r>
      <w:r>
        <w:rPr>
          <w:rFonts w:hint="eastAsia" w:ascii="仿宋_GB2312" w:hAnsi="仿宋_GB2312" w:eastAsia="仿宋_GB2312" w:cs="仿宋_GB2312"/>
          <w:sz w:val="30"/>
          <w:szCs w:val="30"/>
          <w:highlight w:val="yellow"/>
        </w:rPr>
        <w:t>月</w:t>
      </w:r>
      <w:r>
        <w:rPr>
          <w:rFonts w:hint="eastAsia" w:ascii="仿宋_GB2312" w:hAnsi="仿宋_GB2312" w:eastAsia="仿宋_GB2312" w:cs="仿宋_GB2312"/>
          <w:sz w:val="30"/>
          <w:szCs w:val="30"/>
          <w:highlight w:val="yellow"/>
          <w:lang w:val="en-US" w:eastAsia="zh-CN"/>
        </w:rPr>
        <w:t>29</w:t>
      </w:r>
      <w:r>
        <w:rPr>
          <w:rFonts w:hint="eastAsia" w:ascii="仿宋_GB2312" w:hAnsi="仿宋_GB2312" w:eastAsia="仿宋_GB2312" w:cs="仿宋_GB2312"/>
          <w:sz w:val="30"/>
          <w:szCs w:val="30"/>
          <w:highlight w:val="yellow"/>
        </w:rPr>
        <w:t>日</w:t>
      </w:r>
      <w:r>
        <w:rPr>
          <w:rFonts w:hint="eastAsia" w:ascii="仿宋_GB2312" w:hAnsi="仿宋_GB2312" w:eastAsia="仿宋_GB2312" w:cs="仿宋_GB2312"/>
          <w:sz w:val="30"/>
          <w:szCs w:val="30"/>
          <w:highlight w:val="none"/>
        </w:rPr>
        <w:t>10时止（延时除外）</w:t>
      </w:r>
    </w:p>
    <w:p w14:paraId="5FA8CA5B">
      <w:pPr>
        <w:adjustRightInd w:val="0"/>
        <w:snapToGrid w:val="0"/>
        <w:spacing w:line="560" w:lineRule="exact"/>
        <w:ind w:firstLine="600" w:firstLineChars="200"/>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处置单位：嘉峪关溥源置业有限责任公司管理人</w:t>
      </w:r>
    </w:p>
    <w:p w14:paraId="6967F167">
      <w:pPr>
        <w:adjustRightInd w:val="0"/>
        <w:snapToGrid w:val="0"/>
        <w:spacing w:line="560" w:lineRule="exact"/>
        <w:ind w:firstLine="600" w:firstLineChars="200"/>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监督单位：嘉峪关市中级人民法院</w:t>
      </w:r>
    </w:p>
    <w:p w14:paraId="53A4EF48">
      <w:pPr>
        <w:adjustRightInd w:val="0"/>
        <w:snapToGrid w:val="0"/>
        <w:spacing w:line="560" w:lineRule="exact"/>
        <w:ind w:firstLine="602" w:firstLineChars="200"/>
        <w:rPr>
          <w:rFonts w:hint="eastAsia" w:ascii="仿宋_GB2312" w:hAnsi="仿宋_GB2312" w:eastAsia="仿宋_GB2312" w:cs="仿宋_GB2312"/>
          <w:b/>
          <w:bCs/>
          <w:sz w:val="30"/>
          <w:szCs w:val="30"/>
          <w:highlight w:val="none"/>
        </w:rPr>
      </w:pPr>
      <w:r>
        <w:rPr>
          <w:rFonts w:hint="eastAsia" w:ascii="仿宋_GB2312" w:hAnsi="仿宋_GB2312" w:eastAsia="仿宋_GB2312" w:cs="仿宋_GB2312"/>
          <w:b/>
          <w:bCs/>
          <w:sz w:val="30"/>
          <w:szCs w:val="30"/>
          <w:highlight w:val="none"/>
        </w:rPr>
        <w:t>一、拍卖标的物详情</w:t>
      </w:r>
    </w:p>
    <w:p w14:paraId="797C8873">
      <w:pPr>
        <w:adjustRightInd w:val="0"/>
        <w:snapToGrid w:val="0"/>
        <w:spacing w:line="560" w:lineRule="exact"/>
        <w:ind w:firstLine="600" w:firstLineChars="200"/>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拍卖标的：嘉峪关溥源置业有限责任公司名下</w:t>
      </w:r>
      <w:r>
        <w:rPr>
          <w:rFonts w:hint="eastAsia" w:ascii="仿宋_GB2312" w:hAnsi="仿宋_GB2312" w:eastAsia="仿宋_GB2312" w:cs="仿宋_GB2312"/>
          <w:sz w:val="30"/>
          <w:szCs w:val="30"/>
          <w:highlight w:val="none"/>
          <w:lang w:eastAsia="zh-CN"/>
        </w:rPr>
        <w:t>嘉峪关市新华南路111-1-</w:t>
      </w:r>
      <w:r>
        <w:rPr>
          <w:rFonts w:hint="eastAsia" w:ascii="仿宋_GB2312" w:hAnsi="仿宋_GB2312" w:eastAsia="仿宋_GB2312" w:cs="仿宋_GB2312"/>
          <w:sz w:val="30"/>
          <w:szCs w:val="30"/>
          <w:highlight w:val="yellow"/>
          <w:lang w:eastAsia="zh-CN"/>
        </w:rPr>
        <w:t>318号商业用房</w:t>
      </w:r>
      <w:r>
        <w:rPr>
          <w:rFonts w:hint="eastAsia" w:ascii="仿宋_GB2312" w:hAnsi="仿宋_GB2312" w:eastAsia="仿宋_GB2312" w:cs="仿宋_GB2312"/>
          <w:sz w:val="30"/>
          <w:szCs w:val="30"/>
          <w:highlight w:val="none"/>
        </w:rPr>
        <w:t>房产，建筑面积共计</w:t>
      </w:r>
      <w:r>
        <w:rPr>
          <w:rFonts w:hint="eastAsia" w:ascii="仿宋_GB2312" w:hAnsi="仿宋_GB2312" w:eastAsia="仿宋_GB2312" w:cs="仿宋_GB2312"/>
          <w:sz w:val="30"/>
          <w:szCs w:val="30"/>
          <w:highlight w:val="yellow"/>
        </w:rPr>
        <w:t>219.76</w:t>
      </w:r>
      <w:r>
        <w:rPr>
          <w:rFonts w:hint="eastAsia" w:ascii="仿宋_GB2312" w:hAnsi="仿宋_GB2312" w:eastAsia="仿宋_GB2312" w:cs="仿宋_GB2312"/>
          <w:sz w:val="30"/>
          <w:szCs w:val="30"/>
          <w:highlight w:val="none"/>
        </w:rPr>
        <w:t>㎡，已取得产权证书，权属合法，产权明晰，具体情况如下：</w:t>
      </w:r>
    </w:p>
    <w:tbl>
      <w:tblPr>
        <w:tblStyle w:val="11"/>
        <w:tblW w:w="9776" w:type="dxa"/>
        <w:jc w:val="center"/>
        <w:tblLayout w:type="autofit"/>
        <w:tblCellMar>
          <w:top w:w="0" w:type="dxa"/>
          <w:left w:w="108" w:type="dxa"/>
          <w:bottom w:w="0" w:type="dxa"/>
          <w:right w:w="108" w:type="dxa"/>
        </w:tblCellMar>
      </w:tblPr>
      <w:tblGrid>
        <w:gridCol w:w="785"/>
        <w:gridCol w:w="1464"/>
        <w:gridCol w:w="1928"/>
        <w:gridCol w:w="1108"/>
        <w:gridCol w:w="1240"/>
        <w:gridCol w:w="1341"/>
        <w:gridCol w:w="1910"/>
      </w:tblGrid>
      <w:tr w14:paraId="7B37A5B1">
        <w:tblPrEx>
          <w:tblCellMar>
            <w:top w:w="0" w:type="dxa"/>
            <w:left w:w="108" w:type="dxa"/>
            <w:bottom w:w="0" w:type="dxa"/>
            <w:right w:w="108" w:type="dxa"/>
          </w:tblCellMar>
        </w:tblPrEx>
        <w:trPr>
          <w:trHeight w:val="880" w:hRule="atLeast"/>
          <w:jc w:val="center"/>
        </w:trPr>
        <w:tc>
          <w:tcPr>
            <w:tcW w:w="9776" w:type="dxa"/>
            <w:gridSpan w:val="7"/>
            <w:tcBorders>
              <w:top w:val="single" w:color="auto" w:sz="4" w:space="0"/>
              <w:left w:val="single" w:color="auto" w:sz="4" w:space="0"/>
              <w:bottom w:val="single" w:color="auto" w:sz="4" w:space="0"/>
              <w:right w:val="single" w:color="auto" w:sz="4" w:space="0"/>
            </w:tcBorders>
            <w:shd w:val="clear" w:color="auto" w:fill="auto"/>
            <w:vAlign w:val="center"/>
          </w:tcPr>
          <w:p w14:paraId="398BA82D">
            <w:pPr>
              <w:widowControl/>
              <w:jc w:val="center"/>
              <w:rPr>
                <w:rFonts w:hint="eastAsia" w:ascii="仿宋" w:hAnsi="仿宋" w:eastAsia="仿宋" w:cs="宋体"/>
                <w:b/>
                <w:bCs/>
                <w:kern w:val="0"/>
                <w:sz w:val="24"/>
                <w:szCs w:val="24"/>
                <w:highlight w:val="none"/>
              </w:rPr>
            </w:pPr>
            <w:bookmarkStart w:id="4" w:name="_Hlk194785924"/>
            <w:r>
              <w:rPr>
                <w:rFonts w:hint="eastAsia" w:ascii="仿宋" w:hAnsi="仿宋" w:eastAsia="仿宋" w:cs="宋体"/>
                <w:b/>
                <w:bCs/>
                <w:kern w:val="0"/>
                <w:sz w:val="24"/>
                <w:szCs w:val="24"/>
                <w:highlight w:val="none"/>
              </w:rPr>
              <w:t>嘉峪关溥源置业有限责任公司名下</w:t>
            </w:r>
            <w:r>
              <w:rPr>
                <w:rFonts w:hint="eastAsia" w:ascii="仿宋" w:hAnsi="仿宋" w:eastAsia="仿宋" w:cs="宋体"/>
                <w:b/>
                <w:bCs/>
                <w:kern w:val="0"/>
                <w:sz w:val="24"/>
                <w:szCs w:val="24"/>
                <w:highlight w:val="none"/>
                <w:lang w:eastAsia="zh-CN"/>
              </w:rPr>
              <w:t>嘉峪关市新华南路111-1-318号商业用房</w:t>
            </w:r>
            <w:r>
              <w:rPr>
                <w:rFonts w:hint="eastAsia" w:ascii="仿宋" w:hAnsi="仿宋" w:eastAsia="仿宋" w:cs="宋体"/>
                <w:b/>
                <w:bCs/>
                <w:kern w:val="0"/>
                <w:sz w:val="24"/>
                <w:szCs w:val="24"/>
                <w:highlight w:val="none"/>
              </w:rPr>
              <w:t>房产</w:t>
            </w:r>
          </w:p>
          <w:p w14:paraId="3DBF9EB0">
            <w:pPr>
              <w:widowControl/>
              <w:jc w:val="center"/>
              <w:rPr>
                <w:rFonts w:hint="eastAsia" w:ascii="仿宋" w:hAnsi="仿宋" w:eastAsia="仿宋" w:cs="宋体"/>
                <w:b/>
                <w:bCs/>
                <w:kern w:val="0"/>
                <w:sz w:val="24"/>
                <w:szCs w:val="24"/>
                <w:highlight w:val="none"/>
              </w:rPr>
            </w:pPr>
            <w:r>
              <w:rPr>
                <w:rFonts w:hint="eastAsia" w:ascii="仿宋" w:hAnsi="仿宋" w:eastAsia="仿宋" w:cs="宋体"/>
                <w:b/>
                <w:bCs/>
                <w:kern w:val="0"/>
                <w:sz w:val="24"/>
                <w:szCs w:val="24"/>
                <w:highlight w:val="none"/>
              </w:rPr>
              <w:t>拍卖资产明细表</w:t>
            </w:r>
          </w:p>
        </w:tc>
      </w:tr>
      <w:tr w14:paraId="45AA988F">
        <w:tblPrEx>
          <w:tblCellMar>
            <w:top w:w="0" w:type="dxa"/>
            <w:left w:w="108" w:type="dxa"/>
            <w:bottom w:w="0" w:type="dxa"/>
            <w:right w:w="108" w:type="dxa"/>
          </w:tblCellMar>
        </w:tblPrEx>
        <w:trPr>
          <w:trHeight w:val="90" w:hRule="atLeast"/>
          <w:jc w:val="center"/>
        </w:trPr>
        <w:tc>
          <w:tcPr>
            <w:tcW w:w="9776" w:type="dxa"/>
            <w:gridSpan w:val="7"/>
            <w:tcBorders>
              <w:top w:val="single" w:color="auto" w:sz="4" w:space="0"/>
              <w:left w:val="single" w:color="auto" w:sz="4" w:space="0"/>
              <w:bottom w:val="single" w:color="auto" w:sz="4" w:space="0"/>
              <w:right w:val="single" w:color="000000" w:sz="4" w:space="0"/>
            </w:tcBorders>
            <w:shd w:val="clear" w:color="auto" w:fill="auto"/>
            <w:vAlign w:val="center"/>
          </w:tcPr>
          <w:p w14:paraId="20DC7CC0">
            <w:pPr>
              <w:widowControl/>
              <w:jc w:val="left"/>
              <w:rPr>
                <w:rFonts w:hint="eastAsia" w:ascii="仿宋" w:hAnsi="仿宋" w:eastAsia="仿宋" w:cs="宋体"/>
                <w:b/>
                <w:bCs/>
                <w:kern w:val="0"/>
                <w:sz w:val="24"/>
                <w:szCs w:val="24"/>
                <w:highlight w:val="none"/>
              </w:rPr>
            </w:pPr>
            <w:r>
              <w:rPr>
                <w:rFonts w:hint="eastAsia" w:ascii="仿宋" w:hAnsi="仿宋" w:eastAsia="仿宋" w:cs="宋体"/>
                <w:b/>
                <w:bCs/>
                <w:kern w:val="0"/>
                <w:sz w:val="24"/>
                <w:szCs w:val="24"/>
                <w:highlight w:val="none"/>
              </w:rPr>
              <w:t>产权人：嘉峪关溥源置业有限责任公司</w:t>
            </w:r>
          </w:p>
        </w:tc>
      </w:tr>
      <w:tr w14:paraId="037B15E5">
        <w:tblPrEx>
          <w:tblCellMar>
            <w:top w:w="0" w:type="dxa"/>
            <w:left w:w="108" w:type="dxa"/>
            <w:bottom w:w="0" w:type="dxa"/>
            <w:right w:w="108" w:type="dxa"/>
          </w:tblCellMar>
        </w:tblPrEx>
        <w:trPr>
          <w:trHeight w:val="960" w:hRule="atLeast"/>
          <w:jc w:val="center"/>
        </w:trPr>
        <w:tc>
          <w:tcPr>
            <w:tcW w:w="785" w:type="dxa"/>
            <w:tcBorders>
              <w:top w:val="nil"/>
              <w:left w:val="single" w:color="auto" w:sz="4" w:space="0"/>
              <w:bottom w:val="single" w:color="auto" w:sz="4" w:space="0"/>
              <w:right w:val="single" w:color="auto" w:sz="4" w:space="0"/>
            </w:tcBorders>
            <w:shd w:val="clear" w:color="auto" w:fill="auto"/>
            <w:vAlign w:val="center"/>
          </w:tcPr>
          <w:p w14:paraId="3CAB7260">
            <w:pPr>
              <w:widowControl/>
              <w:jc w:val="center"/>
              <w:rPr>
                <w:rFonts w:hint="eastAsia" w:ascii="仿宋" w:hAnsi="仿宋" w:eastAsia="仿宋" w:cs="宋体"/>
                <w:b/>
                <w:bCs/>
                <w:kern w:val="0"/>
                <w:sz w:val="24"/>
                <w:szCs w:val="24"/>
                <w:highlight w:val="none"/>
              </w:rPr>
            </w:pPr>
            <w:r>
              <w:rPr>
                <w:rFonts w:hint="eastAsia" w:ascii="仿宋" w:hAnsi="仿宋" w:eastAsia="仿宋" w:cs="宋体"/>
                <w:b/>
                <w:bCs/>
                <w:kern w:val="0"/>
                <w:sz w:val="24"/>
                <w:szCs w:val="24"/>
                <w:highlight w:val="none"/>
              </w:rPr>
              <w:t>序号</w:t>
            </w:r>
          </w:p>
        </w:tc>
        <w:tc>
          <w:tcPr>
            <w:tcW w:w="1464" w:type="dxa"/>
            <w:tcBorders>
              <w:top w:val="nil"/>
              <w:left w:val="nil"/>
              <w:bottom w:val="single" w:color="auto" w:sz="4" w:space="0"/>
              <w:right w:val="single" w:color="auto" w:sz="4" w:space="0"/>
            </w:tcBorders>
            <w:shd w:val="clear" w:color="auto" w:fill="auto"/>
            <w:vAlign w:val="center"/>
          </w:tcPr>
          <w:p w14:paraId="184FB135">
            <w:pPr>
              <w:widowControl/>
              <w:jc w:val="center"/>
              <w:rPr>
                <w:rFonts w:hint="eastAsia" w:ascii="仿宋" w:hAnsi="仿宋" w:eastAsia="仿宋" w:cs="宋体"/>
                <w:b/>
                <w:bCs/>
                <w:kern w:val="0"/>
                <w:sz w:val="24"/>
                <w:szCs w:val="24"/>
                <w:highlight w:val="none"/>
              </w:rPr>
            </w:pPr>
            <w:r>
              <w:rPr>
                <w:rFonts w:hint="eastAsia" w:ascii="仿宋" w:hAnsi="仿宋" w:eastAsia="仿宋" w:cs="宋体"/>
                <w:b/>
                <w:bCs/>
                <w:kern w:val="0"/>
                <w:sz w:val="24"/>
                <w:szCs w:val="24"/>
                <w:highlight w:val="none"/>
              </w:rPr>
              <w:t>坐落</w:t>
            </w:r>
          </w:p>
        </w:tc>
        <w:tc>
          <w:tcPr>
            <w:tcW w:w="1928" w:type="dxa"/>
            <w:tcBorders>
              <w:top w:val="nil"/>
              <w:left w:val="nil"/>
              <w:bottom w:val="single" w:color="auto" w:sz="4" w:space="0"/>
              <w:right w:val="single" w:color="auto" w:sz="4" w:space="0"/>
            </w:tcBorders>
            <w:shd w:val="clear" w:color="auto" w:fill="auto"/>
            <w:vAlign w:val="center"/>
          </w:tcPr>
          <w:p w14:paraId="444DFA0C">
            <w:pPr>
              <w:widowControl/>
              <w:jc w:val="center"/>
              <w:rPr>
                <w:rFonts w:hint="eastAsia" w:ascii="仿宋" w:hAnsi="仿宋" w:eastAsia="仿宋" w:cs="宋体"/>
                <w:b/>
                <w:bCs/>
                <w:kern w:val="0"/>
                <w:sz w:val="24"/>
                <w:szCs w:val="24"/>
                <w:highlight w:val="none"/>
              </w:rPr>
            </w:pPr>
            <w:r>
              <w:rPr>
                <w:rFonts w:hint="eastAsia" w:ascii="仿宋" w:hAnsi="仿宋" w:eastAsia="仿宋" w:cs="宋体"/>
                <w:b/>
                <w:bCs/>
                <w:kern w:val="0"/>
                <w:sz w:val="24"/>
                <w:szCs w:val="24"/>
                <w:highlight w:val="none"/>
              </w:rPr>
              <w:t>不动产权证号</w:t>
            </w:r>
          </w:p>
        </w:tc>
        <w:tc>
          <w:tcPr>
            <w:tcW w:w="1108" w:type="dxa"/>
            <w:tcBorders>
              <w:top w:val="nil"/>
              <w:left w:val="nil"/>
              <w:bottom w:val="single" w:color="auto" w:sz="4" w:space="0"/>
              <w:right w:val="single" w:color="auto" w:sz="4" w:space="0"/>
            </w:tcBorders>
            <w:shd w:val="clear" w:color="auto" w:fill="auto"/>
            <w:vAlign w:val="center"/>
          </w:tcPr>
          <w:p w14:paraId="7E7E763F">
            <w:pPr>
              <w:widowControl/>
              <w:jc w:val="center"/>
              <w:rPr>
                <w:rFonts w:hint="eastAsia" w:ascii="仿宋" w:hAnsi="仿宋" w:eastAsia="仿宋" w:cs="宋体"/>
                <w:b/>
                <w:bCs/>
                <w:kern w:val="0"/>
                <w:sz w:val="24"/>
                <w:szCs w:val="24"/>
                <w:highlight w:val="yellow"/>
              </w:rPr>
            </w:pPr>
            <w:r>
              <w:rPr>
                <w:rFonts w:hint="eastAsia" w:ascii="仿宋" w:hAnsi="仿宋" w:eastAsia="仿宋" w:cs="宋体"/>
                <w:b/>
                <w:bCs/>
                <w:kern w:val="0"/>
                <w:sz w:val="24"/>
                <w:szCs w:val="24"/>
                <w:highlight w:val="yellow"/>
              </w:rPr>
              <w:t>所在层数</w:t>
            </w:r>
          </w:p>
        </w:tc>
        <w:tc>
          <w:tcPr>
            <w:tcW w:w="1240" w:type="dxa"/>
            <w:tcBorders>
              <w:top w:val="nil"/>
              <w:left w:val="nil"/>
              <w:bottom w:val="single" w:color="auto" w:sz="4" w:space="0"/>
              <w:right w:val="single" w:color="auto" w:sz="4" w:space="0"/>
            </w:tcBorders>
            <w:shd w:val="clear" w:color="auto" w:fill="auto"/>
            <w:vAlign w:val="center"/>
          </w:tcPr>
          <w:p w14:paraId="548B5190">
            <w:pPr>
              <w:widowControl/>
              <w:jc w:val="center"/>
              <w:rPr>
                <w:rFonts w:hint="eastAsia" w:ascii="仿宋" w:hAnsi="仿宋" w:eastAsia="仿宋" w:cs="宋体"/>
                <w:b/>
                <w:bCs/>
                <w:kern w:val="0"/>
                <w:sz w:val="24"/>
                <w:szCs w:val="24"/>
                <w:highlight w:val="none"/>
              </w:rPr>
            </w:pPr>
            <w:r>
              <w:rPr>
                <w:rFonts w:hint="eastAsia" w:ascii="仿宋" w:hAnsi="仿宋" w:eastAsia="仿宋" w:cs="宋体"/>
                <w:b/>
                <w:bCs/>
                <w:kern w:val="0"/>
                <w:sz w:val="24"/>
                <w:szCs w:val="24"/>
                <w:highlight w:val="none"/>
              </w:rPr>
              <w:t>建筑面积（m</w:t>
            </w:r>
            <w:r>
              <w:rPr>
                <w:rFonts w:hint="eastAsia" w:ascii="仿宋" w:hAnsi="仿宋" w:eastAsia="仿宋" w:cs="宋体"/>
                <w:b/>
                <w:bCs/>
                <w:kern w:val="0"/>
                <w:sz w:val="24"/>
                <w:szCs w:val="24"/>
                <w:highlight w:val="none"/>
                <w:vertAlign w:val="superscript"/>
              </w:rPr>
              <w:t>2</w:t>
            </w:r>
            <w:r>
              <w:rPr>
                <w:rFonts w:hint="eastAsia" w:ascii="仿宋" w:hAnsi="仿宋" w:eastAsia="仿宋" w:cs="宋体"/>
                <w:b/>
                <w:bCs/>
                <w:kern w:val="0"/>
                <w:sz w:val="24"/>
                <w:szCs w:val="24"/>
                <w:highlight w:val="none"/>
              </w:rPr>
              <w:t>）</w:t>
            </w:r>
          </w:p>
        </w:tc>
        <w:tc>
          <w:tcPr>
            <w:tcW w:w="1341" w:type="dxa"/>
            <w:tcBorders>
              <w:top w:val="nil"/>
              <w:left w:val="nil"/>
              <w:bottom w:val="single" w:color="auto" w:sz="4" w:space="0"/>
              <w:right w:val="single" w:color="auto" w:sz="4" w:space="0"/>
            </w:tcBorders>
            <w:shd w:val="clear" w:color="auto" w:fill="auto"/>
            <w:vAlign w:val="center"/>
          </w:tcPr>
          <w:p w14:paraId="7FC4D2C2">
            <w:pPr>
              <w:widowControl/>
              <w:jc w:val="center"/>
              <w:rPr>
                <w:rFonts w:hint="eastAsia" w:ascii="仿宋" w:hAnsi="仿宋" w:eastAsia="仿宋" w:cs="宋体"/>
                <w:b/>
                <w:bCs/>
                <w:kern w:val="0"/>
                <w:sz w:val="24"/>
                <w:szCs w:val="24"/>
                <w:highlight w:val="none"/>
              </w:rPr>
            </w:pPr>
            <w:r>
              <w:rPr>
                <w:rFonts w:hint="eastAsia" w:ascii="仿宋" w:hAnsi="仿宋" w:eastAsia="仿宋" w:cs="宋体"/>
                <w:b/>
                <w:bCs/>
                <w:kern w:val="0"/>
                <w:sz w:val="24"/>
                <w:szCs w:val="24"/>
                <w:highlight w:val="none"/>
              </w:rPr>
              <w:t>规划用途</w:t>
            </w:r>
          </w:p>
        </w:tc>
        <w:tc>
          <w:tcPr>
            <w:tcW w:w="1910" w:type="dxa"/>
            <w:tcBorders>
              <w:top w:val="nil"/>
              <w:left w:val="nil"/>
              <w:bottom w:val="single" w:color="auto" w:sz="4" w:space="0"/>
              <w:right w:val="single" w:color="auto" w:sz="4" w:space="0"/>
            </w:tcBorders>
            <w:shd w:val="clear" w:color="auto" w:fill="auto"/>
            <w:vAlign w:val="center"/>
          </w:tcPr>
          <w:p w14:paraId="3CD64753">
            <w:pPr>
              <w:widowControl/>
              <w:jc w:val="center"/>
              <w:rPr>
                <w:rFonts w:hint="eastAsia" w:ascii="仿宋" w:hAnsi="仿宋" w:eastAsia="仿宋" w:cs="宋体"/>
                <w:b/>
                <w:bCs/>
                <w:kern w:val="0"/>
                <w:sz w:val="24"/>
                <w:szCs w:val="24"/>
                <w:highlight w:val="none"/>
              </w:rPr>
            </w:pPr>
            <w:r>
              <w:rPr>
                <w:rFonts w:hint="eastAsia" w:ascii="仿宋" w:hAnsi="仿宋" w:eastAsia="仿宋" w:cs="宋体"/>
                <w:b/>
                <w:bCs/>
                <w:kern w:val="0"/>
                <w:sz w:val="24"/>
                <w:szCs w:val="24"/>
                <w:highlight w:val="none"/>
              </w:rPr>
              <w:t>起拍价/元</w:t>
            </w:r>
          </w:p>
        </w:tc>
      </w:tr>
      <w:tr w14:paraId="704C30F0">
        <w:tblPrEx>
          <w:tblCellMar>
            <w:top w:w="0" w:type="dxa"/>
            <w:left w:w="108" w:type="dxa"/>
            <w:bottom w:w="0" w:type="dxa"/>
            <w:right w:w="108" w:type="dxa"/>
          </w:tblCellMar>
        </w:tblPrEx>
        <w:trPr>
          <w:trHeight w:val="900" w:hRule="atLeast"/>
          <w:jc w:val="center"/>
        </w:trPr>
        <w:tc>
          <w:tcPr>
            <w:tcW w:w="785" w:type="dxa"/>
            <w:tcBorders>
              <w:top w:val="nil"/>
              <w:left w:val="single" w:color="auto" w:sz="4" w:space="0"/>
              <w:bottom w:val="single" w:color="auto" w:sz="4" w:space="0"/>
              <w:right w:val="single" w:color="auto" w:sz="4" w:space="0"/>
            </w:tcBorders>
            <w:shd w:val="clear" w:color="auto" w:fill="auto"/>
            <w:vAlign w:val="center"/>
          </w:tcPr>
          <w:p w14:paraId="25D7EC6C">
            <w:pPr>
              <w:widowControl/>
              <w:jc w:val="center"/>
              <w:rPr>
                <w:rFonts w:hint="eastAsia" w:ascii="仿宋" w:hAnsi="仿宋" w:eastAsia="仿宋" w:cs="宋体"/>
                <w:kern w:val="0"/>
                <w:sz w:val="24"/>
                <w:szCs w:val="24"/>
                <w:highlight w:val="none"/>
                <w:lang w:eastAsia="zh-CN"/>
              </w:rPr>
            </w:pPr>
            <w:r>
              <w:rPr>
                <w:rFonts w:hint="eastAsia" w:ascii="仿宋" w:hAnsi="仿宋" w:eastAsia="仿宋" w:cs="宋体"/>
                <w:kern w:val="0"/>
                <w:sz w:val="24"/>
                <w:szCs w:val="24"/>
                <w:highlight w:val="none"/>
                <w:lang w:val="en-US" w:eastAsia="zh-CN"/>
              </w:rPr>
              <w:t>1</w:t>
            </w:r>
          </w:p>
        </w:tc>
        <w:tc>
          <w:tcPr>
            <w:tcW w:w="1464" w:type="dxa"/>
            <w:tcBorders>
              <w:top w:val="nil"/>
              <w:left w:val="nil"/>
              <w:bottom w:val="single" w:color="auto" w:sz="4" w:space="0"/>
              <w:right w:val="single" w:color="auto" w:sz="4" w:space="0"/>
            </w:tcBorders>
            <w:shd w:val="clear" w:color="auto" w:fill="auto"/>
            <w:vAlign w:val="center"/>
          </w:tcPr>
          <w:p w14:paraId="6795A5E7">
            <w:pPr>
              <w:widowControl/>
              <w:jc w:val="center"/>
              <w:rPr>
                <w:rFonts w:hint="eastAsia" w:ascii="仿宋" w:hAnsi="仿宋" w:eastAsia="仿宋" w:cs="宋体"/>
                <w:kern w:val="0"/>
                <w:sz w:val="24"/>
                <w:szCs w:val="24"/>
                <w:highlight w:val="none"/>
                <w:lang w:eastAsia="zh-CN"/>
              </w:rPr>
            </w:pPr>
            <w:r>
              <w:rPr>
                <w:rFonts w:hint="eastAsia" w:ascii="仿宋" w:hAnsi="仿宋" w:eastAsia="仿宋"/>
                <w:color w:val="000000"/>
                <w:kern w:val="0"/>
                <w:szCs w:val="21"/>
                <w:highlight w:val="none"/>
                <w:lang w:eastAsia="zh-CN"/>
              </w:rPr>
              <w:t>嘉峪关市新华南路111-1-318号</w:t>
            </w:r>
          </w:p>
        </w:tc>
        <w:tc>
          <w:tcPr>
            <w:tcW w:w="1928" w:type="dxa"/>
            <w:tcBorders>
              <w:top w:val="nil"/>
              <w:left w:val="nil"/>
              <w:bottom w:val="single" w:color="auto" w:sz="4" w:space="0"/>
              <w:right w:val="single" w:color="auto" w:sz="4" w:space="0"/>
            </w:tcBorders>
            <w:shd w:val="clear" w:color="auto" w:fill="auto"/>
            <w:vAlign w:val="center"/>
          </w:tcPr>
          <w:p w14:paraId="730A715F">
            <w:pPr>
              <w:widowControl/>
              <w:jc w:val="center"/>
              <w:rPr>
                <w:rFonts w:hint="eastAsia" w:ascii="仿宋" w:hAnsi="仿宋" w:eastAsia="仿宋" w:cs="宋体"/>
                <w:kern w:val="0"/>
                <w:sz w:val="24"/>
                <w:szCs w:val="24"/>
                <w:highlight w:val="none"/>
              </w:rPr>
            </w:pPr>
            <w:r>
              <w:rPr>
                <w:rFonts w:hint="eastAsia" w:ascii="仿宋" w:hAnsi="仿宋" w:eastAsia="仿宋"/>
                <w:color w:val="000000"/>
                <w:kern w:val="0"/>
                <w:szCs w:val="21"/>
              </w:rPr>
              <w:t>甘（2018）嘉峪关市不动产权第0020071号</w:t>
            </w:r>
          </w:p>
        </w:tc>
        <w:tc>
          <w:tcPr>
            <w:tcW w:w="1108" w:type="dxa"/>
            <w:tcBorders>
              <w:top w:val="nil"/>
              <w:left w:val="nil"/>
              <w:bottom w:val="single" w:color="auto" w:sz="4" w:space="0"/>
              <w:right w:val="single" w:color="auto" w:sz="4" w:space="0"/>
            </w:tcBorders>
            <w:shd w:val="clear" w:color="auto" w:fill="auto"/>
            <w:vAlign w:val="center"/>
          </w:tcPr>
          <w:p w14:paraId="72AC3D46">
            <w:pPr>
              <w:widowControl/>
              <w:jc w:val="center"/>
              <w:rPr>
                <w:rFonts w:hint="eastAsia" w:ascii="仿宋" w:hAnsi="仿宋" w:eastAsia="仿宋" w:cs="宋体"/>
                <w:kern w:val="0"/>
                <w:sz w:val="24"/>
                <w:szCs w:val="24"/>
                <w:highlight w:val="yellow"/>
              </w:rPr>
            </w:pPr>
            <w:r>
              <w:rPr>
                <w:rFonts w:hint="eastAsia" w:ascii="仿宋" w:hAnsi="仿宋" w:eastAsia="仿宋" w:cs="宋体"/>
                <w:kern w:val="0"/>
                <w:sz w:val="24"/>
                <w:szCs w:val="24"/>
                <w:highlight w:val="yellow"/>
              </w:rPr>
              <w:t>1层</w:t>
            </w:r>
          </w:p>
        </w:tc>
        <w:tc>
          <w:tcPr>
            <w:tcW w:w="1240" w:type="dxa"/>
            <w:tcBorders>
              <w:top w:val="nil"/>
              <w:left w:val="nil"/>
              <w:bottom w:val="single" w:color="auto" w:sz="4" w:space="0"/>
              <w:right w:val="single" w:color="auto" w:sz="4" w:space="0"/>
            </w:tcBorders>
            <w:shd w:val="clear" w:color="auto" w:fill="auto"/>
            <w:vAlign w:val="center"/>
          </w:tcPr>
          <w:p w14:paraId="54B798B2">
            <w:pPr>
              <w:widowControl/>
              <w:jc w:val="center"/>
              <w:rPr>
                <w:rFonts w:hint="eastAsia" w:ascii="仿宋" w:hAnsi="仿宋" w:eastAsia="仿宋" w:cs="宋体"/>
                <w:kern w:val="0"/>
                <w:sz w:val="24"/>
                <w:szCs w:val="24"/>
                <w:highlight w:val="none"/>
              </w:rPr>
            </w:pPr>
            <w:r>
              <w:rPr>
                <w:rFonts w:hint="eastAsia" w:ascii="仿宋" w:hAnsi="仿宋" w:eastAsia="仿宋"/>
                <w:color w:val="000000"/>
                <w:kern w:val="0"/>
                <w:szCs w:val="21"/>
              </w:rPr>
              <w:t>219.76</w:t>
            </w:r>
          </w:p>
        </w:tc>
        <w:tc>
          <w:tcPr>
            <w:tcW w:w="1341" w:type="dxa"/>
            <w:tcBorders>
              <w:top w:val="nil"/>
              <w:left w:val="nil"/>
              <w:bottom w:val="single" w:color="auto" w:sz="4" w:space="0"/>
              <w:right w:val="single" w:color="auto" w:sz="4" w:space="0"/>
            </w:tcBorders>
            <w:shd w:val="clear" w:color="auto" w:fill="auto"/>
            <w:vAlign w:val="center"/>
          </w:tcPr>
          <w:p w14:paraId="2269BEA8">
            <w:pPr>
              <w:widowControl/>
              <w:jc w:val="center"/>
              <w:rPr>
                <w:rFonts w:hint="eastAsia" w:ascii="仿宋" w:hAnsi="仿宋" w:eastAsia="仿宋" w:cs="宋体"/>
                <w:kern w:val="0"/>
                <w:sz w:val="24"/>
                <w:szCs w:val="24"/>
                <w:highlight w:val="none"/>
              </w:rPr>
            </w:pPr>
            <w:r>
              <w:rPr>
                <w:rFonts w:hint="eastAsia" w:ascii="仿宋" w:hAnsi="仿宋" w:eastAsia="仿宋"/>
                <w:color w:val="000000"/>
                <w:kern w:val="0"/>
                <w:szCs w:val="21"/>
                <w:highlight w:val="none"/>
              </w:rPr>
              <w:t>商业服务</w:t>
            </w:r>
          </w:p>
        </w:tc>
        <w:tc>
          <w:tcPr>
            <w:tcW w:w="1910" w:type="dxa"/>
            <w:tcBorders>
              <w:top w:val="nil"/>
              <w:left w:val="nil"/>
              <w:bottom w:val="single" w:color="auto" w:sz="4" w:space="0"/>
              <w:right w:val="single" w:color="auto" w:sz="4" w:space="0"/>
            </w:tcBorders>
            <w:shd w:val="clear" w:color="auto" w:fill="auto"/>
            <w:vAlign w:val="center"/>
          </w:tcPr>
          <w:p w14:paraId="4DC3EC47">
            <w:pPr>
              <w:widowControl/>
              <w:jc w:val="center"/>
              <w:rPr>
                <w:rFonts w:hint="eastAsia" w:ascii="仿宋" w:hAnsi="仿宋" w:eastAsia="仿宋" w:cs="宋体"/>
                <w:kern w:val="0"/>
                <w:sz w:val="24"/>
                <w:szCs w:val="24"/>
                <w:highlight w:val="none"/>
              </w:rPr>
            </w:pPr>
            <w:r>
              <w:rPr>
                <w:rFonts w:hint="eastAsia" w:ascii="宋体" w:hAnsi="宋体" w:eastAsia="宋体" w:cs="宋体"/>
                <w:i w:val="0"/>
                <w:iCs w:val="0"/>
                <w:color w:val="000000"/>
                <w:kern w:val="0"/>
                <w:sz w:val="22"/>
                <w:szCs w:val="22"/>
                <w:u w:val="none"/>
                <w:lang w:val="en-US" w:eastAsia="zh-CN" w:bidi="ar"/>
              </w:rPr>
              <w:t>416</w:t>
            </w:r>
            <w:r>
              <w:rPr>
                <w:rFonts w:hint="eastAsia" w:ascii="宋体" w:hAnsi="宋体" w:cs="宋体"/>
                <w:i w:val="0"/>
                <w:iCs w:val="0"/>
                <w:color w:val="000000"/>
                <w:kern w:val="0"/>
                <w:sz w:val="22"/>
                <w:szCs w:val="22"/>
                <w:u w:val="none"/>
                <w:lang w:val="en-US" w:eastAsia="zh-CN" w:bidi="ar"/>
              </w:rPr>
              <w:t>45</w:t>
            </w:r>
            <w:r>
              <w:rPr>
                <w:rFonts w:hint="eastAsia" w:ascii="仿宋" w:hAnsi="仿宋" w:eastAsia="仿宋"/>
                <w:color w:val="000000"/>
                <w:kern w:val="0"/>
                <w:szCs w:val="21"/>
                <w:highlight w:val="none"/>
              </w:rPr>
              <w:t>00.</w:t>
            </w:r>
            <w:r>
              <w:rPr>
                <w:rFonts w:hint="eastAsia" w:ascii="仿宋" w:hAnsi="仿宋" w:eastAsia="仿宋" w:cs="宋体"/>
                <w:kern w:val="0"/>
                <w:sz w:val="24"/>
                <w:szCs w:val="24"/>
                <w:highlight w:val="none"/>
              </w:rPr>
              <w:t>00</w:t>
            </w:r>
          </w:p>
        </w:tc>
      </w:tr>
      <w:tr w14:paraId="7257E15C">
        <w:tblPrEx>
          <w:tblCellMar>
            <w:top w:w="0" w:type="dxa"/>
            <w:left w:w="108" w:type="dxa"/>
            <w:bottom w:w="0" w:type="dxa"/>
            <w:right w:w="108" w:type="dxa"/>
          </w:tblCellMar>
        </w:tblPrEx>
        <w:trPr>
          <w:trHeight w:val="2945" w:hRule="atLeast"/>
          <w:jc w:val="center"/>
        </w:trPr>
        <w:tc>
          <w:tcPr>
            <w:tcW w:w="785" w:type="dxa"/>
            <w:tcBorders>
              <w:top w:val="nil"/>
              <w:left w:val="single" w:color="auto" w:sz="4" w:space="0"/>
              <w:bottom w:val="single" w:color="auto" w:sz="4" w:space="0"/>
              <w:right w:val="single" w:color="auto" w:sz="4" w:space="0"/>
            </w:tcBorders>
            <w:shd w:val="clear" w:color="auto" w:fill="auto"/>
            <w:vAlign w:val="center"/>
          </w:tcPr>
          <w:p w14:paraId="6D44B0D5">
            <w:pPr>
              <w:widowControl/>
              <w:jc w:val="center"/>
              <w:rPr>
                <w:rFonts w:hint="eastAsia" w:ascii="仿宋" w:hAnsi="仿宋" w:eastAsia="仿宋" w:cs="宋体"/>
                <w:b/>
                <w:bCs/>
                <w:color w:val="000000"/>
                <w:kern w:val="0"/>
                <w:sz w:val="24"/>
                <w:szCs w:val="24"/>
                <w:highlight w:val="none"/>
              </w:rPr>
            </w:pPr>
            <w:r>
              <w:rPr>
                <w:rFonts w:hint="eastAsia" w:ascii="仿宋" w:hAnsi="仿宋" w:eastAsia="仿宋" w:cs="宋体"/>
                <w:b/>
                <w:bCs/>
                <w:color w:val="000000"/>
                <w:kern w:val="0"/>
                <w:sz w:val="24"/>
                <w:szCs w:val="24"/>
                <w:highlight w:val="none"/>
              </w:rPr>
              <w:t>特别</w:t>
            </w:r>
            <w:r>
              <w:rPr>
                <w:rFonts w:hint="eastAsia" w:ascii="仿宋" w:hAnsi="仿宋" w:eastAsia="仿宋" w:cs="宋体"/>
                <w:b/>
                <w:bCs/>
                <w:color w:val="000000"/>
                <w:kern w:val="0"/>
                <w:sz w:val="24"/>
                <w:szCs w:val="24"/>
                <w:highlight w:val="none"/>
              </w:rPr>
              <w:br w:type="textWrapping"/>
            </w:r>
            <w:r>
              <w:rPr>
                <w:rFonts w:hint="eastAsia" w:ascii="仿宋" w:hAnsi="仿宋" w:eastAsia="仿宋" w:cs="宋体"/>
                <w:b/>
                <w:bCs/>
                <w:color w:val="000000"/>
                <w:kern w:val="0"/>
                <w:sz w:val="24"/>
                <w:szCs w:val="24"/>
                <w:highlight w:val="none"/>
              </w:rPr>
              <w:t>提示</w:t>
            </w:r>
          </w:p>
        </w:tc>
        <w:tc>
          <w:tcPr>
            <w:tcW w:w="8991" w:type="dxa"/>
            <w:gridSpan w:val="6"/>
            <w:tcBorders>
              <w:top w:val="single" w:color="auto" w:sz="4" w:space="0"/>
              <w:left w:val="nil"/>
              <w:bottom w:val="single" w:color="auto" w:sz="4" w:space="0"/>
              <w:right w:val="single" w:color="auto" w:sz="4" w:space="0"/>
            </w:tcBorders>
            <w:shd w:val="clear" w:color="auto" w:fill="auto"/>
            <w:vAlign w:val="center"/>
          </w:tcPr>
          <w:p w14:paraId="7F40C1CD">
            <w:pPr>
              <w:widowControl/>
              <w:jc w:val="left"/>
              <w:rPr>
                <w:rFonts w:hint="eastAsia" w:ascii="仿宋" w:hAnsi="仿宋" w:eastAsia="仿宋" w:cs="宋体"/>
                <w:b/>
                <w:bCs/>
                <w:color w:val="000000"/>
                <w:kern w:val="0"/>
                <w:sz w:val="24"/>
                <w:szCs w:val="24"/>
                <w:highlight w:val="none"/>
              </w:rPr>
            </w:pPr>
            <w:r>
              <w:rPr>
                <w:rFonts w:hint="eastAsia" w:ascii="仿宋" w:hAnsi="仿宋" w:eastAsia="仿宋" w:cs="宋体"/>
                <w:b/>
                <w:bCs/>
                <w:color w:val="000000"/>
                <w:kern w:val="0"/>
                <w:sz w:val="24"/>
                <w:szCs w:val="24"/>
                <w:highlight w:val="none"/>
              </w:rPr>
              <w:t>1、本次拍卖房产招商宣传名称为“</w:t>
            </w:r>
            <w:r>
              <w:rPr>
                <w:rFonts w:hint="eastAsia" w:ascii="仿宋" w:hAnsi="仿宋" w:eastAsia="仿宋" w:cs="宋体"/>
                <w:b/>
                <w:bCs/>
                <w:color w:val="000000"/>
                <w:kern w:val="0"/>
                <w:sz w:val="24"/>
                <w:szCs w:val="24"/>
                <w:highlight w:val="yellow"/>
              </w:rPr>
              <w:t>天诚广场</w:t>
            </w:r>
            <w:r>
              <w:rPr>
                <w:rFonts w:hint="eastAsia" w:ascii="仿宋" w:hAnsi="仿宋" w:eastAsia="仿宋" w:cs="宋体"/>
                <w:b/>
                <w:bCs/>
                <w:color w:val="000000"/>
                <w:kern w:val="0"/>
                <w:sz w:val="24"/>
                <w:szCs w:val="24"/>
                <w:highlight w:val="yellow"/>
                <w:lang w:val="en-US" w:eastAsia="zh-CN"/>
              </w:rPr>
              <w:t>商业用房</w:t>
            </w:r>
            <w:r>
              <w:rPr>
                <w:rFonts w:hint="eastAsia" w:ascii="仿宋" w:hAnsi="仿宋" w:eastAsia="仿宋" w:cs="宋体"/>
                <w:b/>
                <w:bCs/>
                <w:color w:val="000000"/>
                <w:kern w:val="0"/>
                <w:sz w:val="24"/>
                <w:szCs w:val="24"/>
                <w:highlight w:val="none"/>
              </w:rPr>
              <w:t>”，部分楼层和部分面积已出售，此次拍卖房产并非整栋房产。</w:t>
            </w:r>
            <w:r>
              <w:rPr>
                <w:rFonts w:hint="eastAsia" w:ascii="仿宋" w:hAnsi="仿宋" w:eastAsia="仿宋" w:cs="宋体"/>
                <w:b/>
                <w:bCs/>
                <w:color w:val="000000"/>
                <w:kern w:val="0"/>
                <w:sz w:val="24"/>
                <w:szCs w:val="24"/>
                <w:highlight w:val="none"/>
              </w:rPr>
              <w:br w:type="textWrapping"/>
            </w:r>
            <w:r>
              <w:rPr>
                <w:rFonts w:hint="eastAsia" w:ascii="仿宋" w:hAnsi="仿宋" w:eastAsia="仿宋" w:cs="宋体"/>
                <w:b/>
                <w:bCs/>
                <w:color w:val="000000"/>
                <w:kern w:val="0"/>
                <w:sz w:val="24"/>
                <w:szCs w:val="24"/>
                <w:highlight w:val="none"/>
              </w:rPr>
              <w:t>2、本次拍卖房产部分空置、部分存在租赁关系，拍卖成交或流拍抵债的，资产接收人应承继原租赁合同。</w:t>
            </w:r>
            <w:r>
              <w:rPr>
                <w:rFonts w:hint="eastAsia" w:ascii="仿宋" w:hAnsi="仿宋" w:eastAsia="仿宋" w:cs="宋体"/>
                <w:b/>
                <w:bCs/>
                <w:color w:val="000000"/>
                <w:kern w:val="0"/>
                <w:sz w:val="24"/>
                <w:szCs w:val="24"/>
                <w:highlight w:val="none"/>
              </w:rPr>
              <w:br w:type="textWrapping"/>
            </w:r>
            <w:r>
              <w:rPr>
                <w:rFonts w:hint="eastAsia" w:ascii="仿宋" w:hAnsi="仿宋" w:eastAsia="仿宋" w:cs="宋体"/>
                <w:b/>
                <w:bCs/>
                <w:color w:val="000000"/>
                <w:kern w:val="0"/>
                <w:sz w:val="24"/>
                <w:szCs w:val="24"/>
                <w:highlight w:val="none"/>
              </w:rPr>
              <w:t>3、本次拍卖房产已有物业公司提供物业管理服务，拍卖成交或流拍抵债的，资产接收人应与现物业公司协商确定物业管理服务。</w:t>
            </w:r>
            <w:r>
              <w:rPr>
                <w:rFonts w:hint="eastAsia" w:ascii="仿宋" w:hAnsi="仿宋" w:eastAsia="仿宋" w:cs="宋体"/>
                <w:b/>
                <w:bCs/>
                <w:color w:val="000000"/>
                <w:kern w:val="0"/>
                <w:sz w:val="24"/>
                <w:szCs w:val="24"/>
                <w:highlight w:val="none"/>
              </w:rPr>
              <w:br w:type="textWrapping"/>
            </w:r>
            <w:r>
              <w:rPr>
                <w:rFonts w:hint="eastAsia" w:ascii="仿宋" w:hAnsi="仿宋" w:eastAsia="仿宋" w:cs="宋体"/>
                <w:b/>
                <w:bCs/>
                <w:color w:val="000000"/>
                <w:kern w:val="0"/>
                <w:sz w:val="24"/>
                <w:szCs w:val="24"/>
                <w:highlight w:val="none"/>
              </w:rPr>
              <w:t>4、本次拍卖房产评估值以甘肃信诺房地产土地资产评估有限公司出具资产评估报告确定。</w:t>
            </w:r>
            <w:r>
              <w:rPr>
                <w:rFonts w:hint="eastAsia" w:ascii="仿宋" w:hAnsi="仿宋" w:eastAsia="仿宋" w:cs="宋体"/>
                <w:b/>
                <w:bCs/>
                <w:color w:val="000000"/>
                <w:kern w:val="0"/>
                <w:sz w:val="24"/>
                <w:szCs w:val="24"/>
                <w:highlight w:val="none"/>
              </w:rPr>
              <w:br w:type="textWrapping"/>
            </w:r>
            <w:r>
              <w:rPr>
                <w:rFonts w:hint="eastAsia" w:ascii="仿宋" w:hAnsi="仿宋" w:eastAsia="仿宋" w:cs="宋体"/>
                <w:b/>
                <w:bCs/>
                <w:color w:val="000000"/>
                <w:kern w:val="0"/>
                <w:sz w:val="24"/>
                <w:szCs w:val="24"/>
                <w:highlight w:val="none"/>
              </w:rPr>
              <w:t>5、本次拍卖房产均以现状拍卖</w:t>
            </w:r>
            <w:r>
              <w:rPr>
                <w:rFonts w:hint="eastAsia" w:ascii="仿宋" w:hAnsi="仿宋" w:eastAsia="仿宋" w:cs="宋体"/>
                <w:b/>
                <w:bCs/>
                <w:color w:val="000000"/>
                <w:kern w:val="0"/>
                <w:sz w:val="24"/>
                <w:szCs w:val="24"/>
                <w:highlight w:val="yellow"/>
                <w:lang w:eastAsia="zh-CN"/>
              </w:rPr>
              <w:t>（</w:t>
            </w:r>
            <w:r>
              <w:rPr>
                <w:rFonts w:hint="eastAsia" w:ascii="仿宋" w:hAnsi="仿宋" w:eastAsia="仿宋" w:cs="宋体"/>
                <w:b/>
                <w:bCs/>
                <w:color w:val="000000"/>
                <w:kern w:val="0"/>
                <w:sz w:val="24"/>
                <w:szCs w:val="24"/>
                <w:highlight w:val="yellow"/>
                <w:lang w:val="en-US" w:eastAsia="zh-CN"/>
              </w:rPr>
              <w:t>不含家具等物品</w:t>
            </w:r>
            <w:r>
              <w:rPr>
                <w:rFonts w:hint="eastAsia" w:ascii="仿宋" w:hAnsi="仿宋" w:eastAsia="仿宋" w:cs="宋体"/>
                <w:b/>
                <w:bCs/>
                <w:color w:val="000000"/>
                <w:kern w:val="0"/>
                <w:sz w:val="24"/>
                <w:szCs w:val="24"/>
                <w:highlight w:val="yellow"/>
                <w:lang w:eastAsia="zh-CN"/>
              </w:rPr>
              <w:t>）</w:t>
            </w:r>
            <w:r>
              <w:rPr>
                <w:rFonts w:hint="eastAsia" w:ascii="仿宋" w:hAnsi="仿宋" w:eastAsia="仿宋" w:cs="宋体"/>
                <w:b/>
                <w:bCs/>
                <w:color w:val="000000"/>
                <w:kern w:val="0"/>
                <w:sz w:val="24"/>
                <w:szCs w:val="24"/>
                <w:highlight w:val="none"/>
              </w:rPr>
              <w:t>，且均以房产现状办理移交。</w:t>
            </w:r>
          </w:p>
        </w:tc>
      </w:tr>
      <w:bookmarkEnd w:id="4"/>
    </w:tbl>
    <w:p w14:paraId="306D8B6C">
      <w:pPr>
        <w:widowControl/>
        <w:spacing w:line="560" w:lineRule="exact"/>
        <w:ind w:firstLine="602" w:firstLineChars="200"/>
        <w:jc w:val="left"/>
        <w:rPr>
          <w:rFonts w:hint="eastAsia" w:ascii="仿宋_GB2312" w:hAnsi="仿宋_GB2312" w:eastAsia="仿宋_GB2312" w:cs="仿宋_GB2312"/>
          <w:b/>
          <w:bCs/>
          <w:color w:val="000000"/>
          <w:kern w:val="0"/>
          <w:sz w:val="30"/>
          <w:szCs w:val="30"/>
          <w:highlight w:val="none"/>
          <w:lang w:bidi="ar"/>
        </w:rPr>
      </w:pPr>
      <w:r>
        <w:rPr>
          <w:rFonts w:hint="eastAsia" w:ascii="仿宋_GB2312" w:hAnsi="仿宋_GB2312" w:eastAsia="仿宋_GB2312" w:cs="仿宋_GB2312"/>
          <w:b/>
          <w:bCs/>
          <w:color w:val="000000"/>
          <w:kern w:val="0"/>
          <w:sz w:val="30"/>
          <w:szCs w:val="30"/>
          <w:highlight w:val="none"/>
          <w:lang w:bidi="ar"/>
        </w:rPr>
        <w:t>二、起拍价及保证金</w:t>
      </w:r>
    </w:p>
    <w:p w14:paraId="758A7198">
      <w:pPr>
        <w:widowControl/>
        <w:spacing w:line="560" w:lineRule="exact"/>
        <w:ind w:firstLine="600" w:firstLineChars="200"/>
        <w:rPr>
          <w:rFonts w:hint="eastAsia" w:ascii="仿宋_GB2312" w:hAnsi="仿宋_GB2312" w:eastAsia="仿宋_GB2312" w:cs="仿宋_GB2312"/>
          <w:color w:val="000000"/>
          <w:kern w:val="0"/>
          <w:sz w:val="28"/>
          <w:szCs w:val="28"/>
          <w:highlight w:val="none"/>
          <w:lang w:bidi="ar"/>
        </w:rPr>
      </w:pPr>
      <w:r>
        <w:rPr>
          <w:rFonts w:hint="eastAsia" w:ascii="仿宋_GB2312" w:hAnsi="仿宋_GB2312" w:eastAsia="仿宋_GB2312" w:cs="仿宋_GB2312"/>
          <w:color w:val="000000"/>
          <w:kern w:val="0"/>
          <w:sz w:val="30"/>
          <w:szCs w:val="30"/>
          <w:highlight w:val="none"/>
          <w:lang w:bidi="ar"/>
        </w:rPr>
        <w:t>本次拍卖为第一次拍卖。起拍价：人民币（</w:t>
      </w:r>
      <w:r>
        <w:rPr>
          <w:rFonts w:hint="eastAsia" w:ascii="仿宋_GB2312" w:hAnsi="仿宋_GB2312" w:eastAsia="仿宋_GB2312" w:cs="仿宋_GB2312"/>
          <w:color w:val="000000"/>
          <w:kern w:val="0"/>
          <w:sz w:val="30"/>
          <w:szCs w:val="30"/>
          <w:highlight w:val="yellow"/>
          <w:lang w:val="en-US" w:eastAsia="zh-CN" w:bidi="ar"/>
        </w:rPr>
        <w:t>4</w:t>
      </w:r>
      <w:r>
        <w:rPr>
          <w:rFonts w:hint="eastAsia" w:ascii="仿宋_GB2312" w:hAnsi="仿宋_GB2312" w:eastAsia="仿宋_GB2312" w:cs="仿宋_GB2312"/>
          <w:color w:val="000000"/>
          <w:kern w:val="0"/>
          <w:sz w:val="30"/>
          <w:szCs w:val="30"/>
          <w:highlight w:val="yellow"/>
          <w:lang w:bidi="ar"/>
        </w:rPr>
        <w:t>,</w:t>
      </w:r>
      <w:r>
        <w:rPr>
          <w:rFonts w:hint="eastAsia" w:ascii="仿宋_GB2312" w:hAnsi="仿宋_GB2312" w:eastAsia="仿宋_GB2312" w:cs="仿宋_GB2312"/>
          <w:color w:val="000000"/>
          <w:kern w:val="0"/>
          <w:sz w:val="30"/>
          <w:szCs w:val="30"/>
          <w:highlight w:val="yellow"/>
          <w:lang w:val="en-US" w:eastAsia="zh-CN" w:bidi="ar"/>
        </w:rPr>
        <w:t>164</w:t>
      </w:r>
      <w:r>
        <w:rPr>
          <w:rFonts w:hint="eastAsia" w:ascii="仿宋_GB2312" w:hAnsi="仿宋_GB2312" w:eastAsia="仿宋_GB2312" w:cs="仿宋_GB2312"/>
          <w:color w:val="000000"/>
          <w:kern w:val="0"/>
          <w:sz w:val="30"/>
          <w:szCs w:val="30"/>
          <w:highlight w:val="yellow"/>
          <w:lang w:bidi="ar"/>
        </w:rPr>
        <w:t>,</w:t>
      </w:r>
      <w:r>
        <w:rPr>
          <w:rFonts w:hint="eastAsia" w:ascii="仿宋_GB2312" w:hAnsi="仿宋_GB2312" w:eastAsia="仿宋_GB2312" w:cs="仿宋_GB2312"/>
          <w:color w:val="000000"/>
          <w:kern w:val="0"/>
          <w:sz w:val="30"/>
          <w:szCs w:val="30"/>
          <w:highlight w:val="yellow"/>
          <w:lang w:val="en-US" w:eastAsia="zh-CN" w:bidi="ar"/>
        </w:rPr>
        <w:t>5</w:t>
      </w:r>
      <w:r>
        <w:rPr>
          <w:rFonts w:hint="eastAsia" w:ascii="仿宋_GB2312" w:hAnsi="仿宋_GB2312" w:eastAsia="仿宋_GB2312" w:cs="仿宋_GB2312"/>
          <w:color w:val="000000"/>
          <w:kern w:val="0"/>
          <w:sz w:val="30"/>
          <w:szCs w:val="30"/>
          <w:highlight w:val="yellow"/>
          <w:lang w:bidi="ar"/>
        </w:rPr>
        <w:t>00.00</w:t>
      </w:r>
      <w:r>
        <w:rPr>
          <w:rFonts w:hint="eastAsia" w:ascii="仿宋_GB2312" w:hAnsi="仿宋_GB2312" w:eastAsia="仿宋_GB2312" w:cs="仿宋_GB2312"/>
          <w:color w:val="000000"/>
          <w:kern w:val="0"/>
          <w:sz w:val="30"/>
          <w:szCs w:val="30"/>
          <w:highlight w:val="none"/>
          <w:lang w:bidi="ar"/>
        </w:rPr>
        <w:t>）元（以下币种均指人民币），保证金：</w:t>
      </w:r>
      <w:r>
        <w:rPr>
          <w:rFonts w:hint="eastAsia" w:ascii="仿宋_GB2312" w:hAnsi="仿宋_GB2312" w:eastAsia="仿宋_GB2312" w:cs="仿宋_GB2312"/>
          <w:color w:val="000000"/>
          <w:kern w:val="0"/>
          <w:sz w:val="30"/>
          <w:szCs w:val="30"/>
          <w:highlight w:val="yellow"/>
          <w:lang w:bidi="ar"/>
        </w:rPr>
        <w:t>（</w:t>
      </w:r>
      <w:r>
        <w:rPr>
          <w:rFonts w:hint="eastAsia" w:ascii="仿宋_GB2312" w:hAnsi="仿宋_GB2312" w:eastAsia="仿宋_GB2312" w:cs="仿宋_GB2312"/>
          <w:color w:val="000000"/>
          <w:kern w:val="0"/>
          <w:sz w:val="30"/>
          <w:szCs w:val="30"/>
          <w:highlight w:val="yellow"/>
          <w:lang w:val="en-US" w:eastAsia="zh-CN" w:bidi="ar"/>
        </w:rPr>
        <w:t>500,000.00</w:t>
      </w:r>
      <w:r>
        <w:rPr>
          <w:rFonts w:hint="eastAsia" w:ascii="仿宋_GB2312" w:hAnsi="仿宋_GB2312" w:eastAsia="仿宋_GB2312" w:cs="仿宋_GB2312"/>
          <w:color w:val="000000"/>
          <w:kern w:val="0"/>
          <w:sz w:val="30"/>
          <w:szCs w:val="30"/>
          <w:highlight w:val="yellow"/>
          <w:lang w:bidi="ar"/>
        </w:rPr>
        <w:t>）元</w:t>
      </w:r>
      <w:r>
        <w:rPr>
          <w:rFonts w:hint="eastAsia" w:ascii="仿宋_GB2312" w:hAnsi="仿宋_GB2312" w:eastAsia="仿宋_GB2312" w:cs="仿宋_GB2312"/>
          <w:color w:val="000000"/>
          <w:kern w:val="0"/>
          <w:sz w:val="30"/>
          <w:szCs w:val="30"/>
          <w:highlight w:val="none"/>
          <w:lang w:bidi="ar"/>
        </w:rPr>
        <w:t>，增价幅度：（50,000.00）元（或整数倍）。</w:t>
      </w:r>
      <w:r>
        <w:rPr>
          <w:rFonts w:hint="eastAsia" w:ascii="仿宋_GB2312" w:hAnsi="仿宋_GB2312" w:eastAsia="仿宋_GB2312" w:cs="仿宋_GB2312"/>
          <w:color w:val="000000"/>
          <w:kern w:val="0"/>
          <w:sz w:val="28"/>
          <w:szCs w:val="28"/>
          <w:highlight w:val="none"/>
          <w:lang w:bidi="ar"/>
        </w:rPr>
        <w:t>【注：该起拍价来源于甘肃信诺房地产土地资产评估有限公司出具的（2024）甘信估字第0712号《房地产估价报告》，评估价：</w:t>
      </w:r>
      <w:r>
        <w:rPr>
          <w:rFonts w:hint="eastAsia" w:ascii="仿宋_GB2312" w:hAnsi="仿宋_GB2312" w:eastAsia="仿宋_GB2312" w:cs="仿宋_GB2312"/>
          <w:color w:val="000000"/>
          <w:kern w:val="0"/>
          <w:sz w:val="28"/>
          <w:szCs w:val="28"/>
          <w:highlight w:val="yellow"/>
          <w:lang w:eastAsia="zh-CN" w:bidi="ar"/>
        </w:rPr>
        <w:t>4,164,500.00</w:t>
      </w:r>
      <w:r>
        <w:rPr>
          <w:rFonts w:hint="eastAsia" w:ascii="仿宋_GB2312" w:hAnsi="仿宋_GB2312" w:eastAsia="仿宋_GB2312" w:cs="仿宋_GB2312"/>
          <w:color w:val="000000"/>
          <w:kern w:val="0"/>
          <w:sz w:val="28"/>
          <w:szCs w:val="28"/>
          <w:highlight w:val="yellow"/>
          <w:lang w:bidi="ar"/>
        </w:rPr>
        <w:t>元</w:t>
      </w:r>
      <w:r>
        <w:rPr>
          <w:rFonts w:hint="eastAsia" w:ascii="仿宋_GB2312" w:hAnsi="仿宋_GB2312" w:eastAsia="仿宋_GB2312" w:cs="仿宋_GB2312"/>
          <w:color w:val="000000"/>
          <w:kern w:val="0"/>
          <w:sz w:val="28"/>
          <w:szCs w:val="28"/>
          <w:highlight w:val="none"/>
          <w:lang w:bidi="ar"/>
        </w:rPr>
        <w:t>，大写：</w:t>
      </w:r>
      <w:r>
        <w:rPr>
          <w:rFonts w:hint="eastAsia" w:ascii="仿宋_GB2312" w:hAnsi="仿宋_GB2312" w:eastAsia="仿宋_GB2312" w:cs="仿宋_GB2312"/>
          <w:color w:val="000000"/>
          <w:kern w:val="0"/>
          <w:sz w:val="28"/>
          <w:szCs w:val="28"/>
          <w:highlight w:val="yellow"/>
          <w:lang w:bidi="ar"/>
        </w:rPr>
        <w:t>肆佰壹拾陆万肆仟伍佰元整</w:t>
      </w:r>
      <w:r>
        <w:rPr>
          <w:rFonts w:hint="eastAsia" w:ascii="仿宋_GB2312" w:hAnsi="仿宋_GB2312" w:eastAsia="仿宋_GB2312" w:cs="仿宋_GB2312"/>
          <w:color w:val="000000"/>
          <w:kern w:val="0"/>
          <w:sz w:val="28"/>
          <w:szCs w:val="28"/>
          <w:highlight w:val="none"/>
          <w:lang w:bidi="ar"/>
        </w:rPr>
        <w:t>】</w:t>
      </w:r>
    </w:p>
    <w:p w14:paraId="5B34B95F">
      <w:pPr>
        <w:widowControl/>
        <w:spacing w:line="560" w:lineRule="exact"/>
        <w:ind w:firstLine="600" w:firstLineChars="200"/>
        <w:jc w:val="left"/>
        <w:rPr>
          <w:rFonts w:hint="eastAsia" w:ascii="仿宋_GB2312" w:hAnsi="仿宋_GB2312" w:eastAsia="仿宋_GB2312" w:cs="仿宋_GB2312"/>
          <w:color w:val="000000"/>
          <w:kern w:val="0"/>
          <w:sz w:val="30"/>
          <w:szCs w:val="30"/>
          <w:highlight w:val="none"/>
          <w:lang w:bidi="ar"/>
        </w:rPr>
      </w:pPr>
      <w:r>
        <w:rPr>
          <w:rFonts w:hint="eastAsia" w:ascii="仿宋_GB2312" w:hAnsi="仿宋_GB2312" w:eastAsia="仿宋_GB2312" w:cs="仿宋_GB2312"/>
          <w:color w:val="000000"/>
          <w:kern w:val="0"/>
          <w:sz w:val="30"/>
          <w:szCs w:val="30"/>
          <w:highlight w:val="none"/>
          <w:lang w:bidi="ar"/>
        </w:rPr>
        <w:t>1.竞拍保证金为</w:t>
      </w:r>
      <w:r>
        <w:rPr>
          <w:rFonts w:hint="eastAsia" w:ascii="仿宋_GB2312" w:hAnsi="仿宋_GB2312" w:eastAsia="仿宋_GB2312" w:cs="仿宋_GB2312"/>
          <w:color w:val="000000"/>
          <w:kern w:val="0"/>
          <w:sz w:val="30"/>
          <w:szCs w:val="30"/>
          <w:highlight w:val="yellow"/>
          <w:lang w:eastAsia="zh-CN" w:bidi="ar"/>
        </w:rPr>
        <w:t>500,000.00</w:t>
      </w:r>
      <w:r>
        <w:rPr>
          <w:rFonts w:hint="eastAsia" w:ascii="仿宋_GB2312" w:hAnsi="仿宋_GB2312" w:eastAsia="仿宋_GB2312" w:cs="仿宋_GB2312"/>
          <w:color w:val="000000"/>
          <w:kern w:val="0"/>
          <w:sz w:val="30"/>
          <w:szCs w:val="30"/>
          <w:highlight w:val="none"/>
          <w:lang w:bidi="ar"/>
        </w:rPr>
        <w:t>元。拍卖竞价前，竞买人应在支付宝账户内缴足相应保证金，平台系统将在竞买人支付宝账户内锁定该应缴的保证金。</w:t>
      </w:r>
    </w:p>
    <w:p w14:paraId="10B853BF">
      <w:pPr>
        <w:widowControl/>
        <w:spacing w:line="560" w:lineRule="exact"/>
        <w:ind w:firstLine="600" w:firstLineChars="200"/>
        <w:jc w:val="left"/>
        <w:rPr>
          <w:rFonts w:hint="eastAsia" w:ascii="仿宋_GB2312" w:hAnsi="仿宋_GB2312" w:eastAsia="仿宋_GB2312" w:cs="仿宋_GB2312"/>
          <w:color w:val="000000"/>
          <w:kern w:val="0"/>
          <w:sz w:val="30"/>
          <w:szCs w:val="30"/>
          <w:highlight w:val="none"/>
          <w:lang w:bidi="ar"/>
        </w:rPr>
      </w:pPr>
      <w:r>
        <w:rPr>
          <w:rFonts w:hint="eastAsia" w:ascii="仿宋_GB2312" w:hAnsi="仿宋_GB2312" w:eastAsia="仿宋_GB2312" w:cs="仿宋_GB2312"/>
          <w:color w:val="000000"/>
          <w:kern w:val="0"/>
          <w:sz w:val="30"/>
          <w:szCs w:val="30"/>
          <w:highlight w:val="none"/>
          <w:lang w:bidi="ar"/>
        </w:rPr>
        <w:t>2.拍卖结束后，未能竞得者被锁定的保证金自动解锁，锁定期间不计利息。拍卖成交后，买受人交纳的保证金将在支付软件服务费以后的24小时以内自动转入管理人指定账户冲抵部分成交款。</w:t>
      </w:r>
    </w:p>
    <w:p w14:paraId="0A717EE3">
      <w:pPr>
        <w:widowControl/>
        <w:spacing w:line="560" w:lineRule="exact"/>
        <w:ind w:firstLine="600" w:firstLineChars="200"/>
        <w:rPr>
          <w:rFonts w:hint="eastAsia" w:ascii="仿宋_GB2312" w:hAnsi="仿宋_GB2312" w:eastAsia="仿宋_GB2312" w:cs="仿宋_GB2312"/>
          <w:b/>
          <w:bCs/>
          <w:sz w:val="30"/>
          <w:szCs w:val="30"/>
          <w:highlight w:val="none"/>
        </w:rPr>
      </w:pPr>
      <w:r>
        <w:rPr>
          <w:rFonts w:hint="eastAsia" w:ascii="仿宋_GB2312" w:hAnsi="仿宋_GB2312" w:eastAsia="仿宋_GB2312" w:cs="仿宋_GB2312"/>
          <w:color w:val="000000"/>
          <w:kern w:val="0"/>
          <w:sz w:val="30"/>
          <w:szCs w:val="30"/>
          <w:highlight w:val="none"/>
          <w:lang w:bidi="ar"/>
        </w:rPr>
        <w:t>3.拍卖成交后，出现竞买人悔拍、未按期全额支付拍卖款、未按期全额支付软件服务费等情形的，管理人有权决定本次拍卖无效并有权决定竞买人前期交纳的全部保证金不予退还，在扣除相应的软件服务费后，余款计入嘉峪关溥源置业有限责任公司财产。保证金数额不足以弥补拍卖费用损失以及重新拍卖价款低于原拍卖价款的差价的，管理人可向该竞买人追索。</w:t>
      </w:r>
    </w:p>
    <w:p w14:paraId="3F1D7C4B">
      <w:pPr>
        <w:adjustRightInd w:val="0"/>
        <w:snapToGrid w:val="0"/>
        <w:spacing w:line="560" w:lineRule="exact"/>
        <w:ind w:firstLine="602" w:firstLineChars="200"/>
        <w:rPr>
          <w:rFonts w:hint="eastAsia" w:ascii="仿宋_GB2312" w:hAnsi="仿宋_GB2312" w:eastAsia="仿宋_GB2312" w:cs="仿宋_GB2312"/>
          <w:b/>
          <w:bCs/>
          <w:sz w:val="30"/>
          <w:szCs w:val="30"/>
          <w:highlight w:val="none"/>
          <w:u w:val="single"/>
        </w:rPr>
      </w:pPr>
      <w:r>
        <w:rPr>
          <w:rFonts w:hint="eastAsia" w:ascii="仿宋_GB2312" w:hAnsi="仿宋_GB2312" w:eastAsia="仿宋_GB2312" w:cs="仿宋_GB2312"/>
          <w:b/>
          <w:bCs/>
          <w:sz w:val="30"/>
          <w:szCs w:val="30"/>
          <w:highlight w:val="none"/>
        </w:rPr>
        <w:t>三、现场踏勘的时间、地点</w:t>
      </w:r>
    </w:p>
    <w:p w14:paraId="69361B11">
      <w:pPr>
        <w:adjustRightInd w:val="0"/>
        <w:snapToGrid w:val="0"/>
        <w:spacing w:line="560" w:lineRule="exact"/>
        <w:ind w:firstLine="600" w:firstLineChars="200"/>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意向竞买人自公告之日起可实地进行标的的现场踏勘。联系人：高律师，联系电话：17793787114。集中踏勘时间</w:t>
      </w:r>
      <w:r>
        <w:rPr>
          <w:rFonts w:hint="eastAsia" w:ascii="仿宋_GB2312" w:hAnsi="仿宋_GB2312" w:eastAsia="仿宋_GB2312" w:cs="仿宋_GB2312"/>
          <w:sz w:val="30"/>
          <w:szCs w:val="30"/>
          <w:highlight w:val="yellow"/>
        </w:rPr>
        <w:t>2025年</w:t>
      </w:r>
      <w:r>
        <w:rPr>
          <w:rFonts w:hint="eastAsia" w:ascii="仿宋_GB2312" w:hAnsi="仿宋_GB2312" w:eastAsia="仿宋_GB2312" w:cs="仿宋_GB2312"/>
          <w:sz w:val="30"/>
          <w:szCs w:val="30"/>
          <w:highlight w:val="yellow"/>
          <w:lang w:val="en-US" w:eastAsia="zh-CN"/>
        </w:rPr>
        <w:t>8</w:t>
      </w:r>
      <w:r>
        <w:rPr>
          <w:rFonts w:hint="eastAsia" w:ascii="仿宋_GB2312" w:hAnsi="仿宋_GB2312" w:eastAsia="仿宋_GB2312" w:cs="仿宋_GB2312"/>
          <w:sz w:val="30"/>
          <w:szCs w:val="30"/>
          <w:highlight w:val="yellow"/>
        </w:rPr>
        <w:t>月</w:t>
      </w:r>
      <w:r>
        <w:rPr>
          <w:rFonts w:hint="eastAsia" w:ascii="仿宋_GB2312" w:hAnsi="仿宋_GB2312" w:eastAsia="仿宋_GB2312" w:cs="仿宋_GB2312"/>
          <w:sz w:val="30"/>
          <w:szCs w:val="30"/>
          <w:highlight w:val="yellow"/>
          <w:lang w:val="en-US" w:eastAsia="zh-CN"/>
        </w:rPr>
        <w:t>19</w:t>
      </w:r>
      <w:r>
        <w:rPr>
          <w:rFonts w:hint="eastAsia" w:ascii="仿宋_GB2312" w:hAnsi="仿宋_GB2312" w:eastAsia="仿宋_GB2312" w:cs="仿宋_GB2312"/>
          <w:sz w:val="30"/>
          <w:szCs w:val="30"/>
          <w:highlight w:val="yellow"/>
        </w:rPr>
        <w:t>日—</w:t>
      </w:r>
      <w:r>
        <w:rPr>
          <w:rFonts w:hint="eastAsia" w:ascii="仿宋_GB2312" w:hAnsi="仿宋_GB2312" w:eastAsia="仿宋_GB2312" w:cs="仿宋_GB2312"/>
          <w:sz w:val="30"/>
          <w:szCs w:val="30"/>
          <w:highlight w:val="yellow"/>
          <w:lang w:val="en-US" w:eastAsia="zh-CN"/>
        </w:rPr>
        <w:t>8</w:t>
      </w:r>
      <w:r>
        <w:rPr>
          <w:rFonts w:hint="eastAsia" w:ascii="仿宋_GB2312" w:hAnsi="仿宋_GB2312" w:eastAsia="仿宋_GB2312" w:cs="仿宋_GB2312"/>
          <w:sz w:val="30"/>
          <w:szCs w:val="30"/>
          <w:highlight w:val="yellow"/>
        </w:rPr>
        <w:t>月</w:t>
      </w:r>
      <w:r>
        <w:rPr>
          <w:rFonts w:hint="eastAsia" w:ascii="仿宋_GB2312" w:hAnsi="仿宋_GB2312" w:eastAsia="仿宋_GB2312" w:cs="仿宋_GB2312"/>
          <w:sz w:val="30"/>
          <w:szCs w:val="30"/>
          <w:highlight w:val="yellow"/>
          <w:lang w:val="en-US" w:eastAsia="zh-CN"/>
        </w:rPr>
        <w:t>20</w:t>
      </w:r>
      <w:r>
        <w:rPr>
          <w:rFonts w:hint="eastAsia" w:ascii="仿宋_GB2312" w:hAnsi="仿宋_GB2312" w:eastAsia="仿宋_GB2312" w:cs="仿宋_GB2312"/>
          <w:sz w:val="30"/>
          <w:szCs w:val="30"/>
          <w:highlight w:val="yellow"/>
        </w:rPr>
        <w:t>日9：00-17：00</w:t>
      </w:r>
      <w:r>
        <w:rPr>
          <w:rFonts w:hint="eastAsia" w:ascii="仿宋_GB2312" w:hAnsi="仿宋_GB2312" w:eastAsia="仿宋_GB2312" w:cs="仿宋_GB2312"/>
          <w:sz w:val="30"/>
          <w:szCs w:val="30"/>
          <w:highlight w:val="none"/>
        </w:rPr>
        <w:t>，其他时间现场查勘请提前预约。</w:t>
      </w:r>
    </w:p>
    <w:p w14:paraId="5BB94280">
      <w:pPr>
        <w:adjustRightInd w:val="0"/>
        <w:snapToGrid w:val="0"/>
        <w:spacing w:line="560" w:lineRule="exact"/>
        <w:ind w:firstLine="602" w:firstLineChars="200"/>
        <w:rPr>
          <w:rFonts w:hint="eastAsia" w:ascii="仿宋_GB2312" w:hAnsi="仿宋_GB2312" w:eastAsia="仿宋_GB2312" w:cs="仿宋_GB2312"/>
          <w:b/>
          <w:bCs/>
          <w:sz w:val="30"/>
          <w:szCs w:val="30"/>
          <w:highlight w:val="none"/>
        </w:rPr>
      </w:pPr>
      <w:r>
        <w:rPr>
          <w:rFonts w:hint="eastAsia" w:ascii="仿宋_GB2312" w:hAnsi="仿宋_GB2312" w:eastAsia="仿宋_GB2312" w:cs="仿宋_GB2312"/>
          <w:b/>
          <w:bCs/>
          <w:sz w:val="30"/>
          <w:szCs w:val="30"/>
          <w:highlight w:val="none"/>
        </w:rPr>
        <w:t>四、拍卖方式</w:t>
      </w:r>
    </w:p>
    <w:p w14:paraId="6D3914D8">
      <w:pPr>
        <w:adjustRightInd w:val="0"/>
        <w:snapToGrid w:val="0"/>
        <w:spacing w:line="560" w:lineRule="exact"/>
        <w:ind w:firstLine="600" w:firstLineChars="200"/>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本次拍卖采取设有保留价的增价拍卖方式，保留价等于起拍价，至少一人报名且出价不低于起拍价，方可成交。</w:t>
      </w:r>
    </w:p>
    <w:p w14:paraId="41E19556">
      <w:pPr>
        <w:adjustRightInd w:val="0"/>
        <w:snapToGrid w:val="0"/>
        <w:spacing w:line="560" w:lineRule="exact"/>
        <w:ind w:firstLine="602" w:firstLineChars="200"/>
        <w:rPr>
          <w:rFonts w:hint="eastAsia" w:ascii="仿宋_GB2312" w:hAnsi="仿宋_GB2312" w:eastAsia="仿宋_GB2312" w:cs="仿宋_GB2312"/>
          <w:b/>
          <w:bCs/>
          <w:sz w:val="30"/>
          <w:szCs w:val="30"/>
          <w:highlight w:val="none"/>
        </w:rPr>
      </w:pPr>
      <w:r>
        <w:rPr>
          <w:rFonts w:hint="eastAsia" w:ascii="仿宋_GB2312" w:hAnsi="仿宋_GB2312" w:eastAsia="仿宋_GB2312" w:cs="仿宋_GB2312"/>
          <w:b/>
          <w:bCs/>
          <w:sz w:val="30"/>
          <w:szCs w:val="30"/>
          <w:highlight w:val="none"/>
        </w:rPr>
        <w:t>五、竞买人条件</w:t>
      </w:r>
    </w:p>
    <w:p w14:paraId="062AC941">
      <w:pPr>
        <w:adjustRightInd w:val="0"/>
        <w:snapToGrid w:val="0"/>
        <w:spacing w:line="560" w:lineRule="exact"/>
        <w:ind w:firstLine="600" w:firstLineChars="200"/>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竞买人应为具备完全民事行为能力的自然人、法人和其他组织，法律、行政法规、司法解释、政府相关政策对买受人资格或者条件有特殊规定的，竞买人应当具备规定的资格或者条件。因不符合条件参加竞买的，由竞买人自行承担相应的法律责任，竞买人应了解相关政策后慎重决定是否购买，管理人对此不负责任。</w:t>
      </w:r>
    </w:p>
    <w:p w14:paraId="32778141">
      <w:pPr>
        <w:adjustRightInd w:val="0"/>
        <w:snapToGrid w:val="0"/>
        <w:spacing w:line="560" w:lineRule="exact"/>
        <w:ind w:firstLine="602" w:firstLineChars="200"/>
        <w:rPr>
          <w:rFonts w:hint="eastAsia" w:ascii="仿宋_GB2312" w:hAnsi="仿宋_GB2312" w:eastAsia="仿宋_GB2312" w:cs="仿宋_GB2312"/>
          <w:b/>
          <w:bCs/>
          <w:sz w:val="30"/>
          <w:szCs w:val="30"/>
          <w:highlight w:val="none"/>
        </w:rPr>
      </w:pPr>
      <w:r>
        <w:rPr>
          <w:rFonts w:hint="eastAsia" w:ascii="仿宋_GB2312" w:hAnsi="仿宋_GB2312" w:eastAsia="仿宋_GB2312" w:cs="仿宋_GB2312"/>
          <w:b/>
          <w:bCs/>
          <w:sz w:val="30"/>
          <w:szCs w:val="30"/>
          <w:highlight w:val="none"/>
        </w:rPr>
        <w:t>六、优先购买权人</w:t>
      </w:r>
    </w:p>
    <w:p w14:paraId="2DA66EC2">
      <w:pPr>
        <w:adjustRightInd w:val="0"/>
        <w:snapToGrid w:val="0"/>
        <w:spacing w:line="560" w:lineRule="exact"/>
        <w:ind w:firstLine="600" w:firstLineChars="200"/>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1.拍卖标的物暂无核准的优先购买权人。</w:t>
      </w:r>
    </w:p>
    <w:p w14:paraId="64F3E1A4">
      <w:pPr>
        <w:adjustRightInd w:val="0"/>
        <w:snapToGrid w:val="0"/>
        <w:spacing w:line="560" w:lineRule="exact"/>
        <w:ind w:firstLine="600" w:firstLineChars="200"/>
        <w:rPr>
          <w:rFonts w:hint="eastAsia" w:ascii="仿宋_GB2312" w:hAnsi="仿宋_GB2312" w:eastAsia="仿宋_GB2312" w:cs="仿宋_GB2312"/>
          <w:b/>
          <w:bCs/>
          <w:sz w:val="30"/>
          <w:szCs w:val="30"/>
          <w:highlight w:val="none"/>
        </w:rPr>
      </w:pPr>
      <w:r>
        <w:rPr>
          <w:rFonts w:hint="eastAsia" w:ascii="仿宋_GB2312" w:hAnsi="仿宋_GB2312" w:eastAsia="仿宋_GB2312" w:cs="仿宋_GB2312"/>
          <w:sz w:val="30"/>
          <w:szCs w:val="30"/>
          <w:highlight w:val="none"/>
        </w:rPr>
        <w:t>2.如有其他优先购买权人参加竞买的，应于开拍前5个工作日前向管理人提交合法有效的证明，由管理人审查确认。逾期未提交的，视为放弃对拍卖标的物享有优先购买权。</w:t>
      </w:r>
    </w:p>
    <w:p w14:paraId="7B243042">
      <w:pPr>
        <w:adjustRightInd w:val="0"/>
        <w:snapToGrid w:val="0"/>
        <w:spacing w:line="560" w:lineRule="exact"/>
        <w:ind w:firstLine="602" w:firstLineChars="200"/>
        <w:rPr>
          <w:rFonts w:hint="eastAsia" w:ascii="仿宋_GB2312" w:hAnsi="仿宋_GB2312" w:eastAsia="仿宋_GB2312" w:cs="仿宋_GB2312"/>
          <w:b/>
          <w:bCs/>
          <w:sz w:val="30"/>
          <w:szCs w:val="30"/>
          <w:highlight w:val="none"/>
        </w:rPr>
      </w:pPr>
      <w:r>
        <w:rPr>
          <w:rFonts w:hint="eastAsia" w:ascii="仿宋_GB2312" w:hAnsi="仿宋_GB2312" w:eastAsia="仿宋_GB2312" w:cs="仿宋_GB2312"/>
          <w:b/>
          <w:bCs/>
          <w:sz w:val="30"/>
          <w:szCs w:val="30"/>
          <w:highlight w:val="none"/>
        </w:rPr>
        <w:t>七、保证金及成交款项缴纳</w:t>
      </w:r>
    </w:p>
    <w:p w14:paraId="365C5275">
      <w:pPr>
        <w:adjustRightInd w:val="0"/>
        <w:snapToGrid w:val="0"/>
        <w:spacing w:line="560" w:lineRule="exact"/>
        <w:ind w:firstLine="600" w:firstLineChars="200"/>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1.竞买人在对拍卖标的物第一次确认出价竞拍前，应按网拍系统提示报名并一次性缴纳保证金。拍卖成交的，竞得者缴纳的保证金转入管理人指定账户，同时，竞得者还须在拍卖成交之日起30日内将拍卖成交尾款（拍卖成交价扣除保证金后的余款）汇入管理人指定账户，</w:t>
      </w:r>
      <w:r>
        <w:rPr>
          <w:rFonts w:hint="eastAsia" w:ascii="仿宋" w:hAnsi="仿宋" w:eastAsia="仿宋" w:cs="仿宋_GB2312"/>
          <w:sz w:val="30"/>
          <w:szCs w:val="30"/>
          <w:highlight w:val="none"/>
        </w:rPr>
        <w:t>户名：嘉峪关溥源置业有限责任公司管理人，账号：</w:t>
      </w:r>
      <w:r>
        <w:rPr>
          <w:rFonts w:hint="eastAsia" w:ascii="仿宋" w:hAnsi="仿宋" w:eastAsia="仿宋" w:cs="仿宋"/>
          <w:sz w:val="30"/>
          <w:szCs w:val="30"/>
          <w:highlight w:val="none"/>
        </w:rPr>
        <w:t>101722001181236</w:t>
      </w:r>
      <w:r>
        <w:rPr>
          <w:rFonts w:hint="eastAsia" w:ascii="仿宋" w:hAnsi="仿宋" w:eastAsia="仿宋" w:cs="仿宋_GB2312"/>
          <w:sz w:val="30"/>
          <w:szCs w:val="30"/>
          <w:highlight w:val="none"/>
        </w:rPr>
        <w:t>，开户行：</w:t>
      </w:r>
      <w:r>
        <w:rPr>
          <w:rFonts w:hint="eastAsia" w:ascii="仿宋" w:hAnsi="仿宋" w:eastAsia="仿宋" w:cs="仿宋"/>
          <w:sz w:val="30"/>
          <w:szCs w:val="30"/>
          <w:highlight w:val="none"/>
        </w:rPr>
        <w:t>兰州银行开发区支行营业部</w:t>
      </w:r>
      <w:r>
        <w:rPr>
          <w:rFonts w:hint="eastAsia" w:ascii="仿宋_GB2312" w:hAnsi="仿宋_GB2312" w:eastAsia="仿宋_GB2312" w:cs="仿宋_GB2312"/>
          <w:sz w:val="30"/>
          <w:szCs w:val="30"/>
          <w:highlight w:val="none"/>
        </w:rPr>
        <w:t>。（汇款时请注明拍卖尾款）</w:t>
      </w:r>
    </w:p>
    <w:p w14:paraId="0ED41D5C">
      <w:pPr>
        <w:adjustRightInd w:val="0"/>
        <w:snapToGrid w:val="0"/>
        <w:spacing w:line="560" w:lineRule="exact"/>
        <w:ind w:firstLine="600" w:firstLineChars="200"/>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2.拍卖未成交的，竞买人缴纳的保证金在竞价结束后3—5个工作日内退回，不计利息。</w:t>
      </w:r>
    </w:p>
    <w:p w14:paraId="7A771781">
      <w:pPr>
        <w:adjustRightInd w:val="0"/>
        <w:snapToGrid w:val="0"/>
        <w:spacing w:line="560" w:lineRule="exact"/>
        <w:ind w:firstLine="600" w:firstLineChars="200"/>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3.拍卖成交后竞得者悔拍或逾期支付拍卖款的，缴纳的保证金不予退还，且管理人可以重新拍卖。重新拍卖时，原竞得者不得参加竞买。</w:t>
      </w:r>
    </w:p>
    <w:p w14:paraId="45CD9BD6">
      <w:pPr>
        <w:adjustRightInd w:val="0"/>
        <w:snapToGrid w:val="0"/>
        <w:spacing w:line="560" w:lineRule="exact"/>
        <w:ind w:firstLine="602" w:firstLineChars="200"/>
        <w:rPr>
          <w:rFonts w:hint="eastAsia" w:ascii="仿宋_GB2312" w:hAnsi="仿宋_GB2312" w:eastAsia="仿宋_GB2312" w:cs="仿宋_GB2312"/>
          <w:b/>
          <w:bCs/>
          <w:sz w:val="30"/>
          <w:szCs w:val="30"/>
          <w:highlight w:val="none"/>
        </w:rPr>
      </w:pPr>
      <w:r>
        <w:rPr>
          <w:rFonts w:hint="eastAsia" w:ascii="仿宋_GB2312" w:hAnsi="仿宋_GB2312" w:eastAsia="仿宋_GB2312" w:cs="仿宋_GB2312"/>
          <w:b/>
          <w:bCs/>
          <w:sz w:val="30"/>
          <w:szCs w:val="30"/>
          <w:highlight w:val="none"/>
        </w:rPr>
        <w:t>八、尾款支付说明</w:t>
      </w:r>
    </w:p>
    <w:p w14:paraId="7BE030D6">
      <w:pPr>
        <w:adjustRightInd w:val="0"/>
        <w:snapToGrid w:val="0"/>
        <w:spacing w:line="560" w:lineRule="exact"/>
        <w:ind w:firstLine="600" w:firstLineChars="200"/>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1.拍卖竞价前淘宝系统将锁定竞买人支付宝账户内的资金作为应缴的保证金，拍卖结束后未能竞得者锁定的保证金自动释放，锁定期间不计利息。本标的物竞得者（又称“买受人”）原锁定的保证金自动转入本公告指定账户，拍卖余款由竞得者应在竞拍成功后30日内全额支付成交价款（保证金可冲抵部分成交价款）。</w:t>
      </w:r>
    </w:p>
    <w:p w14:paraId="62BE889C">
      <w:pPr>
        <w:adjustRightInd w:val="0"/>
        <w:snapToGrid w:val="0"/>
        <w:spacing w:line="560" w:lineRule="exact"/>
        <w:ind w:firstLine="600" w:firstLineChars="200"/>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2.除保证金及软件服务费通过阿里平台支付外，其他款项均直接付款至指定账户。</w:t>
      </w:r>
    </w:p>
    <w:p w14:paraId="428BC713">
      <w:pPr>
        <w:adjustRightInd w:val="0"/>
        <w:snapToGrid w:val="0"/>
        <w:spacing w:line="560" w:lineRule="exact"/>
        <w:ind w:left="596" w:leftChars="284"/>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3.线上支付截止时间：以竞买拍卖公告中的截止时间为准。4.尾款支付方式：通过淘宝订单支付。</w:t>
      </w:r>
    </w:p>
    <w:p w14:paraId="07610E28">
      <w:pPr>
        <w:adjustRightInd w:val="0"/>
        <w:snapToGrid w:val="0"/>
        <w:spacing w:line="560" w:lineRule="exact"/>
        <w:ind w:firstLine="600" w:firstLineChars="200"/>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5.收款账号信息：通过淘宝订单支付会自动转入以下账号，可实时查看钱款去向。</w:t>
      </w:r>
    </w:p>
    <w:tbl>
      <w:tblPr>
        <w:tblStyle w:val="12"/>
        <w:tblW w:w="88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16"/>
        <w:gridCol w:w="2140"/>
        <w:gridCol w:w="3198"/>
      </w:tblGrid>
      <w:tr w14:paraId="3EF326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3516" w:type="dxa"/>
            <w:shd w:val="clear" w:color="auto" w:fill="D7D7D7" w:themeFill="background1" w:themeFillShade="D8"/>
          </w:tcPr>
          <w:p w14:paraId="3168B760">
            <w:pPr>
              <w:spacing w:line="560" w:lineRule="exact"/>
              <w:ind w:firstLine="420"/>
              <w:jc w:val="center"/>
              <w:rPr>
                <w:rFonts w:hint="eastAsia" w:ascii="仿宋" w:hAnsi="仿宋" w:eastAsia="仿宋" w:cs="仿宋"/>
                <w:szCs w:val="21"/>
                <w:highlight w:val="none"/>
              </w:rPr>
            </w:pPr>
            <w:r>
              <w:rPr>
                <w:rFonts w:hint="eastAsia" w:ascii="仿宋" w:hAnsi="仿宋" w:eastAsia="仿宋" w:cs="仿宋"/>
                <w:szCs w:val="21"/>
                <w:highlight w:val="none"/>
              </w:rPr>
              <w:t>户名</w:t>
            </w:r>
          </w:p>
        </w:tc>
        <w:tc>
          <w:tcPr>
            <w:tcW w:w="2140" w:type="dxa"/>
            <w:shd w:val="clear" w:color="auto" w:fill="D7D7D7" w:themeFill="background1" w:themeFillShade="D8"/>
          </w:tcPr>
          <w:p w14:paraId="194FA31D">
            <w:pPr>
              <w:spacing w:line="560" w:lineRule="exact"/>
              <w:ind w:firstLine="420"/>
              <w:jc w:val="center"/>
              <w:rPr>
                <w:rFonts w:hint="eastAsia" w:ascii="仿宋" w:hAnsi="仿宋" w:eastAsia="仿宋" w:cs="仿宋"/>
                <w:szCs w:val="21"/>
                <w:highlight w:val="none"/>
              </w:rPr>
            </w:pPr>
            <w:r>
              <w:rPr>
                <w:rFonts w:hint="eastAsia" w:ascii="仿宋" w:hAnsi="仿宋" w:eastAsia="仿宋" w:cs="仿宋"/>
                <w:szCs w:val="21"/>
                <w:highlight w:val="none"/>
              </w:rPr>
              <w:t>账号</w:t>
            </w:r>
          </w:p>
        </w:tc>
        <w:tc>
          <w:tcPr>
            <w:tcW w:w="3198" w:type="dxa"/>
            <w:shd w:val="clear" w:color="auto" w:fill="D7D7D7" w:themeFill="background1" w:themeFillShade="D8"/>
          </w:tcPr>
          <w:p w14:paraId="1F313CB8">
            <w:pPr>
              <w:spacing w:line="560" w:lineRule="exact"/>
              <w:ind w:firstLine="420"/>
              <w:jc w:val="center"/>
              <w:rPr>
                <w:rFonts w:hint="eastAsia" w:ascii="仿宋" w:hAnsi="仿宋" w:eastAsia="仿宋" w:cs="仿宋"/>
                <w:szCs w:val="21"/>
                <w:highlight w:val="none"/>
              </w:rPr>
            </w:pPr>
            <w:r>
              <w:rPr>
                <w:rFonts w:hint="eastAsia" w:ascii="仿宋" w:hAnsi="仿宋" w:eastAsia="仿宋" w:cs="仿宋"/>
                <w:szCs w:val="21"/>
                <w:highlight w:val="none"/>
              </w:rPr>
              <w:t>开户行</w:t>
            </w:r>
          </w:p>
        </w:tc>
      </w:tr>
      <w:tr w14:paraId="78A93E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jc w:val="center"/>
        </w:trPr>
        <w:tc>
          <w:tcPr>
            <w:tcW w:w="3516" w:type="dxa"/>
          </w:tcPr>
          <w:p w14:paraId="111DA26B">
            <w:pPr>
              <w:spacing w:line="560" w:lineRule="exact"/>
              <w:ind w:firstLine="420"/>
              <w:jc w:val="center"/>
              <w:rPr>
                <w:rFonts w:hint="eastAsia" w:ascii="仿宋" w:hAnsi="仿宋" w:eastAsia="仿宋" w:cs="仿宋"/>
                <w:szCs w:val="21"/>
                <w:highlight w:val="none"/>
              </w:rPr>
            </w:pPr>
            <w:r>
              <w:rPr>
                <w:rFonts w:hint="eastAsia" w:ascii="仿宋" w:hAnsi="仿宋" w:eastAsia="仿宋" w:cs="仿宋"/>
                <w:szCs w:val="21"/>
                <w:highlight w:val="none"/>
              </w:rPr>
              <w:t>嘉峪关溥源置业有限责任公司</w:t>
            </w:r>
            <w:r>
              <w:rPr>
                <w:rFonts w:ascii="仿宋" w:hAnsi="仿宋" w:eastAsia="仿宋" w:cs="仿宋"/>
                <w:szCs w:val="21"/>
                <w:highlight w:val="none"/>
              </w:rPr>
              <w:t>管理人</w:t>
            </w:r>
          </w:p>
        </w:tc>
        <w:tc>
          <w:tcPr>
            <w:tcW w:w="2140" w:type="dxa"/>
          </w:tcPr>
          <w:p w14:paraId="38EC91A1">
            <w:pPr>
              <w:spacing w:line="560" w:lineRule="exact"/>
              <w:rPr>
                <w:rFonts w:hint="eastAsia" w:ascii="仿宋" w:hAnsi="仿宋" w:eastAsia="仿宋" w:cs="仿宋"/>
                <w:szCs w:val="21"/>
                <w:highlight w:val="none"/>
              </w:rPr>
            </w:pPr>
            <w:r>
              <w:rPr>
                <w:rFonts w:hint="eastAsia" w:ascii="仿宋" w:hAnsi="仿宋" w:eastAsia="仿宋" w:cs="仿宋"/>
                <w:szCs w:val="21"/>
                <w:highlight w:val="none"/>
              </w:rPr>
              <w:t>101722001181236</w:t>
            </w:r>
          </w:p>
        </w:tc>
        <w:tc>
          <w:tcPr>
            <w:tcW w:w="3198" w:type="dxa"/>
          </w:tcPr>
          <w:p w14:paraId="669B8E26">
            <w:pPr>
              <w:spacing w:line="560" w:lineRule="exact"/>
              <w:ind w:firstLine="420"/>
              <w:jc w:val="center"/>
              <w:rPr>
                <w:rFonts w:hint="eastAsia" w:ascii="仿宋" w:hAnsi="仿宋" w:eastAsia="仿宋" w:cs="仿宋"/>
                <w:szCs w:val="21"/>
                <w:highlight w:val="none"/>
              </w:rPr>
            </w:pPr>
            <w:r>
              <w:rPr>
                <w:rFonts w:hint="eastAsia" w:ascii="仿宋" w:hAnsi="仿宋" w:eastAsia="仿宋" w:cs="仿宋"/>
                <w:szCs w:val="21"/>
                <w:highlight w:val="none"/>
              </w:rPr>
              <w:t>兰州银行开发区支行营业部</w:t>
            </w:r>
          </w:p>
        </w:tc>
      </w:tr>
    </w:tbl>
    <w:tbl>
      <w:tblPr>
        <w:tblStyle w:val="12"/>
        <w:tblpPr w:leftFromText="180" w:rightFromText="180" w:vertAnchor="text" w:tblpX="10217" w:tblpY="-1022"/>
        <w:tblOverlap w:val="never"/>
        <w:tblW w:w="32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4"/>
      </w:tblGrid>
      <w:tr w14:paraId="7803DC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324" w:type="dxa"/>
          </w:tcPr>
          <w:p w14:paraId="0FD4F691">
            <w:pPr>
              <w:adjustRightInd w:val="0"/>
              <w:snapToGrid w:val="0"/>
              <w:spacing w:line="560" w:lineRule="exact"/>
              <w:ind w:firstLine="602"/>
              <w:rPr>
                <w:rFonts w:hint="eastAsia" w:ascii="仿宋" w:hAnsi="仿宋" w:eastAsia="仿宋" w:cs="仿宋"/>
                <w:b/>
                <w:bCs/>
                <w:sz w:val="30"/>
                <w:szCs w:val="30"/>
                <w:highlight w:val="none"/>
              </w:rPr>
            </w:pPr>
          </w:p>
        </w:tc>
      </w:tr>
    </w:tbl>
    <w:p w14:paraId="4722EA2A">
      <w:pPr>
        <w:adjustRightInd w:val="0"/>
        <w:snapToGrid w:val="0"/>
        <w:spacing w:line="560" w:lineRule="exact"/>
        <w:ind w:firstLine="602" w:firstLineChars="200"/>
        <w:rPr>
          <w:rFonts w:hint="eastAsia" w:ascii="仿宋_GB2312" w:hAnsi="仿宋_GB2312" w:eastAsia="仿宋_GB2312" w:cs="仿宋_GB2312"/>
          <w:b/>
          <w:bCs/>
          <w:sz w:val="30"/>
          <w:szCs w:val="30"/>
          <w:highlight w:val="none"/>
        </w:rPr>
      </w:pPr>
      <w:r>
        <w:rPr>
          <w:rFonts w:hint="eastAsia" w:ascii="仿宋_GB2312" w:hAnsi="仿宋_GB2312" w:eastAsia="仿宋_GB2312" w:cs="仿宋_GB2312"/>
          <w:b/>
          <w:bCs/>
          <w:sz w:val="30"/>
          <w:szCs w:val="30"/>
          <w:highlight w:val="none"/>
        </w:rPr>
        <w:t>九、标的物交付</w:t>
      </w:r>
    </w:p>
    <w:p w14:paraId="217E2719">
      <w:pPr>
        <w:adjustRightInd w:val="0"/>
        <w:snapToGrid w:val="0"/>
        <w:spacing w:line="560" w:lineRule="exact"/>
        <w:ind w:firstLine="600" w:firstLineChars="200"/>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1.买受人应于付清全部拍卖成交款后7日内（遇节假日顺延）凭付款凭证及相关身份材料到甘肃省嘉峪关市新华南路111号天诚广场1号写字楼1101室管理人办公室签署拍卖成交确认文件。</w:t>
      </w:r>
    </w:p>
    <w:p w14:paraId="7FAEBBC0">
      <w:pPr>
        <w:adjustRightInd w:val="0"/>
        <w:snapToGrid w:val="0"/>
        <w:spacing w:line="560" w:lineRule="exact"/>
        <w:ind w:firstLine="600" w:firstLineChars="200"/>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2.在交付手续办理后，标的物的全部责任和风险（包括但不限于看管维护标的物的责任，支付场地费、维修费、标的物损毁、灭失等）由买受人自行负责。</w:t>
      </w:r>
    </w:p>
    <w:p w14:paraId="6D65B480">
      <w:pPr>
        <w:adjustRightInd w:val="0"/>
        <w:snapToGrid w:val="0"/>
        <w:spacing w:line="560" w:lineRule="exact"/>
        <w:ind w:firstLine="600" w:firstLineChars="200"/>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3.买受人应在办理交付手续后及时履行看管维护标的物的责任，管理人提供必要协助。</w:t>
      </w:r>
    </w:p>
    <w:p w14:paraId="71CA8729">
      <w:pPr>
        <w:adjustRightInd w:val="0"/>
        <w:snapToGrid w:val="0"/>
        <w:spacing w:line="560" w:lineRule="exact"/>
        <w:ind w:firstLine="600" w:firstLineChars="200"/>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4.如本次拍卖标的物由于不确定因素或自然灾害等不可抗力或管理人未能掌握的情形等原因致使拍卖标的物不能如期交割的，管理人概不承担相关责任。</w:t>
      </w:r>
    </w:p>
    <w:p w14:paraId="01B0290F">
      <w:pPr>
        <w:adjustRightInd w:val="0"/>
        <w:snapToGrid w:val="0"/>
        <w:spacing w:line="560" w:lineRule="exact"/>
        <w:ind w:firstLine="602" w:firstLineChars="200"/>
        <w:rPr>
          <w:rFonts w:hint="eastAsia" w:ascii="仿宋_GB2312" w:hAnsi="仿宋_GB2312" w:eastAsia="仿宋_GB2312" w:cs="仿宋_GB2312"/>
          <w:b/>
          <w:bCs/>
          <w:sz w:val="30"/>
          <w:szCs w:val="30"/>
          <w:highlight w:val="none"/>
        </w:rPr>
      </w:pPr>
      <w:r>
        <w:rPr>
          <w:rFonts w:hint="eastAsia" w:ascii="仿宋_GB2312" w:hAnsi="仿宋_GB2312" w:eastAsia="仿宋_GB2312" w:cs="仿宋_GB2312"/>
          <w:b/>
          <w:bCs/>
          <w:sz w:val="30"/>
          <w:szCs w:val="30"/>
          <w:highlight w:val="none"/>
        </w:rPr>
        <w:t>十、风险提示</w:t>
      </w:r>
    </w:p>
    <w:p w14:paraId="5E23CCFC">
      <w:pPr>
        <w:adjustRightInd w:val="0"/>
        <w:snapToGrid w:val="0"/>
        <w:spacing w:line="560" w:lineRule="exact"/>
        <w:ind w:firstLine="602" w:firstLineChars="200"/>
        <w:rPr>
          <w:rFonts w:hint="eastAsia" w:ascii="仿宋_GB2312" w:hAnsi="仿宋_GB2312" w:eastAsia="仿宋_GB2312" w:cs="仿宋_GB2312"/>
          <w:b/>
          <w:bCs/>
          <w:sz w:val="30"/>
          <w:szCs w:val="30"/>
          <w:highlight w:val="none"/>
          <w:u w:val="single"/>
        </w:rPr>
      </w:pPr>
      <w:r>
        <w:rPr>
          <w:rFonts w:hint="eastAsia" w:ascii="仿宋_GB2312" w:hAnsi="仿宋_GB2312" w:eastAsia="仿宋_GB2312" w:cs="仿宋_GB2312"/>
          <w:b/>
          <w:bCs/>
          <w:sz w:val="30"/>
          <w:szCs w:val="30"/>
          <w:highlight w:val="none"/>
          <w:u w:val="single"/>
        </w:rPr>
        <w:t>1.郑重声明：本标的系管理人在人民法院指导监督下依法履行《中华人民共和国企业破产法》第二十五条第六项规定“管理和处分债务人的财产”职责。</w:t>
      </w:r>
    </w:p>
    <w:p w14:paraId="1E7BC3A8">
      <w:pPr>
        <w:adjustRightInd w:val="0"/>
        <w:snapToGrid w:val="0"/>
        <w:spacing w:line="560" w:lineRule="exact"/>
        <w:ind w:firstLine="602" w:firstLineChars="200"/>
        <w:rPr>
          <w:rFonts w:hint="eastAsia" w:ascii="仿宋_GB2312" w:hAnsi="仿宋_GB2312" w:eastAsia="仿宋_GB2312" w:cs="仿宋_GB2312"/>
          <w:b/>
          <w:bCs/>
          <w:sz w:val="30"/>
          <w:szCs w:val="30"/>
          <w:highlight w:val="none"/>
          <w:u w:val="single"/>
        </w:rPr>
      </w:pPr>
      <w:r>
        <w:rPr>
          <w:rFonts w:hint="eastAsia" w:ascii="仿宋_GB2312" w:hAnsi="仿宋_GB2312" w:eastAsia="仿宋_GB2312" w:cs="仿宋_GB2312"/>
          <w:b/>
          <w:bCs/>
          <w:sz w:val="30"/>
          <w:szCs w:val="30"/>
          <w:highlight w:val="none"/>
          <w:u w:val="single"/>
        </w:rPr>
        <w:t>2.竞买人需向有关部门详细了解拍卖标的过户的相关政策，过户风险自行承担。竞买人应具备当地购房资格，符合当地限购政策，否则由其自行承担不能过户等情形相应的法律后果。请竞买人自行前往当地有关部门了解是否符合竞买条件，因不符合条件参加竞买的，由竞买人自行承担相应的法律责任。</w:t>
      </w:r>
    </w:p>
    <w:p w14:paraId="0D0DC1ED">
      <w:pPr>
        <w:adjustRightInd w:val="0"/>
        <w:snapToGrid w:val="0"/>
        <w:spacing w:line="560" w:lineRule="exact"/>
        <w:ind w:firstLine="602" w:firstLineChars="200"/>
        <w:rPr>
          <w:rFonts w:hint="eastAsia" w:ascii="仿宋_GB2312" w:hAnsi="仿宋_GB2312" w:eastAsia="仿宋_GB2312" w:cs="仿宋_GB2312"/>
          <w:b/>
          <w:bCs/>
          <w:sz w:val="30"/>
          <w:szCs w:val="30"/>
          <w:highlight w:val="none"/>
          <w:u w:val="single"/>
        </w:rPr>
      </w:pPr>
      <w:r>
        <w:rPr>
          <w:rFonts w:hint="eastAsia" w:ascii="仿宋_GB2312" w:hAnsi="仿宋_GB2312" w:eastAsia="仿宋_GB2312" w:cs="仿宋_GB2312"/>
          <w:b/>
          <w:bCs/>
          <w:sz w:val="30"/>
          <w:szCs w:val="30"/>
          <w:highlight w:val="none"/>
          <w:u w:val="single"/>
        </w:rPr>
        <w:t>3.本次拍卖标的以现状拍卖，房产面积以产权证记载为准，如证载面积与实测面积不相符的以实测面积为准，管理人提供的数据仅供参考。管理人不承担拍卖标的物的瑕疵保证责任。除拍卖公告披露外，竞买人应对标的物的实际状况以及瑕疵（含显性、隐性瑕疵）等自行调查核实、承担风险。有意竞买者请亲自现场踏勘，未实地踏勘的竞买人视为对标的物现状的确认，责任自负。</w:t>
      </w:r>
    </w:p>
    <w:p w14:paraId="63D555EC">
      <w:pPr>
        <w:adjustRightInd w:val="0"/>
        <w:snapToGrid w:val="0"/>
        <w:spacing w:line="560" w:lineRule="exact"/>
        <w:ind w:firstLine="602" w:firstLineChars="200"/>
        <w:rPr>
          <w:rFonts w:hint="eastAsia" w:ascii="仿宋_GB2312" w:hAnsi="仿宋_GB2312" w:eastAsia="仿宋_GB2312" w:cs="仿宋_GB2312"/>
          <w:b/>
          <w:bCs/>
          <w:sz w:val="30"/>
          <w:szCs w:val="30"/>
          <w:highlight w:val="none"/>
          <w:u w:val="single"/>
        </w:rPr>
      </w:pPr>
      <w:r>
        <w:rPr>
          <w:rFonts w:hint="eastAsia" w:ascii="仿宋_GB2312" w:hAnsi="仿宋_GB2312" w:eastAsia="仿宋_GB2312" w:cs="仿宋_GB2312"/>
          <w:b/>
          <w:bCs/>
          <w:sz w:val="30"/>
          <w:szCs w:val="30"/>
          <w:highlight w:val="none"/>
          <w:u w:val="single"/>
        </w:rPr>
        <w:t>4.此次拍卖房产用途为商业服务，竞买人须自行了解标的存在的瑕疵、自行到相关部门详细了解过户政策及要求，因过户所涉及土地使用权类型、土地用途等权属性质变更的，竞买人须承担补缴土地出让金等相关费用以及存在的风险，买受人需自行承担责任。</w:t>
      </w:r>
    </w:p>
    <w:p w14:paraId="0A4E1AC0">
      <w:pPr>
        <w:adjustRightInd w:val="0"/>
        <w:snapToGrid w:val="0"/>
        <w:spacing w:line="560" w:lineRule="exact"/>
        <w:ind w:firstLine="602" w:firstLineChars="200"/>
        <w:rPr>
          <w:rFonts w:hint="eastAsia" w:ascii="仿宋_GB2312" w:hAnsi="仿宋_GB2312" w:eastAsia="仿宋_GB2312" w:cs="仿宋_GB2312"/>
          <w:b/>
          <w:bCs/>
          <w:sz w:val="30"/>
          <w:szCs w:val="30"/>
          <w:highlight w:val="none"/>
          <w:u w:val="single"/>
        </w:rPr>
      </w:pPr>
      <w:r>
        <w:rPr>
          <w:rFonts w:hint="eastAsia" w:ascii="仿宋_GB2312" w:hAnsi="仿宋_GB2312" w:eastAsia="仿宋_GB2312" w:cs="仿宋_GB2312"/>
          <w:b/>
          <w:bCs/>
          <w:sz w:val="30"/>
          <w:szCs w:val="30"/>
          <w:highlight w:val="none"/>
          <w:u w:val="single"/>
        </w:rPr>
        <w:t>5.拍卖成交后，网络拍卖所产生的软件服务费由买受人自行承担交纳。竞买保证金抵作成交价款，剩余成交款项需在30日内全部交清。</w:t>
      </w:r>
    </w:p>
    <w:p w14:paraId="7164ED52">
      <w:pPr>
        <w:adjustRightInd w:val="0"/>
        <w:snapToGrid w:val="0"/>
        <w:spacing w:line="560" w:lineRule="exact"/>
        <w:ind w:firstLine="602" w:firstLineChars="200"/>
        <w:rPr>
          <w:rFonts w:hint="eastAsia" w:ascii="仿宋_GB2312" w:hAnsi="仿宋_GB2312" w:eastAsia="仿宋_GB2312" w:cs="仿宋_GB2312"/>
          <w:b/>
          <w:bCs/>
          <w:sz w:val="30"/>
          <w:szCs w:val="30"/>
          <w:highlight w:val="none"/>
          <w:u w:val="single"/>
        </w:rPr>
      </w:pPr>
      <w:r>
        <w:rPr>
          <w:rFonts w:hint="eastAsia" w:ascii="仿宋_GB2312" w:hAnsi="仿宋_GB2312" w:eastAsia="仿宋_GB2312" w:cs="仿宋_GB2312"/>
          <w:b/>
          <w:bCs/>
          <w:sz w:val="30"/>
          <w:szCs w:val="30"/>
          <w:highlight w:val="none"/>
          <w:u w:val="single"/>
        </w:rPr>
        <w:t>6.买受人在付清全部成交价款和软件服务费后，由管理人负责交付标的，若买受人不按约定及时交接标的，自约定交付之日起即买受人对标的承担风险责任。买受人在未结清全部应付款项前，无权要求管理人移交标的。</w:t>
      </w:r>
    </w:p>
    <w:p w14:paraId="47F15E1F">
      <w:pPr>
        <w:adjustRightInd w:val="0"/>
        <w:snapToGrid w:val="0"/>
        <w:spacing w:line="560" w:lineRule="exact"/>
        <w:ind w:firstLine="602" w:firstLineChars="200"/>
        <w:rPr>
          <w:rFonts w:hint="eastAsia" w:ascii="仿宋_GB2312" w:hAnsi="仿宋_GB2312" w:eastAsia="仿宋_GB2312" w:cs="仿宋_GB2312"/>
          <w:b/>
          <w:bCs/>
          <w:sz w:val="30"/>
          <w:szCs w:val="30"/>
          <w:highlight w:val="none"/>
          <w:u w:val="single"/>
        </w:rPr>
      </w:pPr>
      <w:r>
        <w:rPr>
          <w:rFonts w:hint="eastAsia" w:ascii="仿宋_GB2312" w:hAnsi="仿宋_GB2312" w:eastAsia="仿宋_GB2312" w:cs="仿宋_GB2312"/>
          <w:b/>
          <w:bCs/>
          <w:sz w:val="30"/>
          <w:szCs w:val="30"/>
          <w:highlight w:val="none"/>
          <w:u w:val="single"/>
        </w:rPr>
        <w:t>7.拍卖成交后，管理人协助买受人办理拍卖标的产权过户，买受人须自行承担因房产过户所产生的费用及风险，办理过程中所涉及的买卖双方所需承担的一切税、费和所需补缴的相关税、费（包括但不限于所得税、营业税、土地增值税、契税、过户手续费、印花税、权证费、水利基金费、出让金以及房产及土地交易中规定缴纳的各种费用）依照税法等相关法律法规及政策的规定由双方各自承担，具体请竞买人于开拍前至相关单位自行查询。因产权人嘉峪关溥源置业有限责任公司处于破产重整计划执行阶段，如嘉峪关溥源置业有限责任公司无资金缴纳过户税费的，应由买受人或资产接受人先行垫付转让方承担的过户税费，或者应依照税务机关和不动产登记部门的要求办理。</w:t>
      </w:r>
    </w:p>
    <w:p w14:paraId="11B4A481">
      <w:pPr>
        <w:adjustRightInd w:val="0"/>
        <w:snapToGrid w:val="0"/>
        <w:spacing w:line="560" w:lineRule="exact"/>
        <w:ind w:firstLine="602" w:firstLineChars="200"/>
        <w:rPr>
          <w:rFonts w:hint="eastAsia" w:ascii="仿宋_GB2312" w:hAnsi="仿宋_GB2312" w:eastAsia="仿宋_GB2312" w:cs="仿宋_GB2312"/>
          <w:b/>
          <w:bCs/>
          <w:sz w:val="30"/>
          <w:szCs w:val="30"/>
          <w:highlight w:val="none"/>
          <w:u w:val="single"/>
        </w:rPr>
      </w:pPr>
      <w:r>
        <w:rPr>
          <w:rFonts w:hint="eastAsia" w:ascii="仿宋_GB2312" w:hAnsi="仿宋_GB2312" w:eastAsia="仿宋_GB2312" w:cs="仿宋_GB2312"/>
          <w:b/>
          <w:bCs/>
          <w:sz w:val="30"/>
          <w:szCs w:val="30"/>
          <w:highlight w:val="none"/>
          <w:u w:val="single"/>
        </w:rPr>
        <w:t>8.本次拍卖活动计价货币为人民币，拍卖时的拍卖价、成交价均不含买受人在拍卖标的物交割、过户时所发生的全部费用和税费。</w:t>
      </w:r>
    </w:p>
    <w:p w14:paraId="5A17A927">
      <w:pPr>
        <w:adjustRightInd w:val="0"/>
        <w:snapToGrid w:val="0"/>
        <w:spacing w:line="560" w:lineRule="exact"/>
        <w:ind w:firstLine="602" w:firstLineChars="200"/>
        <w:rPr>
          <w:rFonts w:hint="eastAsia" w:ascii="仿宋_GB2312" w:hAnsi="仿宋_GB2312" w:eastAsia="仿宋_GB2312" w:cs="仿宋_GB2312"/>
          <w:b/>
          <w:bCs/>
          <w:sz w:val="30"/>
          <w:szCs w:val="30"/>
          <w:highlight w:val="none"/>
          <w:u w:val="single"/>
        </w:rPr>
      </w:pPr>
      <w:r>
        <w:rPr>
          <w:rFonts w:hint="eastAsia" w:ascii="仿宋_GB2312" w:hAnsi="仿宋_GB2312" w:eastAsia="仿宋_GB2312" w:cs="仿宋_GB2312"/>
          <w:b/>
          <w:bCs/>
          <w:sz w:val="30"/>
          <w:szCs w:val="30"/>
          <w:highlight w:val="none"/>
          <w:u w:val="single"/>
        </w:rPr>
        <w:t>9.参加竞买的人应当遵守拍卖须知的规定，不得阻挠其他竞买人竞拍，不得操纵、垄断竞拍价格，严禁竞买人恶意串标，上述行为一经发现，将取消其竞买资格，并追究相关的法律责任。</w:t>
      </w:r>
    </w:p>
    <w:p w14:paraId="58C11129">
      <w:pPr>
        <w:adjustRightInd w:val="0"/>
        <w:snapToGrid w:val="0"/>
        <w:spacing w:line="560" w:lineRule="exact"/>
        <w:ind w:firstLine="602" w:firstLineChars="200"/>
        <w:rPr>
          <w:rFonts w:hint="eastAsia" w:ascii="仿宋_GB2312" w:hAnsi="仿宋_GB2312" w:eastAsia="仿宋_GB2312" w:cs="仿宋_GB2312"/>
          <w:b/>
          <w:bCs/>
          <w:sz w:val="30"/>
          <w:szCs w:val="30"/>
          <w:highlight w:val="none"/>
          <w:u w:val="single"/>
        </w:rPr>
      </w:pPr>
      <w:r>
        <w:rPr>
          <w:rFonts w:hint="eastAsia" w:ascii="仿宋_GB2312" w:hAnsi="仿宋_GB2312" w:eastAsia="仿宋_GB2312" w:cs="仿宋_GB2312"/>
          <w:b/>
          <w:bCs/>
          <w:sz w:val="30"/>
          <w:szCs w:val="30"/>
          <w:highlight w:val="none"/>
          <w:u w:val="single"/>
        </w:rPr>
        <w:t>10.最终竞得者不得以拍卖标的物相关信息与交付时拍卖标的物状况有差异，而主张对拍卖成交结果、拍卖成交确认书的效力的异议，亦不得以此作为申请撤销的理由。</w:t>
      </w:r>
    </w:p>
    <w:p w14:paraId="01BC437D">
      <w:pPr>
        <w:widowControl/>
        <w:spacing w:line="560" w:lineRule="exact"/>
        <w:ind w:firstLine="602" w:firstLineChars="200"/>
        <w:jc w:val="left"/>
        <w:rPr>
          <w:rFonts w:hint="eastAsia" w:ascii="仿宋_GB2312" w:hAnsi="仿宋_GB2312" w:eastAsia="仿宋_GB2312" w:cs="仿宋_GB2312"/>
          <w:b/>
          <w:bCs/>
          <w:sz w:val="30"/>
          <w:szCs w:val="30"/>
          <w:highlight w:val="none"/>
          <w:u w:val="single"/>
        </w:rPr>
      </w:pPr>
      <w:r>
        <w:rPr>
          <w:rFonts w:hint="eastAsia" w:ascii="仿宋_GB2312" w:hAnsi="仿宋_GB2312" w:eastAsia="仿宋_GB2312" w:cs="仿宋_GB2312"/>
          <w:b/>
          <w:bCs/>
          <w:sz w:val="30"/>
          <w:szCs w:val="30"/>
          <w:highlight w:val="none"/>
          <w:u w:val="single"/>
        </w:rPr>
        <w:t>11．管理人对本公告享有最终解释权。</w:t>
      </w:r>
    </w:p>
    <w:p w14:paraId="2E75D3F9">
      <w:pPr>
        <w:adjustRightInd w:val="0"/>
        <w:snapToGrid w:val="0"/>
        <w:spacing w:line="560" w:lineRule="exact"/>
        <w:ind w:firstLine="602" w:firstLineChars="200"/>
        <w:rPr>
          <w:rFonts w:hint="eastAsia" w:ascii="仿宋_GB2312" w:hAnsi="仿宋_GB2312" w:eastAsia="仿宋_GB2312" w:cs="仿宋_GB2312"/>
          <w:b/>
          <w:bCs/>
          <w:sz w:val="30"/>
          <w:szCs w:val="30"/>
          <w:highlight w:val="none"/>
        </w:rPr>
      </w:pPr>
      <w:r>
        <w:rPr>
          <w:rFonts w:hint="eastAsia" w:ascii="仿宋_GB2312" w:hAnsi="仿宋_GB2312" w:eastAsia="仿宋_GB2312" w:cs="仿宋_GB2312"/>
          <w:b/>
          <w:bCs/>
          <w:sz w:val="30"/>
          <w:szCs w:val="30"/>
          <w:highlight w:val="none"/>
        </w:rPr>
        <w:t>十一、软件服务费负担</w:t>
      </w:r>
    </w:p>
    <w:p w14:paraId="7951CED3">
      <w:pPr>
        <w:adjustRightInd w:val="0"/>
        <w:snapToGrid w:val="0"/>
        <w:spacing w:line="560" w:lineRule="exact"/>
        <w:ind w:firstLine="600" w:firstLineChars="200"/>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标的物竞买成交的，由买受人承担软件服务费，包括系统成交后发生竞拍不买等情形，但因拍卖平台原因导致的除外，详情请向拍卖平台咨询。</w:t>
      </w:r>
    </w:p>
    <w:p w14:paraId="52785D8D">
      <w:pPr>
        <w:adjustRightInd w:val="0"/>
        <w:snapToGrid w:val="0"/>
        <w:spacing w:line="560" w:lineRule="exact"/>
        <w:ind w:firstLine="600" w:firstLineChars="200"/>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本公告其他未尽事宜，请向管理人咨询。</w:t>
      </w:r>
    </w:p>
    <w:p w14:paraId="6EA9CF73">
      <w:pPr>
        <w:adjustRightInd w:val="0"/>
        <w:snapToGrid w:val="0"/>
        <w:spacing w:line="560" w:lineRule="exact"/>
        <w:ind w:firstLine="600" w:firstLineChars="200"/>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管理人咨询电话：高律师17793787114。</w:t>
      </w:r>
    </w:p>
    <w:p w14:paraId="038857D5">
      <w:pPr>
        <w:spacing w:line="560" w:lineRule="exact"/>
        <w:ind w:firstLine="600" w:firstLineChars="200"/>
        <w:jc w:val="left"/>
        <w:rPr>
          <w:rFonts w:hint="eastAsia" w:ascii="仿宋_GB2312" w:hAnsi="仿宋_GB2312" w:eastAsia="仿宋_GB2312" w:cs="仿宋_GB2312"/>
          <w:b/>
          <w:sz w:val="30"/>
          <w:szCs w:val="30"/>
          <w:highlight w:val="none"/>
        </w:rPr>
      </w:pPr>
      <w:r>
        <w:rPr>
          <w:rFonts w:hint="eastAsia" w:ascii="仿宋_GB2312" w:hAnsi="仿宋_GB2312" w:eastAsia="仿宋_GB2312" w:cs="仿宋_GB2312"/>
          <w:sz w:val="30"/>
          <w:szCs w:val="30"/>
          <w:highlight w:val="none"/>
        </w:rPr>
        <w:t>地址：甘肃省嘉峪关市新华南路111号天诚广场1号写字楼1101室管理人办公室。</w:t>
      </w:r>
    </w:p>
    <w:p w14:paraId="209E2CF8">
      <w:pPr>
        <w:adjustRightInd w:val="0"/>
        <w:snapToGrid w:val="0"/>
        <w:spacing w:line="560" w:lineRule="exact"/>
        <w:ind w:firstLine="602" w:firstLineChars="200"/>
        <w:rPr>
          <w:rFonts w:hint="eastAsia" w:ascii="仿宋_GB2312" w:hAnsi="仿宋_GB2312" w:eastAsia="仿宋_GB2312" w:cs="仿宋_GB2312"/>
          <w:b/>
          <w:sz w:val="30"/>
          <w:szCs w:val="30"/>
          <w:highlight w:val="none"/>
        </w:rPr>
      </w:pPr>
    </w:p>
    <w:p w14:paraId="1CDC83A2">
      <w:pPr>
        <w:spacing w:line="560" w:lineRule="exact"/>
        <w:ind w:firstLine="600" w:firstLineChars="200"/>
        <w:jc w:val="right"/>
        <w:rPr>
          <w:rFonts w:hint="eastAsia" w:ascii="仿宋_GB2312" w:hAnsi="仿宋_GB2312" w:eastAsia="仿宋_GB2312" w:cs="仿宋_GB2312"/>
          <w:bCs/>
          <w:sz w:val="30"/>
          <w:szCs w:val="30"/>
          <w:highlight w:val="none"/>
        </w:rPr>
      </w:pPr>
      <w:bookmarkStart w:id="5" w:name="_GoBack"/>
      <w:bookmarkEnd w:id="5"/>
    </w:p>
    <w:p w14:paraId="52B29213">
      <w:pPr>
        <w:spacing w:line="560" w:lineRule="exact"/>
        <w:ind w:firstLine="600" w:firstLineChars="200"/>
        <w:jc w:val="right"/>
        <w:rPr>
          <w:rFonts w:hint="eastAsia" w:ascii="仿宋_GB2312" w:hAnsi="仿宋_GB2312" w:eastAsia="仿宋_GB2312" w:cs="仿宋_GB2312"/>
          <w:bCs/>
          <w:sz w:val="30"/>
          <w:szCs w:val="30"/>
          <w:highlight w:val="none"/>
        </w:rPr>
      </w:pPr>
    </w:p>
    <w:p w14:paraId="279AD3E5">
      <w:pPr>
        <w:spacing w:line="560" w:lineRule="exact"/>
        <w:ind w:firstLine="600" w:firstLineChars="200"/>
        <w:jc w:val="right"/>
        <w:rPr>
          <w:rFonts w:hint="eastAsia" w:ascii="仿宋_GB2312" w:hAnsi="仿宋_GB2312" w:eastAsia="仿宋_GB2312" w:cs="仿宋_GB2312"/>
          <w:bCs/>
          <w:sz w:val="30"/>
          <w:szCs w:val="30"/>
          <w:highlight w:val="none"/>
        </w:rPr>
      </w:pPr>
      <w:r>
        <w:rPr>
          <w:rFonts w:hint="eastAsia" w:ascii="仿宋_GB2312" w:hAnsi="仿宋_GB2312" w:eastAsia="仿宋_GB2312" w:cs="仿宋_GB2312"/>
          <w:bCs/>
          <w:sz w:val="30"/>
          <w:szCs w:val="30"/>
          <w:highlight w:val="none"/>
        </w:rPr>
        <w:t>嘉峪关溥源置业有限责任公司管理人</w:t>
      </w:r>
    </w:p>
    <w:p w14:paraId="79BFCEBB">
      <w:pPr>
        <w:jc w:val="center"/>
        <w:rPr>
          <w:rFonts w:hint="eastAsia" w:ascii="仿宋_GB2312" w:hAnsi="仿宋_GB2312" w:eastAsia="仿宋_GB2312" w:cs="仿宋_GB2312"/>
          <w:bCs/>
          <w:sz w:val="30"/>
          <w:szCs w:val="30"/>
          <w:highlight w:val="none"/>
        </w:rPr>
      </w:pPr>
      <w:r>
        <w:rPr>
          <w:rFonts w:hint="eastAsia" w:ascii="仿宋_GB2312" w:hAnsi="仿宋_GB2312" w:eastAsia="仿宋_GB2312" w:cs="仿宋_GB2312"/>
          <w:bCs/>
          <w:sz w:val="30"/>
          <w:szCs w:val="30"/>
          <w:highlight w:val="none"/>
        </w:rPr>
        <w:t>　　　　　　　　</w:t>
      </w:r>
      <w:r>
        <w:rPr>
          <w:rFonts w:hint="eastAsia" w:ascii="仿宋_GB2312" w:hAnsi="仿宋_GB2312" w:eastAsia="仿宋_GB2312" w:cs="仿宋_GB2312"/>
          <w:bCs/>
          <w:sz w:val="30"/>
          <w:szCs w:val="30"/>
          <w:highlight w:val="yellow"/>
        </w:rPr>
        <w:t>二〇二五年</w:t>
      </w:r>
      <w:r>
        <w:rPr>
          <w:rFonts w:hint="eastAsia" w:ascii="仿宋_GB2312" w:hAnsi="仿宋_GB2312" w:eastAsia="仿宋_GB2312" w:cs="仿宋_GB2312"/>
          <w:bCs/>
          <w:sz w:val="30"/>
          <w:szCs w:val="30"/>
          <w:highlight w:val="yellow"/>
          <w:lang w:val="en-US" w:eastAsia="zh-CN"/>
        </w:rPr>
        <w:t>八</w:t>
      </w:r>
      <w:r>
        <w:rPr>
          <w:rFonts w:hint="eastAsia" w:ascii="仿宋_GB2312" w:hAnsi="仿宋_GB2312" w:eastAsia="仿宋_GB2312" w:cs="仿宋_GB2312"/>
          <w:bCs/>
          <w:sz w:val="30"/>
          <w:szCs w:val="30"/>
          <w:highlight w:val="yellow"/>
        </w:rPr>
        <w:t>月</w:t>
      </w:r>
      <w:r>
        <w:rPr>
          <w:rFonts w:hint="eastAsia" w:ascii="仿宋_GB2312" w:hAnsi="仿宋_GB2312" w:eastAsia="仿宋_GB2312" w:cs="仿宋_GB2312"/>
          <w:bCs/>
          <w:sz w:val="30"/>
          <w:szCs w:val="30"/>
          <w:highlight w:val="yellow"/>
          <w:lang w:val="en-US" w:eastAsia="zh-CN"/>
        </w:rPr>
        <w:t>十三</w:t>
      </w:r>
      <w:r>
        <w:rPr>
          <w:rFonts w:hint="eastAsia" w:ascii="仿宋_GB2312" w:hAnsi="仿宋_GB2312" w:eastAsia="仿宋_GB2312" w:cs="仿宋_GB2312"/>
          <w:bCs/>
          <w:sz w:val="30"/>
          <w:szCs w:val="30"/>
          <w:highlight w:val="yellow"/>
        </w:rPr>
        <w:t>日</w:t>
      </w:r>
    </w:p>
    <w:p w14:paraId="4E6AD445">
      <w:pPr>
        <w:widowControl/>
        <w:jc w:val="left"/>
        <w:rPr>
          <w:rFonts w:hint="eastAsia" w:ascii="仿宋_GB2312" w:hAnsi="仿宋_GB2312" w:eastAsia="仿宋_GB2312" w:cs="仿宋_GB2312"/>
          <w:bCs/>
          <w:sz w:val="30"/>
          <w:szCs w:val="30"/>
          <w:highlight w:val="none"/>
        </w:rPr>
      </w:pPr>
      <w:r>
        <w:rPr>
          <w:rFonts w:hint="eastAsia" w:ascii="仿宋_GB2312" w:hAnsi="仿宋_GB2312" w:eastAsia="仿宋_GB2312" w:cs="仿宋_GB2312"/>
          <w:bCs/>
          <w:sz w:val="30"/>
          <w:szCs w:val="30"/>
          <w:highlight w:val="none"/>
        </w:rPr>
        <w:br w:type="page"/>
      </w:r>
    </w:p>
    <w:p w14:paraId="735E2A1D">
      <w:pPr>
        <w:rPr>
          <w:rFonts w:hint="eastAsia" w:ascii="仿宋_GB2312" w:hAnsi="仿宋_GB2312" w:eastAsia="仿宋_GB2312" w:cs="仿宋_GB2312"/>
          <w:bCs/>
          <w:sz w:val="30"/>
          <w:szCs w:val="30"/>
          <w:highlight w:val="none"/>
        </w:rPr>
      </w:pPr>
    </w:p>
    <w:p w14:paraId="7E828C93">
      <w:pPr>
        <w:ind w:firstLine="480"/>
        <w:rPr>
          <w:rFonts w:hint="eastAsia" w:ascii="仿宋" w:hAnsi="仿宋" w:eastAsia="仿宋" w:cs="仿宋"/>
          <w:bCs/>
          <w:sz w:val="24"/>
          <w:szCs w:val="24"/>
          <w:highlight w:val="none"/>
        </w:rPr>
      </w:pPr>
      <w:r>
        <w:rPr>
          <w:rFonts w:hint="eastAsia" w:ascii="仿宋_GB2312" w:hAnsi="仿宋_GB2312" w:eastAsia="仿宋_GB2312" w:cs="仿宋_GB2312"/>
          <w:color w:val="000000"/>
          <w:kern w:val="0"/>
          <w:sz w:val="24"/>
          <w:szCs w:val="24"/>
          <w:highlight w:val="none"/>
          <w:lang w:bidi="ar"/>
        </w:rPr>
        <w:t>附：房产实景图(以下信息仅供参考，具体以实际踏勘为准）</w:t>
      </w:r>
    </w:p>
    <w:p w14:paraId="50AA26C0">
      <w:pPr>
        <w:tabs>
          <w:tab w:val="left" w:pos="2520"/>
        </w:tabs>
        <w:spacing w:line="360" w:lineRule="auto"/>
        <w:ind w:right="1200"/>
        <w:jc w:val="left"/>
        <w:rPr>
          <w:rFonts w:hint="eastAsia" w:ascii="仿宋" w:hAnsi="仿宋" w:eastAsia="仿宋" w:cs="仿宋"/>
          <w:bCs/>
          <w:sz w:val="24"/>
          <w:szCs w:val="24"/>
          <w:highlight w:val="none"/>
          <w:lang w:eastAsia="zh-CN"/>
        </w:rPr>
      </w:pPr>
      <w:r>
        <w:rPr>
          <w:rFonts w:hint="eastAsia" w:ascii="仿宋" w:hAnsi="仿宋" w:eastAsia="仿宋" w:cs="仿宋"/>
          <w:bCs/>
          <w:sz w:val="24"/>
          <w:szCs w:val="24"/>
          <w:highlight w:val="none"/>
          <w:lang w:eastAsia="zh-CN"/>
        </w:rPr>
        <w:drawing>
          <wp:inline distT="0" distB="0" distL="114300" distR="114300">
            <wp:extent cx="5779135" cy="6711315"/>
            <wp:effectExtent l="0" t="0" r="12065" b="6985"/>
            <wp:docPr id="1" name="图片 1" descr="697023756a806766aa2963c240678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697023756a806766aa2963c24067892"/>
                    <pic:cNvPicPr>
                      <a:picLocks noChangeAspect="1"/>
                    </pic:cNvPicPr>
                  </pic:nvPicPr>
                  <pic:blipFill>
                    <a:blip r:embed="rId6"/>
                    <a:stretch>
                      <a:fillRect/>
                    </a:stretch>
                  </pic:blipFill>
                  <pic:spPr>
                    <a:xfrm>
                      <a:off x="0" y="0"/>
                      <a:ext cx="5779135" cy="6711315"/>
                    </a:xfrm>
                    <a:prstGeom prst="rect">
                      <a:avLst/>
                    </a:prstGeom>
                  </pic:spPr>
                </pic:pic>
              </a:graphicData>
            </a:graphic>
          </wp:inline>
        </w:drawing>
      </w:r>
    </w:p>
    <w:p w14:paraId="7D7F4333">
      <w:pPr>
        <w:tabs>
          <w:tab w:val="left" w:pos="2520"/>
        </w:tabs>
        <w:spacing w:line="360" w:lineRule="auto"/>
        <w:ind w:right="1200" w:firstLine="480"/>
        <w:jc w:val="left"/>
        <w:rPr>
          <w:rFonts w:hint="eastAsia" w:ascii="仿宋" w:hAnsi="仿宋" w:eastAsia="仿宋" w:cs="仿宋"/>
          <w:bCs/>
          <w:sz w:val="24"/>
          <w:szCs w:val="24"/>
          <w:highlight w:val="none"/>
        </w:rPr>
      </w:pPr>
    </w:p>
    <w:sectPr>
      <w:headerReference r:id="rId3" w:type="default"/>
      <w:footerReference r:id="rId4" w:type="default"/>
      <w:pgSz w:w="11906" w:h="16838"/>
      <w:pgMar w:top="1440" w:right="1797" w:bottom="1440" w:left="1797"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华文中宋">
    <w:panose1 w:val="02010600040101010101"/>
    <w:charset w:val="86"/>
    <w:family w:val="auto"/>
    <w:pitch w:val="default"/>
    <w:sig w:usb0="00000287" w:usb1="080F0000" w:usb2="00000000" w:usb3="00000000" w:csb0="0004009F" w:csb1="DFD70000"/>
  </w:font>
  <w:font w:name="方正小标宋简体">
    <w:panose1 w:val="00000600000000000000"/>
    <w:charset w:val="86"/>
    <w:family w:val="auto"/>
    <w:pitch w:val="default"/>
    <w:sig w:usb0="800002BF" w:usb1="184F6CF8" w:usb2="00000012" w:usb3="00000000" w:csb0="00160001" w:csb1="1203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A487F5">
    <w:pPr>
      <w:pStyle w:val="7"/>
      <w:ind w:firstLine="360"/>
      <w:jc w:val="center"/>
    </w:pPr>
    <w:r>
      <mc:AlternateContent>
        <mc:Choice Requires="wps">
          <w:drawing>
            <wp:anchor distT="0" distB="0" distL="114300" distR="114300" simplePos="0" relativeHeight="251659264" behindDoc="0" locked="0" layoutInCell="1" allowOverlap="1">
              <wp:simplePos x="0" y="0"/>
              <wp:positionH relativeFrom="margin">
                <wp:posOffset>2149475</wp:posOffset>
              </wp:positionH>
              <wp:positionV relativeFrom="paragraph">
                <wp:posOffset>-635</wp:posOffset>
              </wp:positionV>
              <wp:extent cx="1086485" cy="132715"/>
              <wp:effectExtent l="0" t="0" r="0" b="1270"/>
              <wp:wrapNone/>
              <wp:docPr id="8" name="文本框 8"/>
              <wp:cNvGraphicFramePr/>
              <a:graphic xmlns:a="http://schemas.openxmlformats.org/drawingml/2006/main">
                <a:graphicData uri="http://schemas.microsoft.com/office/word/2010/wordprocessingShape">
                  <wps:wsp>
                    <wps:cNvSpPr txBox="1"/>
                    <wps:spPr>
                      <a:xfrm>
                        <a:off x="0" y="0"/>
                        <a:ext cx="1086678" cy="132522"/>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08416E">
                          <w:pPr>
                            <w:pStyle w:val="7"/>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left:169.25pt;margin-top:-0.05pt;height:10.45pt;width:85.55pt;mso-position-horizontal-relative:margin;z-index:251659264;mso-width-relative:page;mso-height-relative:page;" filled="f" stroked="f" coordsize="21600,21600" o:gfxdata="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Qa/IP1wAAAAgBAAAPAAAAAAAAAAEAIAAAACIAAABkcnMvZG93bnJldi54bWxQ&#10;SwECFAAUAAAACACHTuJAOckJSzECAABWBAAADgAAAAAAAAABACAAAAAmAQAAZHJzL2Uyb0RvYy54&#10;bWxQSwUGAAAAAAYABgBZAQAAyQUAAAAA&#10;">
              <v:fill on="f" focussize="0,0"/>
              <v:stroke on="f" weight="0.5pt"/>
              <v:imagedata o:title=""/>
              <o:lock v:ext="edit" aspectratio="f"/>
              <v:textbox inset="0mm,0mm,0mm,0mm">
                <w:txbxContent>
                  <w:p w14:paraId="6008416E">
                    <w:pPr>
                      <w:pStyle w:val="7"/>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583C86">
    <w:pPr>
      <w:pStyle w:val="8"/>
      <w:pBdr>
        <w:bottom w:val="none" w:color="auto" w:sz="0" w:space="1"/>
      </w:pBdr>
      <w:ind w:firstLine="360"/>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48D16CD"/>
    <w:multiLevelType w:val="multilevel"/>
    <w:tmpl w:val="748D16CD"/>
    <w:lvl w:ilvl="0" w:tentative="0">
      <w:start w:val="1"/>
      <w:numFmt w:val="decimal"/>
      <w:pStyle w:val="35"/>
      <w:lvlText w:val="（%1）"/>
      <w:lvlJc w:val="left"/>
      <w:pPr>
        <w:tabs>
          <w:tab w:val="left" w:pos="1200"/>
        </w:tabs>
        <w:ind w:left="1200" w:hanging="720"/>
      </w:pPr>
      <w:rPr>
        <w:rFonts w:hint="default"/>
        <w:lang w:val="en-US"/>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NjNmNlZDY1OWU5NDI4N2RkYjhhZmYyZjQxNzk4MmMifQ=="/>
  </w:docVars>
  <w:rsids>
    <w:rsidRoot w:val="00DF4D5D"/>
    <w:rsid w:val="000750B8"/>
    <w:rsid w:val="000A3D92"/>
    <w:rsid w:val="00131B84"/>
    <w:rsid w:val="00162F1A"/>
    <w:rsid w:val="001731A1"/>
    <w:rsid w:val="0019419E"/>
    <w:rsid w:val="001B00D4"/>
    <w:rsid w:val="001B2C1D"/>
    <w:rsid w:val="001B50E4"/>
    <w:rsid w:val="001C0BB1"/>
    <w:rsid w:val="001C0BDA"/>
    <w:rsid w:val="001C1450"/>
    <w:rsid w:val="001C3720"/>
    <w:rsid w:val="001D7B50"/>
    <w:rsid w:val="00200E5D"/>
    <w:rsid w:val="00203EE4"/>
    <w:rsid w:val="002120DA"/>
    <w:rsid w:val="0021567A"/>
    <w:rsid w:val="00254508"/>
    <w:rsid w:val="00294E2E"/>
    <w:rsid w:val="002968BF"/>
    <w:rsid w:val="002A2F67"/>
    <w:rsid w:val="002A5FDB"/>
    <w:rsid w:val="002B204E"/>
    <w:rsid w:val="002D4EAB"/>
    <w:rsid w:val="002F2A57"/>
    <w:rsid w:val="002F7330"/>
    <w:rsid w:val="003158BD"/>
    <w:rsid w:val="003253EF"/>
    <w:rsid w:val="00352816"/>
    <w:rsid w:val="00365204"/>
    <w:rsid w:val="003B246E"/>
    <w:rsid w:val="003B39F3"/>
    <w:rsid w:val="003C3572"/>
    <w:rsid w:val="003D2AF0"/>
    <w:rsid w:val="00411657"/>
    <w:rsid w:val="0045737F"/>
    <w:rsid w:val="00462A72"/>
    <w:rsid w:val="00482A02"/>
    <w:rsid w:val="00490D88"/>
    <w:rsid w:val="004B79FD"/>
    <w:rsid w:val="004F4AF5"/>
    <w:rsid w:val="004F52C4"/>
    <w:rsid w:val="0050355D"/>
    <w:rsid w:val="00506490"/>
    <w:rsid w:val="00513F32"/>
    <w:rsid w:val="00514997"/>
    <w:rsid w:val="00525EA4"/>
    <w:rsid w:val="00557C35"/>
    <w:rsid w:val="005A3258"/>
    <w:rsid w:val="005D199B"/>
    <w:rsid w:val="005F42EE"/>
    <w:rsid w:val="005F66F0"/>
    <w:rsid w:val="00604E0F"/>
    <w:rsid w:val="0064300E"/>
    <w:rsid w:val="00681853"/>
    <w:rsid w:val="00692587"/>
    <w:rsid w:val="006A3B90"/>
    <w:rsid w:val="006C1687"/>
    <w:rsid w:val="006D7224"/>
    <w:rsid w:val="006E119F"/>
    <w:rsid w:val="007000C4"/>
    <w:rsid w:val="00721ACA"/>
    <w:rsid w:val="007255D7"/>
    <w:rsid w:val="007415A3"/>
    <w:rsid w:val="0077486D"/>
    <w:rsid w:val="00780420"/>
    <w:rsid w:val="0078407B"/>
    <w:rsid w:val="00795AB7"/>
    <w:rsid w:val="007A1E60"/>
    <w:rsid w:val="007A6C32"/>
    <w:rsid w:val="007B0F82"/>
    <w:rsid w:val="007B1AA5"/>
    <w:rsid w:val="007C67D2"/>
    <w:rsid w:val="007E1197"/>
    <w:rsid w:val="007E3C67"/>
    <w:rsid w:val="007E782F"/>
    <w:rsid w:val="0081106B"/>
    <w:rsid w:val="00825EA4"/>
    <w:rsid w:val="00847A99"/>
    <w:rsid w:val="00847BB7"/>
    <w:rsid w:val="008546D1"/>
    <w:rsid w:val="00874BE0"/>
    <w:rsid w:val="008D1CFE"/>
    <w:rsid w:val="008D3FB9"/>
    <w:rsid w:val="008F611E"/>
    <w:rsid w:val="008F6654"/>
    <w:rsid w:val="008F6F08"/>
    <w:rsid w:val="00900F48"/>
    <w:rsid w:val="009072EE"/>
    <w:rsid w:val="00907300"/>
    <w:rsid w:val="0091284E"/>
    <w:rsid w:val="00920C98"/>
    <w:rsid w:val="0092764E"/>
    <w:rsid w:val="00940158"/>
    <w:rsid w:val="00950BC1"/>
    <w:rsid w:val="00965A06"/>
    <w:rsid w:val="00972426"/>
    <w:rsid w:val="00976844"/>
    <w:rsid w:val="00981631"/>
    <w:rsid w:val="009913EE"/>
    <w:rsid w:val="009C11A3"/>
    <w:rsid w:val="009C37A8"/>
    <w:rsid w:val="009D7759"/>
    <w:rsid w:val="00A03505"/>
    <w:rsid w:val="00A847B9"/>
    <w:rsid w:val="00AB29AB"/>
    <w:rsid w:val="00AF5F36"/>
    <w:rsid w:val="00B0275E"/>
    <w:rsid w:val="00B10E26"/>
    <w:rsid w:val="00B22E92"/>
    <w:rsid w:val="00B43952"/>
    <w:rsid w:val="00B704A3"/>
    <w:rsid w:val="00C21571"/>
    <w:rsid w:val="00C22339"/>
    <w:rsid w:val="00C547D9"/>
    <w:rsid w:val="00C80E55"/>
    <w:rsid w:val="00C9128A"/>
    <w:rsid w:val="00CE0D51"/>
    <w:rsid w:val="00D02413"/>
    <w:rsid w:val="00D20039"/>
    <w:rsid w:val="00D2373B"/>
    <w:rsid w:val="00D266B9"/>
    <w:rsid w:val="00D26EA5"/>
    <w:rsid w:val="00D32B91"/>
    <w:rsid w:val="00D51B0D"/>
    <w:rsid w:val="00D66CE1"/>
    <w:rsid w:val="00D73785"/>
    <w:rsid w:val="00D74F76"/>
    <w:rsid w:val="00D80DD7"/>
    <w:rsid w:val="00DB6950"/>
    <w:rsid w:val="00DC6FCB"/>
    <w:rsid w:val="00DD4C91"/>
    <w:rsid w:val="00DE41A1"/>
    <w:rsid w:val="00DF4D5D"/>
    <w:rsid w:val="00E32467"/>
    <w:rsid w:val="00E343FE"/>
    <w:rsid w:val="00E45A07"/>
    <w:rsid w:val="00E56644"/>
    <w:rsid w:val="00E62503"/>
    <w:rsid w:val="00EB6496"/>
    <w:rsid w:val="00ED0963"/>
    <w:rsid w:val="00EE0005"/>
    <w:rsid w:val="00EE596C"/>
    <w:rsid w:val="00EF1DDE"/>
    <w:rsid w:val="00EF3B2A"/>
    <w:rsid w:val="00EF48EC"/>
    <w:rsid w:val="00F06118"/>
    <w:rsid w:val="00F06CC0"/>
    <w:rsid w:val="00F116B4"/>
    <w:rsid w:val="00F417B9"/>
    <w:rsid w:val="00F566BD"/>
    <w:rsid w:val="00F63ACA"/>
    <w:rsid w:val="00F8097A"/>
    <w:rsid w:val="00F81B36"/>
    <w:rsid w:val="00F920F5"/>
    <w:rsid w:val="00F95D2F"/>
    <w:rsid w:val="00FB618D"/>
    <w:rsid w:val="00FD7D2F"/>
    <w:rsid w:val="00FF53FE"/>
    <w:rsid w:val="01823B67"/>
    <w:rsid w:val="04E803B4"/>
    <w:rsid w:val="053141E2"/>
    <w:rsid w:val="06277B8D"/>
    <w:rsid w:val="06400F5E"/>
    <w:rsid w:val="064B2D9D"/>
    <w:rsid w:val="06D605ED"/>
    <w:rsid w:val="07170275"/>
    <w:rsid w:val="07353BD5"/>
    <w:rsid w:val="079361C4"/>
    <w:rsid w:val="07B62B5D"/>
    <w:rsid w:val="08DB71FF"/>
    <w:rsid w:val="09936712"/>
    <w:rsid w:val="0ABC741F"/>
    <w:rsid w:val="0AC557E6"/>
    <w:rsid w:val="0AE37781"/>
    <w:rsid w:val="0B7348E4"/>
    <w:rsid w:val="0B7D1A7E"/>
    <w:rsid w:val="0B945D4B"/>
    <w:rsid w:val="0C146529"/>
    <w:rsid w:val="0C450D6C"/>
    <w:rsid w:val="0C7F3850"/>
    <w:rsid w:val="0CB60773"/>
    <w:rsid w:val="0D163A9E"/>
    <w:rsid w:val="0D237264"/>
    <w:rsid w:val="0D8A78EE"/>
    <w:rsid w:val="0DCA44CC"/>
    <w:rsid w:val="0DE1368B"/>
    <w:rsid w:val="0F43349D"/>
    <w:rsid w:val="0FCB4D96"/>
    <w:rsid w:val="10855BDB"/>
    <w:rsid w:val="1087540F"/>
    <w:rsid w:val="10A63FAB"/>
    <w:rsid w:val="116D3AF4"/>
    <w:rsid w:val="139D0710"/>
    <w:rsid w:val="1620630F"/>
    <w:rsid w:val="173751E0"/>
    <w:rsid w:val="17AF79E2"/>
    <w:rsid w:val="19266D95"/>
    <w:rsid w:val="19B30390"/>
    <w:rsid w:val="1AE92CAB"/>
    <w:rsid w:val="1AFF4111"/>
    <w:rsid w:val="1B5E2E01"/>
    <w:rsid w:val="1BEB3346"/>
    <w:rsid w:val="1C281D85"/>
    <w:rsid w:val="1D04795D"/>
    <w:rsid w:val="1DB03DB4"/>
    <w:rsid w:val="1E6C0F09"/>
    <w:rsid w:val="1E912B95"/>
    <w:rsid w:val="1EC2309C"/>
    <w:rsid w:val="1EDA5390"/>
    <w:rsid w:val="1F3B7321"/>
    <w:rsid w:val="1FAE283D"/>
    <w:rsid w:val="1FBA7096"/>
    <w:rsid w:val="2019662C"/>
    <w:rsid w:val="2082606D"/>
    <w:rsid w:val="21CD4A5B"/>
    <w:rsid w:val="21DF2B92"/>
    <w:rsid w:val="21E25C3C"/>
    <w:rsid w:val="22660DA8"/>
    <w:rsid w:val="2315677A"/>
    <w:rsid w:val="23255AD4"/>
    <w:rsid w:val="24353737"/>
    <w:rsid w:val="255F60D7"/>
    <w:rsid w:val="25714740"/>
    <w:rsid w:val="25F857C8"/>
    <w:rsid w:val="26F1616E"/>
    <w:rsid w:val="279B763B"/>
    <w:rsid w:val="27A40BE5"/>
    <w:rsid w:val="28885E11"/>
    <w:rsid w:val="29FA4AED"/>
    <w:rsid w:val="2A223F5E"/>
    <w:rsid w:val="2BDB33E2"/>
    <w:rsid w:val="2BF52E46"/>
    <w:rsid w:val="2C4D0325"/>
    <w:rsid w:val="2C521A0C"/>
    <w:rsid w:val="2D0852EE"/>
    <w:rsid w:val="2D2D1B91"/>
    <w:rsid w:val="2D2E06FF"/>
    <w:rsid w:val="2D7050C6"/>
    <w:rsid w:val="2EB45BB2"/>
    <w:rsid w:val="2F823012"/>
    <w:rsid w:val="2FB54B8C"/>
    <w:rsid w:val="2FDF1761"/>
    <w:rsid w:val="304002CD"/>
    <w:rsid w:val="30401C05"/>
    <w:rsid w:val="305915C8"/>
    <w:rsid w:val="31132E9C"/>
    <w:rsid w:val="311559D9"/>
    <w:rsid w:val="31BF40A4"/>
    <w:rsid w:val="32540491"/>
    <w:rsid w:val="32E079C6"/>
    <w:rsid w:val="33332E1D"/>
    <w:rsid w:val="33DF64E3"/>
    <w:rsid w:val="35384548"/>
    <w:rsid w:val="35913271"/>
    <w:rsid w:val="35A818A1"/>
    <w:rsid w:val="36502E24"/>
    <w:rsid w:val="373E5740"/>
    <w:rsid w:val="3810197F"/>
    <w:rsid w:val="38E70415"/>
    <w:rsid w:val="39435AE3"/>
    <w:rsid w:val="39F607C7"/>
    <w:rsid w:val="3A1F6ACC"/>
    <w:rsid w:val="3C4F17D2"/>
    <w:rsid w:val="3CB10B9B"/>
    <w:rsid w:val="3CF27622"/>
    <w:rsid w:val="3D8F380F"/>
    <w:rsid w:val="3DD70B00"/>
    <w:rsid w:val="3EAB463F"/>
    <w:rsid w:val="3ECA6912"/>
    <w:rsid w:val="3ECF4C1D"/>
    <w:rsid w:val="3F064B7F"/>
    <w:rsid w:val="3FB929FA"/>
    <w:rsid w:val="3FC6325B"/>
    <w:rsid w:val="414F4B27"/>
    <w:rsid w:val="4233683A"/>
    <w:rsid w:val="43601B63"/>
    <w:rsid w:val="43C7383A"/>
    <w:rsid w:val="446339DD"/>
    <w:rsid w:val="45FD5268"/>
    <w:rsid w:val="4611791F"/>
    <w:rsid w:val="46607F75"/>
    <w:rsid w:val="47384EDD"/>
    <w:rsid w:val="4764633A"/>
    <w:rsid w:val="48F01264"/>
    <w:rsid w:val="4997152E"/>
    <w:rsid w:val="49E862B8"/>
    <w:rsid w:val="4A2D478B"/>
    <w:rsid w:val="4AD93E52"/>
    <w:rsid w:val="4B9F1A03"/>
    <w:rsid w:val="4BA601D9"/>
    <w:rsid w:val="4BC073B4"/>
    <w:rsid w:val="4D5203B6"/>
    <w:rsid w:val="4E3E49EE"/>
    <w:rsid w:val="4F424CF0"/>
    <w:rsid w:val="503E3195"/>
    <w:rsid w:val="50CD04B5"/>
    <w:rsid w:val="5233653E"/>
    <w:rsid w:val="52607D19"/>
    <w:rsid w:val="52F80E5E"/>
    <w:rsid w:val="54705681"/>
    <w:rsid w:val="549C73E8"/>
    <w:rsid w:val="55BF717C"/>
    <w:rsid w:val="5658424D"/>
    <w:rsid w:val="574F473A"/>
    <w:rsid w:val="576729E4"/>
    <w:rsid w:val="578B449D"/>
    <w:rsid w:val="587613E2"/>
    <w:rsid w:val="58817B73"/>
    <w:rsid w:val="58F16F86"/>
    <w:rsid w:val="59E04EF8"/>
    <w:rsid w:val="5AD5076E"/>
    <w:rsid w:val="5B3B6835"/>
    <w:rsid w:val="5BDE5F4A"/>
    <w:rsid w:val="5C992F10"/>
    <w:rsid w:val="5CFC551B"/>
    <w:rsid w:val="5D080D83"/>
    <w:rsid w:val="5D716068"/>
    <w:rsid w:val="5D8026ED"/>
    <w:rsid w:val="5D962D29"/>
    <w:rsid w:val="5DCC5EFD"/>
    <w:rsid w:val="5E93045D"/>
    <w:rsid w:val="5F5A7F1A"/>
    <w:rsid w:val="5F796A1A"/>
    <w:rsid w:val="5FFF32DF"/>
    <w:rsid w:val="605B73D7"/>
    <w:rsid w:val="60757393"/>
    <w:rsid w:val="60786190"/>
    <w:rsid w:val="61C64A11"/>
    <w:rsid w:val="622473A5"/>
    <w:rsid w:val="623D1ECC"/>
    <w:rsid w:val="62670C18"/>
    <w:rsid w:val="62CC631F"/>
    <w:rsid w:val="63DC48D7"/>
    <w:rsid w:val="641C277B"/>
    <w:rsid w:val="653867CB"/>
    <w:rsid w:val="654D1C37"/>
    <w:rsid w:val="6774252A"/>
    <w:rsid w:val="68500D2D"/>
    <w:rsid w:val="68D90D4E"/>
    <w:rsid w:val="68DB550E"/>
    <w:rsid w:val="69AF0A8B"/>
    <w:rsid w:val="6A1B651C"/>
    <w:rsid w:val="6AC94A43"/>
    <w:rsid w:val="6B5B0C1E"/>
    <w:rsid w:val="6B692BA2"/>
    <w:rsid w:val="6B9B3817"/>
    <w:rsid w:val="6BD61CAA"/>
    <w:rsid w:val="6C5D448C"/>
    <w:rsid w:val="6D1C04C4"/>
    <w:rsid w:val="6D1C1A24"/>
    <w:rsid w:val="6D7D36AB"/>
    <w:rsid w:val="6DA81D1C"/>
    <w:rsid w:val="6DEC0548"/>
    <w:rsid w:val="6E8A364E"/>
    <w:rsid w:val="6F9072E0"/>
    <w:rsid w:val="704B5E63"/>
    <w:rsid w:val="70DA7947"/>
    <w:rsid w:val="71300C7A"/>
    <w:rsid w:val="71596CEA"/>
    <w:rsid w:val="716B13F9"/>
    <w:rsid w:val="71D67226"/>
    <w:rsid w:val="728D1891"/>
    <w:rsid w:val="72FE7A6F"/>
    <w:rsid w:val="73036948"/>
    <w:rsid w:val="73556B30"/>
    <w:rsid w:val="739878F3"/>
    <w:rsid w:val="743C0E2B"/>
    <w:rsid w:val="74842EFD"/>
    <w:rsid w:val="74926D5A"/>
    <w:rsid w:val="755A24CF"/>
    <w:rsid w:val="758326C7"/>
    <w:rsid w:val="76840F6E"/>
    <w:rsid w:val="77075D22"/>
    <w:rsid w:val="773D0C28"/>
    <w:rsid w:val="7A2F54BF"/>
    <w:rsid w:val="7B2C7E4B"/>
    <w:rsid w:val="7BE8744A"/>
    <w:rsid w:val="7DB06B11"/>
    <w:rsid w:val="7E064983"/>
    <w:rsid w:val="7F6C2B1E"/>
    <w:rsid w:val="7F9239A1"/>
    <w:rsid w:val="7FCA19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qFormat="1" w:uiPriority="99" w:semiHidden="0"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iPriority="99" w:semiHidden="0"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2"/>
    <w:autoRedefine/>
    <w:qFormat/>
    <w:uiPriority w:val="9"/>
    <w:pPr>
      <w:keepNext/>
      <w:keepLines/>
      <w:spacing w:before="340" w:after="330" w:line="578" w:lineRule="auto"/>
      <w:outlineLvl w:val="0"/>
    </w:pPr>
    <w:rPr>
      <w:b/>
      <w:bCs/>
      <w:kern w:val="44"/>
      <w:sz w:val="44"/>
      <w:szCs w:val="44"/>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3">
    <w:name w:val="Salutation"/>
    <w:basedOn w:val="1"/>
    <w:next w:val="1"/>
    <w:link w:val="20"/>
    <w:autoRedefine/>
    <w:unhideWhenUsed/>
    <w:qFormat/>
    <w:uiPriority w:val="99"/>
    <w:rPr>
      <w:rFonts w:ascii="仿宋" w:hAnsi="仿宋" w:eastAsia="仿宋" w:cs="仿宋"/>
      <w:bCs/>
      <w:sz w:val="28"/>
      <w:szCs w:val="28"/>
    </w:rPr>
  </w:style>
  <w:style w:type="paragraph" w:styleId="4">
    <w:name w:val="Closing"/>
    <w:basedOn w:val="1"/>
    <w:link w:val="21"/>
    <w:autoRedefine/>
    <w:unhideWhenUsed/>
    <w:qFormat/>
    <w:uiPriority w:val="99"/>
    <w:pPr>
      <w:ind w:left="100" w:leftChars="2100"/>
    </w:pPr>
    <w:rPr>
      <w:rFonts w:ascii="仿宋" w:hAnsi="仿宋" w:eastAsia="仿宋" w:cs="仿宋"/>
      <w:bCs/>
      <w:sz w:val="28"/>
      <w:szCs w:val="28"/>
    </w:rPr>
  </w:style>
  <w:style w:type="paragraph" w:styleId="5">
    <w:name w:val="Body Text"/>
    <w:basedOn w:val="1"/>
    <w:link w:val="33"/>
    <w:autoRedefine/>
    <w:qFormat/>
    <w:uiPriority w:val="0"/>
    <w:pPr>
      <w:spacing w:after="120"/>
    </w:pPr>
  </w:style>
  <w:style w:type="paragraph" w:styleId="6">
    <w:name w:val="Date"/>
    <w:basedOn w:val="1"/>
    <w:next w:val="1"/>
    <w:link w:val="25"/>
    <w:autoRedefine/>
    <w:semiHidden/>
    <w:unhideWhenUsed/>
    <w:qFormat/>
    <w:uiPriority w:val="99"/>
    <w:pPr>
      <w:ind w:left="100" w:leftChars="2500"/>
    </w:pPr>
  </w:style>
  <w:style w:type="paragraph" w:styleId="7">
    <w:name w:val="footer"/>
    <w:basedOn w:val="1"/>
    <w:link w:val="18"/>
    <w:autoRedefine/>
    <w:unhideWhenUsed/>
    <w:qFormat/>
    <w:uiPriority w:val="99"/>
    <w:pPr>
      <w:tabs>
        <w:tab w:val="center" w:pos="4153"/>
        <w:tab w:val="right" w:pos="8306"/>
      </w:tabs>
      <w:snapToGrid w:val="0"/>
      <w:jc w:val="left"/>
    </w:pPr>
    <w:rPr>
      <w:sz w:val="18"/>
      <w:szCs w:val="18"/>
    </w:rPr>
  </w:style>
  <w:style w:type="paragraph" w:styleId="8">
    <w:name w:val="header"/>
    <w:basedOn w:val="1"/>
    <w:link w:val="17"/>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autoRedefine/>
    <w:unhideWhenUsed/>
    <w:qFormat/>
    <w:uiPriority w:val="39"/>
  </w:style>
  <w:style w:type="paragraph" w:styleId="10">
    <w:name w:val="Normal (Web)"/>
    <w:basedOn w:val="1"/>
    <w:autoRedefine/>
    <w:unhideWhenUsed/>
    <w:qFormat/>
    <w:uiPriority w:val="99"/>
    <w:pPr>
      <w:spacing w:beforeAutospacing="1" w:afterAutospacing="1"/>
      <w:jc w:val="left"/>
    </w:pPr>
    <w:rPr>
      <w:rFonts w:cs="Times New Roman"/>
      <w:kern w:val="0"/>
      <w:sz w:val="24"/>
    </w:rPr>
  </w:style>
  <w:style w:type="table" w:styleId="12">
    <w:name w:val="Table Grid"/>
    <w:basedOn w:val="11"/>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basedOn w:val="13"/>
    <w:autoRedefine/>
    <w:qFormat/>
    <w:uiPriority w:val="22"/>
    <w:rPr>
      <w:b/>
    </w:rPr>
  </w:style>
  <w:style w:type="character" w:styleId="15">
    <w:name w:val="FollowedHyperlink"/>
    <w:basedOn w:val="13"/>
    <w:semiHidden/>
    <w:unhideWhenUsed/>
    <w:qFormat/>
    <w:uiPriority w:val="99"/>
    <w:rPr>
      <w:color w:val="800080"/>
      <w:u w:val="single"/>
    </w:rPr>
  </w:style>
  <w:style w:type="character" w:styleId="16">
    <w:name w:val="Hyperlink"/>
    <w:basedOn w:val="13"/>
    <w:autoRedefine/>
    <w:unhideWhenUsed/>
    <w:qFormat/>
    <w:uiPriority w:val="99"/>
    <w:rPr>
      <w:color w:val="0000FF" w:themeColor="hyperlink"/>
      <w:u w:val="single"/>
      <w14:textFill>
        <w14:solidFill>
          <w14:schemeClr w14:val="hlink"/>
        </w14:solidFill>
      </w14:textFill>
    </w:rPr>
  </w:style>
  <w:style w:type="character" w:customStyle="1" w:styleId="17">
    <w:name w:val="页眉 字符"/>
    <w:basedOn w:val="13"/>
    <w:link w:val="8"/>
    <w:autoRedefine/>
    <w:qFormat/>
    <w:uiPriority w:val="99"/>
    <w:rPr>
      <w:sz w:val="18"/>
      <w:szCs w:val="18"/>
    </w:rPr>
  </w:style>
  <w:style w:type="character" w:customStyle="1" w:styleId="18">
    <w:name w:val="页脚 字符"/>
    <w:basedOn w:val="13"/>
    <w:link w:val="7"/>
    <w:autoRedefine/>
    <w:qFormat/>
    <w:uiPriority w:val="99"/>
    <w:rPr>
      <w:sz w:val="18"/>
      <w:szCs w:val="18"/>
    </w:rPr>
  </w:style>
  <w:style w:type="paragraph" w:styleId="19">
    <w:name w:val="List Paragraph"/>
    <w:basedOn w:val="1"/>
    <w:autoRedefine/>
    <w:qFormat/>
    <w:uiPriority w:val="34"/>
    <w:pPr>
      <w:ind w:firstLine="420" w:firstLineChars="200"/>
    </w:pPr>
  </w:style>
  <w:style w:type="character" w:customStyle="1" w:styleId="20">
    <w:name w:val="称呼 字符"/>
    <w:basedOn w:val="13"/>
    <w:link w:val="3"/>
    <w:autoRedefine/>
    <w:qFormat/>
    <w:uiPriority w:val="99"/>
    <w:rPr>
      <w:rFonts w:ascii="仿宋" w:hAnsi="仿宋" w:eastAsia="仿宋" w:cs="仿宋"/>
      <w:bCs/>
      <w:kern w:val="2"/>
      <w:sz w:val="28"/>
      <w:szCs w:val="28"/>
    </w:rPr>
  </w:style>
  <w:style w:type="character" w:customStyle="1" w:styleId="21">
    <w:name w:val="结束语 字符"/>
    <w:basedOn w:val="13"/>
    <w:link w:val="4"/>
    <w:autoRedefine/>
    <w:qFormat/>
    <w:uiPriority w:val="99"/>
    <w:rPr>
      <w:rFonts w:ascii="仿宋" w:hAnsi="仿宋" w:eastAsia="仿宋" w:cs="仿宋"/>
      <w:bCs/>
      <w:kern w:val="2"/>
      <w:sz w:val="28"/>
      <w:szCs w:val="28"/>
    </w:rPr>
  </w:style>
  <w:style w:type="character" w:customStyle="1" w:styleId="22">
    <w:name w:val="标题 1 字符"/>
    <w:basedOn w:val="13"/>
    <w:link w:val="2"/>
    <w:autoRedefine/>
    <w:qFormat/>
    <w:uiPriority w:val="9"/>
    <w:rPr>
      <w:rFonts w:asciiTheme="minorHAnsi" w:hAnsiTheme="minorHAnsi" w:eastAsiaTheme="minorEastAsia" w:cstheme="minorBidi"/>
      <w:b/>
      <w:bCs/>
      <w:kern w:val="44"/>
      <w:sz w:val="44"/>
      <w:szCs w:val="44"/>
    </w:rPr>
  </w:style>
  <w:style w:type="paragraph" w:customStyle="1" w:styleId="23">
    <w:name w:val="TOC 标题1"/>
    <w:basedOn w:val="2"/>
    <w:next w:val="1"/>
    <w:autoRedefine/>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376092" w:themeColor="accent1" w:themeShade="BF"/>
      <w:kern w:val="0"/>
      <w:sz w:val="32"/>
      <w:szCs w:val="32"/>
    </w:rPr>
  </w:style>
  <w:style w:type="paragraph" w:customStyle="1" w:styleId="24">
    <w:name w:val="修订1"/>
    <w:autoRedefine/>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25">
    <w:name w:val="日期 字符"/>
    <w:basedOn w:val="13"/>
    <w:link w:val="6"/>
    <w:autoRedefine/>
    <w:semiHidden/>
    <w:qFormat/>
    <w:uiPriority w:val="99"/>
    <w:rPr>
      <w:rFonts w:asciiTheme="minorHAnsi" w:hAnsiTheme="minorHAnsi" w:eastAsiaTheme="minorEastAsia" w:cstheme="minorBidi"/>
      <w:kern w:val="2"/>
      <w:sz w:val="21"/>
      <w:szCs w:val="22"/>
    </w:rPr>
  </w:style>
  <w:style w:type="character" w:customStyle="1" w:styleId="26">
    <w:name w:val="Body text|2_"/>
    <w:basedOn w:val="13"/>
    <w:link w:val="27"/>
    <w:autoRedefine/>
    <w:qFormat/>
    <w:uiPriority w:val="0"/>
    <w:rPr>
      <w:b/>
      <w:bCs/>
      <w:w w:val="80"/>
      <w:sz w:val="32"/>
      <w:szCs w:val="32"/>
      <w:lang w:val="zh-TW" w:eastAsia="zh-TW" w:bidi="zh-TW"/>
    </w:rPr>
  </w:style>
  <w:style w:type="paragraph" w:customStyle="1" w:styleId="27">
    <w:name w:val="Body text|2"/>
    <w:basedOn w:val="1"/>
    <w:link w:val="26"/>
    <w:autoRedefine/>
    <w:qFormat/>
    <w:uiPriority w:val="0"/>
    <w:pPr>
      <w:spacing w:after="560" w:line="556" w:lineRule="exact"/>
      <w:ind w:right="180"/>
      <w:jc w:val="right"/>
    </w:pPr>
    <w:rPr>
      <w:rFonts w:ascii="Calibri" w:hAnsi="Calibri" w:eastAsia="宋体" w:cs="Calibri"/>
      <w:b/>
      <w:bCs/>
      <w:w w:val="80"/>
      <w:kern w:val="0"/>
      <w:sz w:val="32"/>
      <w:szCs w:val="32"/>
      <w:lang w:val="zh-TW" w:eastAsia="zh-TW" w:bidi="zh-TW"/>
    </w:rPr>
  </w:style>
  <w:style w:type="paragraph" w:customStyle="1" w:styleId="28">
    <w:name w:val="修订2"/>
    <w:autoRedefine/>
    <w:hidden/>
    <w:unhideWhenUsed/>
    <w:qFormat/>
    <w:uiPriority w:val="99"/>
    <w:rPr>
      <w:rFonts w:asciiTheme="minorHAnsi" w:hAnsiTheme="minorHAnsi" w:eastAsiaTheme="minorEastAsia" w:cstheme="minorBidi"/>
      <w:kern w:val="2"/>
      <w:sz w:val="21"/>
      <w:szCs w:val="22"/>
      <w:lang w:val="en-US" w:eastAsia="zh-CN" w:bidi="ar-SA"/>
    </w:rPr>
  </w:style>
  <w:style w:type="character" w:customStyle="1" w:styleId="29">
    <w:name w:val="font41"/>
    <w:basedOn w:val="13"/>
    <w:qFormat/>
    <w:uiPriority w:val="0"/>
    <w:rPr>
      <w:rFonts w:hint="eastAsia" w:ascii="仿宋" w:hAnsi="仿宋" w:eastAsia="仿宋" w:cs="仿宋"/>
      <w:b/>
      <w:bCs/>
      <w:color w:val="000000"/>
      <w:sz w:val="24"/>
      <w:szCs w:val="24"/>
      <w:u w:val="none"/>
    </w:rPr>
  </w:style>
  <w:style w:type="character" w:customStyle="1" w:styleId="30">
    <w:name w:val="font71"/>
    <w:basedOn w:val="13"/>
    <w:qFormat/>
    <w:uiPriority w:val="0"/>
    <w:rPr>
      <w:rFonts w:hint="eastAsia" w:ascii="仿宋" w:hAnsi="仿宋" w:eastAsia="仿宋" w:cs="仿宋"/>
      <w:b/>
      <w:bCs/>
      <w:color w:val="000000"/>
      <w:sz w:val="24"/>
      <w:szCs w:val="24"/>
      <w:u w:val="none"/>
      <w:vertAlign w:val="superscript"/>
    </w:rPr>
  </w:style>
  <w:style w:type="character" w:customStyle="1" w:styleId="31">
    <w:name w:val="font61"/>
    <w:basedOn w:val="13"/>
    <w:qFormat/>
    <w:uiPriority w:val="0"/>
    <w:rPr>
      <w:rFonts w:hint="eastAsia" w:ascii="仿宋" w:hAnsi="仿宋" w:eastAsia="仿宋" w:cs="仿宋"/>
      <w:b/>
      <w:bCs/>
      <w:color w:val="000000"/>
      <w:sz w:val="24"/>
      <w:szCs w:val="24"/>
      <w:u w:val="none"/>
      <w:vertAlign w:val="superscript"/>
    </w:rPr>
  </w:style>
  <w:style w:type="character" w:customStyle="1" w:styleId="32">
    <w:name w:val="未处理的提及1"/>
    <w:basedOn w:val="13"/>
    <w:semiHidden/>
    <w:unhideWhenUsed/>
    <w:qFormat/>
    <w:uiPriority w:val="99"/>
    <w:rPr>
      <w:color w:val="605E5C"/>
      <w:shd w:val="clear" w:color="auto" w:fill="E1DFDD"/>
    </w:rPr>
  </w:style>
  <w:style w:type="character" w:customStyle="1" w:styleId="33">
    <w:name w:val="正文文本 字符"/>
    <w:basedOn w:val="13"/>
    <w:link w:val="5"/>
    <w:qFormat/>
    <w:uiPriority w:val="0"/>
    <w:rPr>
      <w:rFonts w:asciiTheme="minorHAnsi" w:hAnsiTheme="minorHAnsi" w:eastAsiaTheme="minorEastAsia" w:cstheme="minorBidi"/>
      <w:kern w:val="2"/>
      <w:sz w:val="21"/>
      <w:szCs w:val="22"/>
    </w:rPr>
  </w:style>
  <w:style w:type="paragraph" w:customStyle="1" w:styleId="34">
    <w:name w:val="引言二级条标题"/>
    <w:basedOn w:val="35"/>
    <w:next w:val="36"/>
    <w:autoRedefine/>
    <w:qFormat/>
    <w:uiPriority w:val="0"/>
    <w:pPr>
      <w:tabs>
        <w:tab w:val="left" w:pos="1200"/>
        <w:tab w:val="left" w:pos="1320"/>
      </w:tabs>
      <w:ind w:firstLine="0"/>
    </w:pPr>
    <w:rPr>
      <w:b w:val="0"/>
    </w:rPr>
  </w:style>
  <w:style w:type="paragraph" w:customStyle="1" w:styleId="35">
    <w:name w:val="引言一级条标题"/>
    <w:basedOn w:val="1"/>
    <w:next w:val="36"/>
    <w:autoRedefine/>
    <w:qFormat/>
    <w:uiPriority w:val="0"/>
    <w:pPr>
      <w:widowControl/>
      <w:numPr>
        <w:ilvl w:val="0"/>
        <w:numId w:val="1"/>
      </w:numPr>
    </w:pPr>
    <w:rPr>
      <w:rFonts w:eastAsia="黑体"/>
      <w:b/>
    </w:rPr>
  </w:style>
  <w:style w:type="paragraph" w:customStyle="1" w:styleId="36">
    <w:name w:val="段"/>
    <w:autoRedefine/>
    <w:qFormat/>
    <w:uiPriority w:val="99"/>
    <w:pPr>
      <w:ind w:left="840" w:firstLine="200" w:firstLineChars="200"/>
      <w:jc w:val="both"/>
    </w:pPr>
    <w:rPr>
      <w:rFonts w:ascii="宋体" w:hAnsi="Calibri" w:eastAsia="宋体" w:cs="Times New Roman"/>
      <w:sz w:val="21"/>
      <w:szCs w:val="22"/>
      <w:lang w:val="en-US" w:eastAsia="zh-CN" w:bidi="ar-SA"/>
    </w:rPr>
  </w:style>
  <w:style w:type="paragraph" w:customStyle="1" w:styleId="37">
    <w:name w:val="msonormal"/>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8">
    <w:name w:val="font5"/>
    <w:basedOn w:val="1"/>
    <w:qFormat/>
    <w:uiPriority w:val="0"/>
    <w:pPr>
      <w:widowControl/>
      <w:spacing w:before="100" w:beforeAutospacing="1" w:after="100" w:afterAutospacing="1"/>
      <w:jc w:val="left"/>
    </w:pPr>
    <w:rPr>
      <w:rFonts w:ascii="仿宋" w:hAnsi="仿宋" w:eastAsia="仿宋" w:cs="宋体"/>
      <w:b/>
      <w:bCs/>
      <w:kern w:val="0"/>
      <w:sz w:val="24"/>
      <w:szCs w:val="24"/>
    </w:rPr>
  </w:style>
  <w:style w:type="paragraph" w:customStyle="1" w:styleId="39">
    <w:name w:val="font6"/>
    <w:basedOn w:val="1"/>
    <w:qFormat/>
    <w:uiPriority w:val="0"/>
    <w:pPr>
      <w:widowControl/>
      <w:spacing w:before="100" w:beforeAutospacing="1" w:after="100" w:afterAutospacing="1"/>
      <w:jc w:val="left"/>
    </w:pPr>
    <w:rPr>
      <w:rFonts w:ascii="仿宋" w:hAnsi="仿宋" w:eastAsia="仿宋" w:cs="宋体"/>
      <w:b/>
      <w:bCs/>
      <w:kern w:val="0"/>
      <w:sz w:val="24"/>
      <w:szCs w:val="24"/>
    </w:rPr>
  </w:style>
  <w:style w:type="paragraph" w:customStyle="1" w:styleId="40">
    <w:name w:val="font7"/>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41">
    <w:name w:val="xl6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宋体"/>
      <w:b/>
      <w:bCs/>
      <w:kern w:val="0"/>
      <w:sz w:val="24"/>
      <w:szCs w:val="24"/>
    </w:rPr>
  </w:style>
  <w:style w:type="paragraph" w:customStyle="1" w:styleId="42">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宋体"/>
      <w:b/>
      <w:bCs/>
      <w:kern w:val="0"/>
      <w:sz w:val="24"/>
      <w:szCs w:val="24"/>
    </w:rPr>
  </w:style>
  <w:style w:type="paragraph" w:customStyle="1" w:styleId="43">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宋体"/>
      <w:kern w:val="0"/>
      <w:sz w:val="24"/>
      <w:szCs w:val="24"/>
    </w:rPr>
  </w:style>
  <w:style w:type="paragraph" w:customStyle="1" w:styleId="44">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宋体"/>
      <w:kern w:val="0"/>
      <w:sz w:val="24"/>
      <w:szCs w:val="24"/>
    </w:rPr>
  </w:style>
  <w:style w:type="paragraph" w:customStyle="1" w:styleId="45">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华文中宋" w:hAnsi="华文中宋" w:eastAsia="华文中宋" w:cs="宋体"/>
      <w:b/>
      <w:bCs/>
      <w:kern w:val="0"/>
      <w:sz w:val="36"/>
      <w:szCs w:val="36"/>
    </w:rPr>
  </w:style>
  <w:style w:type="paragraph" w:customStyle="1" w:styleId="46">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华文中宋" w:hAnsi="华文中宋" w:eastAsia="华文中宋" w:cs="宋体"/>
      <w:b/>
      <w:bCs/>
      <w:kern w:val="0"/>
      <w:sz w:val="40"/>
      <w:szCs w:val="40"/>
    </w:rPr>
  </w:style>
  <w:style w:type="paragraph" w:customStyle="1" w:styleId="47">
    <w:name w:val="xl72"/>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仿宋" w:hAnsi="仿宋" w:eastAsia="仿宋" w:cs="宋体"/>
      <w:b/>
      <w:bCs/>
      <w:kern w:val="0"/>
      <w:sz w:val="28"/>
      <w:szCs w:val="28"/>
    </w:rPr>
  </w:style>
  <w:style w:type="paragraph" w:customStyle="1" w:styleId="48">
    <w:name w:val="xl73"/>
    <w:basedOn w:val="1"/>
    <w:qFormat/>
    <w:uiPriority w:val="0"/>
    <w:pPr>
      <w:widowControl/>
      <w:pBdr>
        <w:top w:val="single" w:color="auto" w:sz="4" w:space="0"/>
        <w:bottom w:val="single" w:color="auto" w:sz="4" w:space="0"/>
      </w:pBdr>
      <w:spacing w:before="100" w:beforeAutospacing="1" w:after="100" w:afterAutospacing="1"/>
      <w:jc w:val="left"/>
    </w:pPr>
    <w:rPr>
      <w:rFonts w:ascii="仿宋" w:hAnsi="仿宋" w:eastAsia="仿宋" w:cs="宋体"/>
      <w:b/>
      <w:bCs/>
      <w:kern w:val="0"/>
      <w:sz w:val="28"/>
      <w:szCs w:val="28"/>
    </w:rPr>
  </w:style>
  <w:style w:type="paragraph" w:customStyle="1" w:styleId="49">
    <w:name w:val="xl74"/>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仿宋" w:hAnsi="仿宋" w:eastAsia="仿宋" w:cs="宋体"/>
      <w:b/>
      <w:bCs/>
      <w:kern w:val="0"/>
      <w:sz w:val="28"/>
      <w:szCs w:val="28"/>
    </w:rPr>
  </w:style>
  <w:style w:type="paragraph" w:customStyle="1" w:styleId="50">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宋体"/>
      <w:b/>
      <w:bCs/>
      <w:kern w:val="0"/>
      <w:sz w:val="24"/>
      <w:szCs w:val="24"/>
    </w:rPr>
  </w:style>
  <w:style w:type="paragraph" w:customStyle="1" w:styleId="51">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仿宋" w:hAnsi="仿宋" w:eastAsia="仿宋" w:cs="宋体"/>
      <w:b/>
      <w:bCs/>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72F5BF2-C52E-4D65-A395-AC51822C2854}">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9</Pages>
  <Words>3948</Words>
  <Characters>4236</Characters>
  <Lines>369</Lines>
  <Paragraphs>337</Paragraphs>
  <TotalTime>1</TotalTime>
  <ScaleCrop>false</ScaleCrop>
  <LinksUpToDate>false</LinksUpToDate>
  <CharactersWithSpaces>4244</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2025-04-24T06:41:00Z</dcterms:created>
  <dc:creator>Micorosoft</dc:creator>
  <cp:lastModifiedBy>LXD</cp:lastModifiedBy>
  <cp:lastPrinted>2025-04-07T07:14:00Z</cp:lastPrinted>
  <dcterms:modified xsi:type="dcterms:W3CDTF">2025-08-13T23:40:08Z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257648ACEE8743E6832EEBC75D7E6AC7_13</vt:lpwstr>
  </property>
  <property fmtid="{D5CDD505-2E9C-101B-9397-08002B2CF9AE}" pid="4" name="KSOTemplateDocerSaveRecord">
    <vt:lpwstr>eyJoZGlkIjoiYzVlMGI1ODNhOWMyOWQwMjZkZDg0ODkyNWM3ZmVkMWIiLCJ1c2VySWQiOiI0NDk3NDM2NzgifQ==</vt:lpwstr>
  </property>
</Properties>
</file>