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9270D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35" w:beforeAutospacing="0" w:after="315" w:afterAutospacing="0"/>
        <w:ind w:left="0" w:right="0" w:firstLine="0"/>
        <w:jc w:val="center"/>
        <w:rPr>
          <w:rFonts w:hint="eastAsia" w:ascii="微软雅黑" w:hAnsi="微软雅黑" w:eastAsia="微软雅黑" w:cs="微软雅黑"/>
          <w:b/>
          <w:bCs/>
          <w:color w:val="000000" w:themeColor="text1"/>
          <w:sz w:val="32"/>
          <w:szCs w:val="32"/>
          <w:lang w:val="en-US" w:eastAsia="zh-CN"/>
          <w14:textFill>
            <w14:solidFill>
              <w14:schemeClr w14:val="tx1"/>
            </w14:solidFill>
          </w14:textFill>
        </w:rPr>
      </w:pPr>
      <w:r>
        <w:rPr>
          <w:rFonts w:hint="eastAsia" w:ascii="微软雅黑" w:hAnsi="微软雅黑" w:eastAsia="微软雅黑" w:cs="微软雅黑"/>
          <w:b/>
          <w:bCs/>
          <w:color w:val="000000" w:themeColor="text1"/>
          <w:sz w:val="32"/>
          <w:szCs w:val="32"/>
          <w14:textFill>
            <w14:solidFill>
              <w14:schemeClr w14:val="tx1"/>
            </w14:solidFill>
          </w14:textFill>
        </w:rPr>
        <w:t>重庆创敏科技集团有限责任公司管理人</w:t>
      </w:r>
      <w:r>
        <w:rPr>
          <w:rFonts w:hint="eastAsia" w:ascii="微软雅黑" w:hAnsi="微软雅黑" w:eastAsia="微软雅黑" w:cs="微软雅黑"/>
          <w:b/>
          <w:bCs/>
          <w:color w:val="000000" w:themeColor="text1"/>
          <w:sz w:val="32"/>
          <w:szCs w:val="32"/>
          <w:lang w:val="en-US" w:eastAsia="zh-CN"/>
          <w14:textFill>
            <w14:solidFill>
              <w14:schemeClr w14:val="tx1"/>
            </w14:solidFill>
          </w14:textFill>
        </w:rPr>
        <w:t>关于拍卖</w:t>
      </w:r>
      <w:r>
        <w:rPr>
          <w:rFonts w:hint="eastAsia" w:ascii="微软雅黑" w:hAnsi="微软雅黑" w:eastAsia="微软雅黑" w:cs="微软雅黑"/>
          <w:b/>
          <w:bCs/>
          <w:color w:val="000000" w:themeColor="text1"/>
          <w:sz w:val="32"/>
          <w:szCs w:val="32"/>
          <w14:textFill>
            <w14:solidFill>
              <w14:schemeClr w14:val="tx1"/>
            </w14:solidFill>
          </w14:textFill>
        </w:rPr>
        <w:t>重庆创敏科技集团有限责任公司</w:t>
      </w:r>
      <w:r>
        <w:rPr>
          <w:rFonts w:hint="eastAsia" w:ascii="微软雅黑" w:hAnsi="微软雅黑" w:eastAsia="微软雅黑" w:cs="微软雅黑"/>
          <w:b/>
          <w:bCs/>
          <w:color w:val="000000" w:themeColor="text1"/>
          <w:sz w:val="32"/>
          <w:szCs w:val="32"/>
          <w:lang w:val="en-US" w:eastAsia="zh-CN"/>
          <w14:textFill>
            <w14:solidFill>
              <w14:schemeClr w14:val="tx1"/>
            </w14:solidFill>
          </w14:textFill>
        </w:rPr>
        <w:t>名下商标、专利权、计算机软件著作权一批的竞买公告 </w:t>
      </w:r>
    </w:p>
    <w:p w14:paraId="6FF8103C">
      <w:pPr>
        <w:pStyle w:val="3"/>
        <w:widowControl/>
        <w:wordWrap w:val="0"/>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重庆创敏科技集团有限责任公司管理人（以下简称</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管理人</w:t>
      </w:r>
      <w:r>
        <w:rPr>
          <w:rFonts w:hint="eastAsia" w:ascii="微软雅黑" w:hAnsi="微软雅黑" w:eastAsia="微软雅黑" w:cs="微软雅黑"/>
          <w:color w:val="000000" w:themeColor="text1"/>
          <w:sz w:val="28"/>
          <w:szCs w:val="28"/>
          <w14:textFill>
            <w14:solidFill>
              <w14:schemeClr w14:val="tx1"/>
            </w14:solidFill>
          </w14:textFill>
        </w:rPr>
        <w:t>）将于2025年</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08</w:t>
      </w:r>
      <w:r>
        <w:rPr>
          <w:rFonts w:hint="eastAsia" w:ascii="微软雅黑" w:hAnsi="微软雅黑" w:eastAsia="微软雅黑" w:cs="微软雅黑"/>
          <w:color w:val="000000" w:themeColor="text1"/>
          <w:sz w:val="28"/>
          <w:szCs w:val="28"/>
          <w14:textFill>
            <w14:solidFill>
              <w14:schemeClr w14:val="tx1"/>
            </w14:solidFill>
          </w14:textFill>
        </w:rPr>
        <w:t>月</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21</w:t>
      </w:r>
      <w:r>
        <w:rPr>
          <w:rFonts w:hint="eastAsia" w:ascii="微软雅黑" w:hAnsi="微软雅黑" w:eastAsia="微软雅黑" w:cs="微软雅黑"/>
          <w:color w:val="000000" w:themeColor="text1"/>
          <w:sz w:val="28"/>
          <w:szCs w:val="28"/>
          <w14:textFill>
            <w14:solidFill>
              <w14:schemeClr w14:val="tx1"/>
            </w14:solidFill>
          </w14:textFill>
        </w:rPr>
        <w:t>日10时至2025年</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08</w:t>
      </w:r>
      <w:r>
        <w:rPr>
          <w:rFonts w:hint="eastAsia" w:ascii="微软雅黑" w:hAnsi="微软雅黑" w:eastAsia="微软雅黑" w:cs="微软雅黑"/>
          <w:color w:val="000000" w:themeColor="text1"/>
          <w:sz w:val="28"/>
          <w:szCs w:val="28"/>
          <w14:textFill>
            <w14:solidFill>
              <w14:schemeClr w14:val="tx1"/>
            </w14:solidFill>
          </w14:textFill>
        </w:rPr>
        <w:t>月</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22</w:t>
      </w:r>
      <w:r>
        <w:rPr>
          <w:rFonts w:hint="eastAsia" w:ascii="微软雅黑" w:hAnsi="微软雅黑" w:eastAsia="微软雅黑" w:cs="微软雅黑"/>
          <w:color w:val="000000" w:themeColor="text1"/>
          <w:sz w:val="28"/>
          <w:szCs w:val="28"/>
          <w14:textFill>
            <w14:solidFill>
              <w14:schemeClr w14:val="tx1"/>
            </w14:solidFill>
          </w14:textFill>
        </w:rPr>
        <w:t>日10时止（延时除外）在淘宝网阿里拍卖破产</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强清</w:t>
      </w:r>
      <w:r>
        <w:rPr>
          <w:rFonts w:hint="eastAsia" w:ascii="微软雅黑" w:hAnsi="微软雅黑" w:eastAsia="微软雅黑" w:cs="微软雅黑"/>
          <w:color w:val="000000" w:themeColor="text1"/>
          <w:sz w:val="28"/>
          <w:szCs w:val="28"/>
          <w14:textFill>
            <w14:solidFill>
              <w14:schemeClr w14:val="tx1"/>
            </w14:solidFill>
          </w14:textFill>
        </w:rPr>
        <w:t>平台（处置单位：重庆创敏科技集团有限责任公司管理人，监督单位：重庆市第五中级人民法院，网址：https://susong.taobao.com/）进行公开拍卖活动，现公告如下：</w:t>
      </w:r>
    </w:p>
    <w:p w14:paraId="3491B465"/>
    <w:p w14:paraId="7CE4DB39">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一、重要提示</w:t>
      </w:r>
    </w:p>
    <w:p w14:paraId="282F3ED4">
      <w:pPr>
        <w:pStyle w:val="3"/>
        <w:widowControl/>
        <w:spacing w:beforeAutospacing="0" w:afterAutospacing="0" w:line="360" w:lineRule="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（一）</w:t>
      </w:r>
      <w:r>
        <w:rPr>
          <w:rFonts w:hint="eastAsia" w:ascii="微软雅黑" w:hAnsi="微软雅黑" w:eastAsia="微软雅黑" w:cs="微软雅黑"/>
          <w:color w:val="000000"/>
          <w:sz w:val="28"/>
          <w:szCs w:val="28"/>
        </w:rPr>
        <w:t>郑重声明：本标的系</w:t>
      </w:r>
      <w:r>
        <w:rPr>
          <w:rFonts w:hint="eastAsia" w:ascii="微软雅黑" w:hAnsi="微软雅黑" w:eastAsia="微软雅黑" w:cs="微软雅黑"/>
          <w:color w:val="000000"/>
          <w:sz w:val="28"/>
          <w:szCs w:val="28"/>
          <w:lang w:eastAsia="zh-CN"/>
        </w:rPr>
        <w:t>管理人</w:t>
      </w:r>
      <w:r>
        <w:rPr>
          <w:rFonts w:hint="eastAsia" w:ascii="微软雅黑" w:hAnsi="微软雅黑" w:eastAsia="微软雅黑" w:cs="微软雅黑"/>
          <w:color w:val="000000"/>
          <w:sz w:val="28"/>
          <w:szCs w:val="28"/>
        </w:rPr>
        <w:t>依法独立履行《中华人民共和国企业破产法》第25条6项的职责在破产</w:t>
      </w:r>
      <w:r>
        <w:rPr>
          <w:rFonts w:hint="eastAsia" w:ascii="微软雅黑" w:hAnsi="微软雅黑" w:eastAsia="微软雅黑" w:cs="微软雅黑"/>
          <w:color w:val="000000" w:themeColor="text1"/>
          <w:sz w:val="28"/>
          <w:szCs w:val="28"/>
          <w14:textFill>
            <w14:solidFill>
              <w14:schemeClr w14:val="tx1"/>
            </w14:solidFill>
          </w14:textFill>
        </w:rPr>
        <w:t>强清</w:t>
      </w:r>
      <w:r>
        <w:rPr>
          <w:rFonts w:hint="eastAsia" w:ascii="微软雅黑" w:hAnsi="微软雅黑" w:eastAsia="微软雅黑" w:cs="微软雅黑"/>
          <w:color w:val="000000"/>
          <w:sz w:val="28"/>
          <w:szCs w:val="28"/>
        </w:rPr>
        <w:t>平台处置债务人财产，并承担相应责任。</w:t>
      </w:r>
    </w:p>
    <w:p w14:paraId="7569AB17">
      <w:pPr>
        <w:pStyle w:val="3"/>
        <w:widowControl/>
        <w:spacing w:beforeAutospacing="0" w:afterAutospacing="0" w:line="360" w:lineRule="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二）竞拍前请务必遵照《竞买公告》《竞买须知》及《标的物介绍》要求，进行实地看样、调查标的信息、了解竞买资质、委托代理及尾款支付方式等内容。如违反相关约定，您的保证金可能会被划扣并产生其他法律责任，请理性参拍。</w:t>
      </w:r>
    </w:p>
    <w:p w14:paraId="4510CAAE">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三</w:t>
      </w:r>
      <w:r>
        <w:rPr>
          <w:rFonts w:hint="eastAsia" w:ascii="微软雅黑" w:hAnsi="微软雅黑" w:eastAsia="微软雅黑" w:cs="微软雅黑"/>
          <w:color w:val="000000" w:themeColor="text1"/>
          <w:sz w:val="28"/>
          <w:szCs w:val="28"/>
          <w14:textFill>
            <w14:solidFill>
              <w14:schemeClr w14:val="tx1"/>
            </w14:solidFill>
          </w14:textFill>
        </w:rPr>
        <w:t>）本次拍卖公告所作的情况说明和提供的图片、视频、文字资料等，仅为竞买人参与竞买提供参考，不能作为竞买人判断、权衡价值的最终依据，具体以标的实物现状为准</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竞买人根据自身需求可自行调查、了解、核实。未尽事宜，</w:t>
      </w:r>
      <w:r>
        <w:rPr>
          <w:rFonts w:hint="eastAsia" w:ascii="微软雅黑" w:hAnsi="微软雅黑" w:eastAsia="微软雅黑" w:cs="微软雅黑"/>
          <w:color w:val="000000" w:themeColor="text1"/>
          <w:sz w:val="28"/>
          <w:szCs w:val="28"/>
          <w:lang w:eastAsia="zh-CN"/>
          <w14:textFill>
            <w14:solidFill>
              <w14:schemeClr w14:val="tx1"/>
            </w14:solidFill>
          </w14:textFill>
        </w:rPr>
        <w:t>管理人</w:t>
      </w:r>
      <w:r>
        <w:rPr>
          <w:rFonts w:hint="eastAsia" w:ascii="微软雅黑" w:hAnsi="微软雅黑" w:eastAsia="微软雅黑" w:cs="微软雅黑"/>
          <w:color w:val="000000" w:themeColor="text1"/>
          <w:sz w:val="28"/>
          <w:szCs w:val="28"/>
          <w14:textFill>
            <w14:solidFill>
              <w14:schemeClr w14:val="tx1"/>
            </w14:solidFill>
          </w14:textFill>
        </w:rPr>
        <w:t>、破产人、法院、拍卖机构及拍卖平台均不承担任何责任。有意者请亲自实地看样，未看样的竞买人视为对标的及相关实物现状的认可和接受，并自行承担其可能存在的一切风险、责任和费用。竞买人一旦缴纳保证金参与竞价，无论是否咨询或进行调查，均视为对标的全部情况（包含已知和未知瑕疵）已完全了解，并接受标的现状和一切已知及未知的瑕疵，竞买人应当自行承担可能存在的一切责任、风险和费用。</w:t>
      </w:r>
    </w:p>
    <w:p w14:paraId="4AD2C02A">
      <w:pPr>
        <w:spacing w:line="300" w:lineRule="auto"/>
        <w:textAlignment w:val="center"/>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xml:space="preserve">    （</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四</w:t>
      </w:r>
      <w:r>
        <w:rPr>
          <w:rFonts w:hint="eastAsia" w:ascii="微软雅黑" w:hAnsi="微软雅黑" w:eastAsia="微软雅黑" w:cs="微软雅黑"/>
          <w:color w:val="000000" w:themeColor="text1"/>
          <w:sz w:val="28"/>
          <w:szCs w:val="28"/>
          <w14:textFill>
            <w14:solidFill>
              <w14:schemeClr w14:val="tx1"/>
            </w14:solidFill>
          </w14:textFill>
        </w:rPr>
        <w:t>）平台软件服务费</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系淘宝网</w:t>
      </w:r>
      <w:r>
        <w:rPr>
          <w:rFonts w:hint="eastAsia" w:ascii="微软雅黑" w:hAnsi="微软雅黑" w:eastAsia="微软雅黑" w:cs="微软雅黑"/>
          <w:color w:val="000000" w:themeColor="text1"/>
          <w:sz w:val="28"/>
          <w:szCs w:val="28"/>
          <w14:textFill>
            <w14:solidFill>
              <w14:schemeClr w14:val="tx1"/>
            </w14:solidFill>
          </w14:textFill>
        </w:rPr>
        <w:t xml:space="preserve">阿里资产交易平台在拍卖成交价之外额外向买受人收取的款项。     </w:t>
      </w:r>
    </w:p>
    <w:p w14:paraId="37CBD3E5">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五</w:t>
      </w:r>
      <w:r>
        <w:rPr>
          <w:rFonts w:hint="eastAsia" w:ascii="微软雅黑" w:hAnsi="微软雅黑" w:eastAsia="微软雅黑" w:cs="微软雅黑"/>
          <w:color w:val="000000" w:themeColor="text1"/>
          <w:sz w:val="28"/>
          <w:szCs w:val="28"/>
          <w14:textFill>
            <w14:solidFill>
              <w14:schemeClr w14:val="tx1"/>
            </w14:solidFill>
          </w14:textFill>
        </w:rPr>
        <w:t>）若有纠纷，竞买人应当自寻法律途径解决，</w:t>
      </w:r>
      <w:r>
        <w:rPr>
          <w:rFonts w:hint="eastAsia" w:ascii="微软雅黑" w:hAnsi="微软雅黑" w:eastAsia="微软雅黑" w:cs="微软雅黑"/>
          <w:color w:val="000000" w:themeColor="text1"/>
          <w:sz w:val="28"/>
          <w:szCs w:val="28"/>
          <w:lang w:eastAsia="zh-CN"/>
          <w14:textFill>
            <w14:solidFill>
              <w14:schemeClr w14:val="tx1"/>
            </w14:solidFill>
          </w14:textFill>
        </w:rPr>
        <w:t>管理人</w:t>
      </w:r>
      <w:r>
        <w:rPr>
          <w:rFonts w:hint="eastAsia" w:ascii="微软雅黑" w:hAnsi="微软雅黑" w:eastAsia="微软雅黑" w:cs="微软雅黑"/>
          <w:color w:val="000000" w:themeColor="text1"/>
          <w:sz w:val="28"/>
          <w:szCs w:val="28"/>
          <w14:textFill>
            <w14:solidFill>
              <w14:schemeClr w14:val="tx1"/>
            </w14:solidFill>
          </w14:textFill>
        </w:rPr>
        <w:t>、破产人、法院、拍卖机构及拍卖平台均不负责，竞买人不得因此向</w:t>
      </w:r>
      <w:r>
        <w:rPr>
          <w:rFonts w:hint="eastAsia" w:ascii="微软雅黑" w:hAnsi="微软雅黑" w:eastAsia="微软雅黑" w:cs="微软雅黑"/>
          <w:color w:val="000000" w:themeColor="text1"/>
          <w:sz w:val="28"/>
          <w:szCs w:val="28"/>
          <w:lang w:eastAsia="zh-CN"/>
          <w14:textFill>
            <w14:solidFill>
              <w14:schemeClr w14:val="tx1"/>
            </w14:solidFill>
          </w14:textFill>
        </w:rPr>
        <w:t>管理人</w:t>
      </w:r>
      <w:r>
        <w:rPr>
          <w:rFonts w:hint="eastAsia" w:ascii="微软雅黑" w:hAnsi="微软雅黑" w:eastAsia="微软雅黑" w:cs="微软雅黑"/>
          <w:color w:val="000000" w:themeColor="text1"/>
          <w:sz w:val="28"/>
          <w:szCs w:val="28"/>
          <w14:textFill>
            <w14:solidFill>
              <w14:schemeClr w14:val="tx1"/>
            </w14:solidFill>
          </w14:textFill>
        </w:rPr>
        <w:t>、破产人、法院、拍卖机构及拍卖平台提出任何异议或任何索赔等权利主张，由此产生的问题不影响本次拍卖成交结果及成交价格。请欲报名参与竞价的竞买人充分考虑标的显性和隐性的瑕疵、风险以及市场价格的波动，谨慎选择，慎重决定。</w:t>
      </w:r>
    </w:p>
    <w:p w14:paraId="4897C362"/>
    <w:p w14:paraId="135722C1">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二、拍卖标的及起拍价</w:t>
      </w:r>
    </w:p>
    <w:p w14:paraId="66400867">
      <w:pPr>
        <w:pStyle w:val="3"/>
        <w:widowControl/>
        <w:spacing w:beforeAutospacing="0" w:afterAutospacing="0" w:line="360" w:lineRule="auto"/>
        <w:ind w:firstLine="560" w:firstLineChars="200"/>
        <w:rPr>
          <w:rFonts w:hint="default" w:ascii="微软雅黑" w:hAnsi="微软雅黑" w:eastAsia="微软雅黑" w:cs="微软雅黑"/>
          <w:b/>
          <w:bCs/>
          <w:color w:val="000000" w:themeColor="text1"/>
          <w:sz w:val="28"/>
          <w:szCs w:val="28"/>
          <w:lang w:val="en-US" w:eastAsia="zh-CN"/>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（一）标的：</w:t>
      </w: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重庆创敏科技集团有限责任公司名下商标、专利权、计算机软件著作权一批</w:t>
      </w:r>
    </w:p>
    <w:p w14:paraId="4E1976BF">
      <w:pPr>
        <w:pStyle w:val="3"/>
        <w:widowControl/>
        <w:spacing w:beforeAutospacing="0" w:afterAutospacing="0" w:line="360" w:lineRule="auto"/>
        <w:ind w:firstLine="560" w:firstLineChars="200"/>
        <w:rPr>
          <w:rFonts w:hint="eastAsia" w:ascii="微软雅黑" w:hAnsi="微软雅黑" w:eastAsia="微软雅黑" w:cs="微软雅黑"/>
          <w:b/>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（二）标的基本情况   </w:t>
      </w:r>
    </w:p>
    <w:p w14:paraId="036D5872">
      <w:pPr>
        <w:pStyle w:val="3"/>
        <w:widowControl/>
        <w:spacing w:beforeAutospacing="0" w:afterAutospacing="0" w:line="360" w:lineRule="auto"/>
        <w:ind w:firstLine="560" w:firstLineChars="200"/>
        <w:rPr>
          <w:rFonts w:hint="eastAsia" w:ascii="微软雅黑" w:hAnsi="微软雅黑" w:eastAsia="微软雅黑" w:cs="微软雅黑"/>
          <w:b w:val="0"/>
          <w:bCs w:val="0"/>
          <w:color w:val="auto"/>
          <w:sz w:val="28"/>
          <w:szCs w:val="28"/>
          <w:lang w:val="en-US" w:eastAsia="zh-CN"/>
        </w:rPr>
      </w:pPr>
      <w:r>
        <w:rPr>
          <w:rFonts w:hint="eastAsia" w:ascii="微软雅黑" w:hAnsi="微软雅黑" w:eastAsia="微软雅黑" w:cs="微软雅黑"/>
          <w:b w:val="0"/>
          <w:bCs w:val="0"/>
          <w:color w:val="auto"/>
          <w:kern w:val="2"/>
          <w:sz w:val="28"/>
          <w:szCs w:val="28"/>
          <w:lang w:val="en-US" w:eastAsia="zh-CN" w:bidi="ar-SA"/>
        </w:rPr>
        <w:t>管理人通过接管重庆创敏科技集团有限责任公司现有的商标、专利、计算机的证书资料，以及通过国家知识产权局专利检索与服务系统、中国版权保护中心等国家建设的知识产权官方网站，查询到重庆创敏科技集团有限责任公司名下有商标、专利权、计算机软件著作权一批，</w:t>
      </w:r>
      <w:r>
        <w:rPr>
          <w:rFonts w:hint="eastAsia" w:ascii="微软雅黑" w:hAnsi="微软雅黑" w:eastAsia="微软雅黑" w:cs="微软雅黑"/>
          <w:b w:val="0"/>
          <w:bCs w:val="0"/>
          <w:color w:val="auto"/>
          <w:sz w:val="28"/>
          <w:szCs w:val="28"/>
          <w:lang w:val="en-US" w:eastAsia="zh-CN"/>
        </w:rPr>
        <w:t>主要信息如下：</w:t>
      </w:r>
    </w:p>
    <w:tbl>
      <w:tblPr>
        <w:tblStyle w:val="4"/>
        <w:tblpPr w:leftFromText="180" w:rightFromText="180" w:vertAnchor="text" w:tblpX="93" w:tblpY="1"/>
        <w:tblOverlap w:val="never"/>
        <w:tblW w:w="10152" w:type="dxa"/>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62"/>
        <w:gridCol w:w="1455"/>
        <w:gridCol w:w="1800"/>
        <w:gridCol w:w="2340"/>
        <w:gridCol w:w="2100"/>
        <w:gridCol w:w="825"/>
        <w:gridCol w:w="1170"/>
      </w:tblGrid>
      <w:tr w14:paraId="2AE95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7" w:hRule="atLeast"/>
        </w:trPr>
        <w:tc>
          <w:tcPr>
            <w:tcW w:w="462" w:type="dxa"/>
            <w:shd w:val="clear" w:color="auto" w:fill="auto"/>
            <w:noWrap/>
            <w:vAlign w:val="center"/>
          </w:tcPr>
          <w:p w14:paraId="11259A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455" w:type="dxa"/>
            <w:shd w:val="clear" w:color="auto" w:fill="auto"/>
            <w:noWrap/>
            <w:vAlign w:val="center"/>
          </w:tcPr>
          <w:p w14:paraId="48A655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类别</w:t>
            </w:r>
          </w:p>
        </w:tc>
        <w:tc>
          <w:tcPr>
            <w:tcW w:w="1800" w:type="dxa"/>
            <w:shd w:val="clear" w:color="auto" w:fill="auto"/>
            <w:noWrap/>
            <w:vAlign w:val="center"/>
          </w:tcPr>
          <w:p w14:paraId="4DFEE8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名称</w:t>
            </w:r>
          </w:p>
        </w:tc>
        <w:tc>
          <w:tcPr>
            <w:tcW w:w="2340" w:type="dxa"/>
            <w:shd w:val="clear" w:color="auto" w:fill="auto"/>
            <w:noWrap/>
            <w:vAlign w:val="center"/>
          </w:tcPr>
          <w:p w14:paraId="09D443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登记号/证书号</w:t>
            </w:r>
          </w:p>
        </w:tc>
        <w:tc>
          <w:tcPr>
            <w:tcW w:w="2100" w:type="dxa"/>
            <w:shd w:val="clear" w:color="auto" w:fill="auto"/>
            <w:noWrap/>
            <w:vAlign w:val="center"/>
          </w:tcPr>
          <w:p w14:paraId="083627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分类</w:t>
            </w:r>
          </w:p>
        </w:tc>
        <w:tc>
          <w:tcPr>
            <w:tcW w:w="825" w:type="dxa"/>
            <w:shd w:val="clear" w:color="auto" w:fill="auto"/>
            <w:noWrap/>
            <w:vAlign w:val="center"/>
          </w:tcPr>
          <w:p w14:paraId="267548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有无证件</w:t>
            </w:r>
          </w:p>
        </w:tc>
        <w:tc>
          <w:tcPr>
            <w:tcW w:w="1170" w:type="dxa"/>
            <w:shd w:val="clear" w:color="auto" w:fill="auto"/>
            <w:noWrap/>
            <w:vAlign w:val="center"/>
          </w:tcPr>
          <w:p w14:paraId="11BB8C6F">
            <w:pP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备注</w:t>
            </w:r>
          </w:p>
        </w:tc>
      </w:tr>
      <w:tr w14:paraId="1D492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17623C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55" w:type="dxa"/>
            <w:shd w:val="clear" w:color="auto" w:fill="auto"/>
            <w:noWrap/>
            <w:vAlign w:val="center"/>
          </w:tcPr>
          <w:p w14:paraId="7477B9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商标注册证</w:t>
            </w:r>
          </w:p>
        </w:tc>
        <w:tc>
          <w:tcPr>
            <w:tcW w:w="1800" w:type="dxa"/>
            <w:shd w:val="clear" w:color="auto" w:fill="auto"/>
            <w:noWrap/>
            <w:vAlign w:val="center"/>
          </w:tcPr>
          <w:p w14:paraId="354FE8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贝拉蒙</w:t>
            </w:r>
          </w:p>
        </w:tc>
        <w:tc>
          <w:tcPr>
            <w:tcW w:w="2340" w:type="dxa"/>
            <w:shd w:val="clear" w:color="auto" w:fill="auto"/>
            <w:noWrap/>
            <w:vAlign w:val="center"/>
          </w:tcPr>
          <w:p w14:paraId="066DE3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37925334</w:t>
            </w:r>
          </w:p>
        </w:tc>
        <w:tc>
          <w:tcPr>
            <w:tcW w:w="2100" w:type="dxa"/>
            <w:shd w:val="clear" w:color="auto" w:fill="auto"/>
            <w:noWrap/>
            <w:vAlign w:val="center"/>
          </w:tcPr>
          <w:p w14:paraId="4738ED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第9类</w:t>
            </w:r>
          </w:p>
        </w:tc>
        <w:tc>
          <w:tcPr>
            <w:tcW w:w="825" w:type="dxa"/>
            <w:shd w:val="clear" w:color="auto" w:fill="auto"/>
            <w:noWrap/>
            <w:vAlign w:val="center"/>
          </w:tcPr>
          <w:p w14:paraId="3BF0EE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477C83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FF0000"/>
                <w:kern w:val="0"/>
                <w:sz w:val="22"/>
                <w:szCs w:val="22"/>
                <w:u w:val="none"/>
                <w:lang w:val="en-US" w:eastAsia="zh-CN" w:bidi="ar"/>
              </w:rPr>
              <w:t>有证书，但网站系统未查到</w:t>
            </w:r>
          </w:p>
        </w:tc>
      </w:tr>
      <w:tr w14:paraId="473E5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7A3023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55" w:type="dxa"/>
            <w:shd w:val="clear" w:color="auto" w:fill="auto"/>
            <w:noWrap/>
            <w:vAlign w:val="center"/>
          </w:tcPr>
          <w:p w14:paraId="4E3ECA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商标注册证</w:t>
            </w:r>
          </w:p>
        </w:tc>
        <w:tc>
          <w:tcPr>
            <w:tcW w:w="1800" w:type="dxa"/>
            <w:shd w:val="clear" w:color="auto" w:fill="auto"/>
            <w:noWrap/>
            <w:vAlign w:val="center"/>
          </w:tcPr>
          <w:p w14:paraId="77D1F3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智优集</w:t>
            </w:r>
          </w:p>
        </w:tc>
        <w:tc>
          <w:tcPr>
            <w:tcW w:w="2340" w:type="dxa"/>
            <w:shd w:val="clear" w:color="auto" w:fill="auto"/>
            <w:noWrap/>
            <w:vAlign w:val="center"/>
          </w:tcPr>
          <w:p w14:paraId="17C35C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39953391</w:t>
            </w:r>
          </w:p>
        </w:tc>
        <w:tc>
          <w:tcPr>
            <w:tcW w:w="2100" w:type="dxa"/>
            <w:shd w:val="clear" w:color="auto" w:fill="auto"/>
            <w:noWrap/>
            <w:vAlign w:val="center"/>
          </w:tcPr>
          <w:p w14:paraId="531665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第35类</w:t>
            </w:r>
          </w:p>
        </w:tc>
        <w:tc>
          <w:tcPr>
            <w:tcW w:w="825" w:type="dxa"/>
            <w:shd w:val="clear" w:color="auto" w:fill="auto"/>
            <w:noWrap/>
            <w:vAlign w:val="center"/>
          </w:tcPr>
          <w:p w14:paraId="24B365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05FBA1C6">
            <w:pPr>
              <w:rPr>
                <w:rFonts w:hint="eastAsia" w:ascii="宋体" w:hAnsi="宋体" w:eastAsia="宋体" w:cs="宋体"/>
                <w:i w:val="0"/>
                <w:iCs w:val="0"/>
                <w:color w:val="000000"/>
                <w:sz w:val="22"/>
                <w:szCs w:val="22"/>
                <w:u w:val="none"/>
              </w:rPr>
            </w:pPr>
          </w:p>
        </w:tc>
      </w:tr>
      <w:tr w14:paraId="6AD41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462" w:type="dxa"/>
            <w:shd w:val="clear" w:color="auto" w:fill="auto"/>
            <w:noWrap/>
            <w:vAlign w:val="center"/>
          </w:tcPr>
          <w:p w14:paraId="3D17D2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55" w:type="dxa"/>
            <w:shd w:val="clear" w:color="auto" w:fill="auto"/>
            <w:noWrap/>
            <w:vAlign w:val="center"/>
          </w:tcPr>
          <w:p w14:paraId="61266E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商标注册证</w:t>
            </w:r>
          </w:p>
        </w:tc>
        <w:tc>
          <w:tcPr>
            <w:tcW w:w="1800" w:type="dxa"/>
            <w:shd w:val="clear" w:color="auto" w:fill="auto"/>
            <w:noWrap/>
            <w:vAlign w:val="center"/>
          </w:tcPr>
          <w:p w14:paraId="01246D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聚钱吧</w:t>
            </w:r>
          </w:p>
        </w:tc>
        <w:tc>
          <w:tcPr>
            <w:tcW w:w="2340" w:type="dxa"/>
            <w:shd w:val="clear" w:color="auto" w:fill="auto"/>
            <w:noWrap/>
            <w:vAlign w:val="center"/>
          </w:tcPr>
          <w:p w14:paraId="4CD14F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41004785</w:t>
            </w:r>
          </w:p>
        </w:tc>
        <w:tc>
          <w:tcPr>
            <w:tcW w:w="2100" w:type="dxa"/>
            <w:shd w:val="clear" w:color="auto" w:fill="auto"/>
            <w:noWrap/>
            <w:vAlign w:val="center"/>
          </w:tcPr>
          <w:p w14:paraId="1556FA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第35类、第42类</w:t>
            </w:r>
          </w:p>
        </w:tc>
        <w:tc>
          <w:tcPr>
            <w:tcW w:w="825" w:type="dxa"/>
            <w:shd w:val="clear" w:color="auto" w:fill="auto"/>
            <w:noWrap/>
            <w:vAlign w:val="center"/>
          </w:tcPr>
          <w:p w14:paraId="3C107F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0C2F9369">
            <w:pPr>
              <w:rPr>
                <w:rFonts w:hint="eastAsia" w:ascii="宋体" w:hAnsi="宋体" w:eastAsia="宋体" w:cs="宋体"/>
                <w:i w:val="0"/>
                <w:iCs w:val="0"/>
                <w:color w:val="000000"/>
                <w:sz w:val="22"/>
                <w:szCs w:val="22"/>
                <w:u w:val="none"/>
              </w:rPr>
            </w:pPr>
          </w:p>
        </w:tc>
      </w:tr>
      <w:tr w14:paraId="70E47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462" w:type="dxa"/>
            <w:shd w:val="clear" w:color="auto" w:fill="auto"/>
            <w:noWrap/>
            <w:vAlign w:val="center"/>
          </w:tcPr>
          <w:p w14:paraId="3ADCA6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55" w:type="dxa"/>
            <w:shd w:val="clear" w:color="auto" w:fill="auto"/>
            <w:noWrap/>
            <w:vAlign w:val="center"/>
          </w:tcPr>
          <w:p w14:paraId="081E98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商标注册证</w:t>
            </w:r>
          </w:p>
        </w:tc>
        <w:tc>
          <w:tcPr>
            <w:tcW w:w="1800" w:type="dxa"/>
            <w:shd w:val="clear" w:color="auto" w:fill="auto"/>
            <w:noWrap/>
            <w:vAlign w:val="center"/>
          </w:tcPr>
          <w:p w14:paraId="7BD9EB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敏鱼</w:t>
            </w:r>
          </w:p>
        </w:tc>
        <w:tc>
          <w:tcPr>
            <w:tcW w:w="2340" w:type="dxa"/>
            <w:shd w:val="clear" w:color="auto" w:fill="auto"/>
            <w:noWrap/>
            <w:vAlign w:val="center"/>
          </w:tcPr>
          <w:p w14:paraId="0CC8B9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53285555</w:t>
            </w:r>
          </w:p>
        </w:tc>
        <w:tc>
          <w:tcPr>
            <w:tcW w:w="2100" w:type="dxa"/>
            <w:shd w:val="clear" w:color="auto" w:fill="auto"/>
            <w:noWrap/>
            <w:vAlign w:val="center"/>
          </w:tcPr>
          <w:p w14:paraId="6B81E0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第9类</w:t>
            </w:r>
          </w:p>
        </w:tc>
        <w:tc>
          <w:tcPr>
            <w:tcW w:w="825" w:type="dxa"/>
            <w:shd w:val="clear" w:color="auto" w:fill="auto"/>
            <w:noWrap/>
            <w:vAlign w:val="center"/>
          </w:tcPr>
          <w:p w14:paraId="724494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5BA1DEB6">
            <w:pPr>
              <w:rPr>
                <w:rFonts w:hint="eastAsia" w:ascii="宋体" w:hAnsi="宋体" w:eastAsia="宋体" w:cs="宋体"/>
                <w:i w:val="0"/>
                <w:iCs w:val="0"/>
                <w:color w:val="000000"/>
                <w:sz w:val="22"/>
                <w:szCs w:val="22"/>
                <w:u w:val="none"/>
              </w:rPr>
            </w:pPr>
          </w:p>
        </w:tc>
      </w:tr>
      <w:tr w14:paraId="68CC2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29C080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55" w:type="dxa"/>
            <w:shd w:val="clear" w:color="auto" w:fill="auto"/>
            <w:noWrap/>
            <w:vAlign w:val="center"/>
          </w:tcPr>
          <w:p w14:paraId="5C6682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商标注册证</w:t>
            </w:r>
          </w:p>
        </w:tc>
        <w:tc>
          <w:tcPr>
            <w:tcW w:w="1800" w:type="dxa"/>
            <w:shd w:val="clear" w:color="auto" w:fill="auto"/>
            <w:noWrap/>
            <w:vAlign w:val="center"/>
          </w:tcPr>
          <w:p w14:paraId="23D561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敏象</w:t>
            </w:r>
          </w:p>
        </w:tc>
        <w:tc>
          <w:tcPr>
            <w:tcW w:w="2340" w:type="dxa"/>
            <w:shd w:val="clear" w:color="auto" w:fill="auto"/>
            <w:noWrap/>
            <w:vAlign w:val="center"/>
          </w:tcPr>
          <w:p w14:paraId="50CC6D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53305369A</w:t>
            </w:r>
          </w:p>
        </w:tc>
        <w:tc>
          <w:tcPr>
            <w:tcW w:w="2100" w:type="dxa"/>
            <w:shd w:val="clear" w:color="auto" w:fill="auto"/>
            <w:noWrap/>
            <w:vAlign w:val="center"/>
          </w:tcPr>
          <w:p w14:paraId="0EFDCC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第9类</w:t>
            </w:r>
          </w:p>
        </w:tc>
        <w:tc>
          <w:tcPr>
            <w:tcW w:w="825" w:type="dxa"/>
            <w:shd w:val="clear" w:color="auto" w:fill="auto"/>
            <w:noWrap/>
            <w:vAlign w:val="center"/>
          </w:tcPr>
          <w:p w14:paraId="74A3CE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5C06AE53">
            <w:pPr>
              <w:rPr>
                <w:rFonts w:hint="eastAsia" w:ascii="宋体" w:hAnsi="宋体" w:eastAsia="宋体" w:cs="宋体"/>
                <w:i w:val="0"/>
                <w:iCs w:val="0"/>
                <w:color w:val="000000"/>
                <w:sz w:val="22"/>
                <w:szCs w:val="22"/>
                <w:u w:val="none"/>
              </w:rPr>
            </w:pPr>
          </w:p>
        </w:tc>
      </w:tr>
      <w:tr w14:paraId="2181B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25C868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55" w:type="dxa"/>
            <w:shd w:val="clear" w:color="auto" w:fill="auto"/>
            <w:noWrap/>
            <w:vAlign w:val="center"/>
          </w:tcPr>
          <w:p w14:paraId="32123F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商标注册证</w:t>
            </w:r>
          </w:p>
        </w:tc>
        <w:tc>
          <w:tcPr>
            <w:tcW w:w="1800" w:type="dxa"/>
            <w:shd w:val="clear" w:color="auto" w:fill="auto"/>
            <w:noWrap/>
            <w:vAlign w:val="center"/>
          </w:tcPr>
          <w:p w14:paraId="1B0935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敏家</w:t>
            </w:r>
          </w:p>
        </w:tc>
        <w:tc>
          <w:tcPr>
            <w:tcW w:w="2340" w:type="dxa"/>
            <w:shd w:val="clear" w:color="auto" w:fill="auto"/>
            <w:noWrap/>
            <w:vAlign w:val="center"/>
          </w:tcPr>
          <w:p w14:paraId="16CB3A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49021313</w:t>
            </w:r>
          </w:p>
        </w:tc>
        <w:tc>
          <w:tcPr>
            <w:tcW w:w="2100" w:type="dxa"/>
            <w:shd w:val="clear" w:color="auto" w:fill="auto"/>
            <w:noWrap/>
            <w:vAlign w:val="center"/>
          </w:tcPr>
          <w:p w14:paraId="0E2CD5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第9类</w:t>
            </w:r>
          </w:p>
        </w:tc>
        <w:tc>
          <w:tcPr>
            <w:tcW w:w="825" w:type="dxa"/>
            <w:shd w:val="clear" w:color="auto" w:fill="auto"/>
            <w:noWrap/>
            <w:vAlign w:val="center"/>
          </w:tcPr>
          <w:p w14:paraId="123C6D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106A3212">
            <w:pPr>
              <w:rPr>
                <w:rFonts w:hint="eastAsia" w:ascii="宋体" w:hAnsi="宋体" w:eastAsia="宋体" w:cs="宋体"/>
                <w:i w:val="0"/>
                <w:iCs w:val="0"/>
                <w:color w:val="000000"/>
                <w:sz w:val="22"/>
                <w:szCs w:val="22"/>
                <w:u w:val="none"/>
              </w:rPr>
            </w:pPr>
          </w:p>
        </w:tc>
      </w:tr>
      <w:tr w14:paraId="3B890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7E64DA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55" w:type="dxa"/>
            <w:shd w:val="clear" w:color="auto" w:fill="auto"/>
            <w:noWrap/>
            <w:vAlign w:val="center"/>
          </w:tcPr>
          <w:p w14:paraId="386C95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商标注册证</w:t>
            </w:r>
          </w:p>
        </w:tc>
        <w:tc>
          <w:tcPr>
            <w:tcW w:w="1800" w:type="dxa"/>
            <w:shd w:val="clear" w:color="auto" w:fill="auto"/>
            <w:noWrap/>
            <w:vAlign w:val="center"/>
          </w:tcPr>
          <w:p w14:paraId="3BE7F8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天越梦</w:t>
            </w:r>
          </w:p>
        </w:tc>
        <w:tc>
          <w:tcPr>
            <w:tcW w:w="2340" w:type="dxa"/>
            <w:shd w:val="clear" w:color="auto" w:fill="auto"/>
            <w:noWrap/>
            <w:vAlign w:val="center"/>
          </w:tcPr>
          <w:p w14:paraId="6AFAFA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2"/>
                <w:szCs w:val="22"/>
                <w:u w:val="none"/>
                <w:lang w:val="en-US" w:eastAsia="zh-CN" w:bidi="ar"/>
              </w:rPr>
              <w:fldChar w:fldCharType="begin"/>
            </w:r>
            <w:r>
              <w:rPr>
                <w:rFonts w:hint="eastAsia" w:ascii="宋体" w:hAnsi="宋体" w:eastAsia="宋体" w:cs="宋体"/>
                <w:i w:val="0"/>
                <w:iCs w:val="0"/>
                <w:color w:val="auto"/>
                <w:kern w:val="0"/>
                <w:sz w:val="22"/>
                <w:szCs w:val="22"/>
                <w:u w:val="none"/>
                <w:lang w:val="en-US" w:eastAsia="zh-CN" w:bidi="ar"/>
              </w:rPr>
              <w:instrText xml:space="preserve"> HYPERLINK "https://wcjs.sbj.cnipa.gov.cn/javascript:void(0);" \o "https://wcjs.sbj.cnipa.gov.cn/javascript:void(0);" </w:instrText>
            </w:r>
            <w:r>
              <w:rPr>
                <w:rFonts w:hint="eastAsia" w:ascii="宋体" w:hAnsi="宋体" w:eastAsia="宋体" w:cs="宋体"/>
                <w:i w:val="0"/>
                <w:iCs w:val="0"/>
                <w:color w:val="auto"/>
                <w:kern w:val="0"/>
                <w:sz w:val="22"/>
                <w:szCs w:val="22"/>
                <w:u w:val="none"/>
                <w:lang w:val="en-US" w:eastAsia="zh-CN" w:bidi="ar"/>
              </w:rPr>
              <w:fldChar w:fldCharType="separate"/>
            </w:r>
            <w:r>
              <w:rPr>
                <w:rStyle w:val="8"/>
                <w:rFonts w:hint="eastAsia" w:ascii="宋体" w:hAnsi="宋体" w:eastAsia="宋体" w:cs="宋体"/>
                <w:i w:val="0"/>
                <w:iCs w:val="0"/>
                <w:color w:val="auto"/>
                <w:sz w:val="22"/>
                <w:szCs w:val="22"/>
                <w:u w:val="none"/>
              </w:rPr>
              <w:t>65894981</w:t>
            </w:r>
            <w:r>
              <w:rPr>
                <w:rFonts w:hint="eastAsia" w:ascii="宋体" w:hAnsi="宋体" w:eastAsia="宋体" w:cs="宋体"/>
                <w:i w:val="0"/>
                <w:iCs w:val="0"/>
                <w:color w:val="auto"/>
                <w:kern w:val="0"/>
                <w:sz w:val="22"/>
                <w:szCs w:val="22"/>
                <w:u w:val="none"/>
                <w:lang w:val="en-US" w:eastAsia="zh-CN" w:bidi="ar"/>
              </w:rPr>
              <w:fldChar w:fldCharType="end"/>
            </w:r>
          </w:p>
        </w:tc>
        <w:tc>
          <w:tcPr>
            <w:tcW w:w="2100" w:type="dxa"/>
            <w:shd w:val="clear" w:color="auto" w:fill="auto"/>
            <w:noWrap/>
            <w:vAlign w:val="center"/>
          </w:tcPr>
          <w:p w14:paraId="78C7E1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第9类</w:t>
            </w:r>
          </w:p>
        </w:tc>
        <w:tc>
          <w:tcPr>
            <w:tcW w:w="825" w:type="dxa"/>
            <w:shd w:val="clear" w:color="auto" w:fill="auto"/>
            <w:noWrap/>
            <w:vAlign w:val="center"/>
          </w:tcPr>
          <w:p w14:paraId="56B4BE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无证</w:t>
            </w:r>
          </w:p>
        </w:tc>
        <w:tc>
          <w:tcPr>
            <w:tcW w:w="1170" w:type="dxa"/>
            <w:shd w:val="clear" w:color="auto" w:fill="auto"/>
            <w:noWrap/>
            <w:vAlign w:val="center"/>
          </w:tcPr>
          <w:p w14:paraId="7C10F8E0">
            <w:pPr>
              <w:rPr>
                <w:rFonts w:hint="eastAsia" w:ascii="宋体" w:hAnsi="宋体" w:eastAsia="宋体" w:cs="宋体"/>
                <w:i w:val="0"/>
                <w:iCs w:val="0"/>
                <w:color w:val="000000"/>
                <w:sz w:val="22"/>
                <w:szCs w:val="22"/>
                <w:u w:val="none"/>
              </w:rPr>
            </w:pPr>
          </w:p>
        </w:tc>
      </w:tr>
      <w:tr w14:paraId="1B540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trPr>
        <w:tc>
          <w:tcPr>
            <w:tcW w:w="462" w:type="dxa"/>
            <w:shd w:val="clear" w:color="auto" w:fill="auto"/>
            <w:noWrap/>
            <w:vAlign w:val="center"/>
          </w:tcPr>
          <w:p w14:paraId="7B0EBF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55" w:type="dxa"/>
            <w:shd w:val="clear" w:color="auto" w:fill="auto"/>
            <w:noWrap/>
            <w:vAlign w:val="center"/>
          </w:tcPr>
          <w:p w14:paraId="625812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商标注册证</w:t>
            </w:r>
          </w:p>
        </w:tc>
        <w:tc>
          <w:tcPr>
            <w:tcW w:w="1800" w:type="dxa"/>
            <w:shd w:val="clear" w:color="auto" w:fill="auto"/>
            <w:noWrap/>
            <w:vAlign w:val="center"/>
          </w:tcPr>
          <w:p w14:paraId="4FB30B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155575</wp:posOffset>
                  </wp:positionH>
                  <wp:positionV relativeFrom="paragraph">
                    <wp:posOffset>41275</wp:posOffset>
                  </wp:positionV>
                  <wp:extent cx="496570" cy="381000"/>
                  <wp:effectExtent l="0" t="0" r="17780" b="0"/>
                  <wp:wrapNone/>
                  <wp:docPr id="1" name="图片_6"/>
                  <wp:cNvGraphicFramePr/>
                  <a:graphic xmlns:a="http://schemas.openxmlformats.org/drawingml/2006/main">
                    <a:graphicData uri="http://schemas.openxmlformats.org/drawingml/2006/picture">
                      <pic:pic xmlns:pic="http://schemas.openxmlformats.org/drawingml/2006/picture">
                        <pic:nvPicPr>
                          <pic:cNvPr id="1" name="图片_6"/>
                          <pic:cNvPicPr/>
                        </pic:nvPicPr>
                        <pic:blipFill>
                          <a:blip r:embed="rId4"/>
                          <a:stretch>
                            <a:fillRect/>
                          </a:stretch>
                        </pic:blipFill>
                        <pic:spPr>
                          <a:xfrm>
                            <a:off x="0" y="0"/>
                            <a:ext cx="496570" cy="381000"/>
                          </a:xfrm>
                          <a:prstGeom prst="rect">
                            <a:avLst/>
                          </a:prstGeom>
                          <a:noFill/>
                          <a:ln>
                            <a:noFill/>
                          </a:ln>
                        </pic:spPr>
                      </pic:pic>
                    </a:graphicData>
                  </a:graphic>
                </wp:anchor>
              </w:drawing>
            </w:r>
          </w:p>
        </w:tc>
        <w:tc>
          <w:tcPr>
            <w:tcW w:w="2340" w:type="dxa"/>
            <w:shd w:val="clear" w:color="auto" w:fill="auto"/>
            <w:noWrap/>
            <w:vAlign w:val="center"/>
          </w:tcPr>
          <w:p w14:paraId="47E27D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42401262/42397611</w:t>
            </w:r>
          </w:p>
        </w:tc>
        <w:tc>
          <w:tcPr>
            <w:tcW w:w="2100" w:type="dxa"/>
            <w:shd w:val="clear" w:color="auto" w:fill="auto"/>
            <w:noWrap/>
            <w:vAlign w:val="center"/>
          </w:tcPr>
          <w:p w14:paraId="0A7F82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第35类、第42类</w:t>
            </w:r>
          </w:p>
        </w:tc>
        <w:tc>
          <w:tcPr>
            <w:tcW w:w="825" w:type="dxa"/>
            <w:shd w:val="clear" w:color="auto" w:fill="auto"/>
            <w:noWrap/>
            <w:vAlign w:val="center"/>
          </w:tcPr>
          <w:p w14:paraId="28CDDB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无证</w:t>
            </w:r>
          </w:p>
        </w:tc>
        <w:tc>
          <w:tcPr>
            <w:tcW w:w="1170" w:type="dxa"/>
            <w:shd w:val="clear" w:color="auto" w:fill="auto"/>
            <w:noWrap/>
            <w:vAlign w:val="center"/>
          </w:tcPr>
          <w:p w14:paraId="2E908F56">
            <w:pPr>
              <w:rPr>
                <w:rFonts w:hint="eastAsia" w:ascii="宋体" w:hAnsi="宋体" w:eastAsia="宋体" w:cs="宋体"/>
                <w:i w:val="0"/>
                <w:iCs w:val="0"/>
                <w:color w:val="000000"/>
                <w:sz w:val="22"/>
                <w:szCs w:val="22"/>
                <w:u w:val="none"/>
              </w:rPr>
            </w:pPr>
          </w:p>
        </w:tc>
      </w:tr>
      <w:tr w14:paraId="07E1D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462" w:type="dxa"/>
            <w:shd w:val="clear" w:color="auto" w:fill="auto"/>
            <w:noWrap/>
            <w:vAlign w:val="center"/>
          </w:tcPr>
          <w:p w14:paraId="1B3AE2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55" w:type="dxa"/>
            <w:shd w:val="clear" w:color="auto" w:fill="auto"/>
            <w:noWrap/>
            <w:vAlign w:val="center"/>
          </w:tcPr>
          <w:p w14:paraId="55399F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商标注册证</w:t>
            </w:r>
          </w:p>
        </w:tc>
        <w:tc>
          <w:tcPr>
            <w:tcW w:w="1800" w:type="dxa"/>
            <w:shd w:val="clear" w:color="auto" w:fill="auto"/>
            <w:noWrap/>
            <w:vAlign w:val="center"/>
          </w:tcPr>
          <w:p w14:paraId="55D4BE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215900</wp:posOffset>
                  </wp:positionH>
                  <wp:positionV relativeFrom="paragraph">
                    <wp:posOffset>57150</wp:posOffset>
                  </wp:positionV>
                  <wp:extent cx="421640" cy="391160"/>
                  <wp:effectExtent l="0" t="0" r="16510" b="8890"/>
                  <wp:wrapNone/>
                  <wp:docPr id="3" name="图片_7"/>
                  <wp:cNvGraphicFramePr/>
                  <a:graphic xmlns:a="http://schemas.openxmlformats.org/drawingml/2006/main">
                    <a:graphicData uri="http://schemas.openxmlformats.org/drawingml/2006/picture">
                      <pic:pic xmlns:pic="http://schemas.openxmlformats.org/drawingml/2006/picture">
                        <pic:nvPicPr>
                          <pic:cNvPr id="3" name="图片_7"/>
                          <pic:cNvPicPr/>
                        </pic:nvPicPr>
                        <pic:blipFill>
                          <a:blip r:embed="rId5"/>
                          <a:stretch>
                            <a:fillRect/>
                          </a:stretch>
                        </pic:blipFill>
                        <pic:spPr>
                          <a:xfrm>
                            <a:off x="0" y="0"/>
                            <a:ext cx="421640" cy="391160"/>
                          </a:xfrm>
                          <a:prstGeom prst="rect">
                            <a:avLst/>
                          </a:prstGeom>
                          <a:noFill/>
                          <a:ln>
                            <a:noFill/>
                          </a:ln>
                        </pic:spPr>
                      </pic:pic>
                    </a:graphicData>
                  </a:graphic>
                </wp:anchor>
              </w:drawing>
            </w:r>
          </w:p>
        </w:tc>
        <w:tc>
          <w:tcPr>
            <w:tcW w:w="2340" w:type="dxa"/>
            <w:shd w:val="clear" w:color="auto" w:fill="auto"/>
            <w:noWrap/>
            <w:vAlign w:val="center"/>
          </w:tcPr>
          <w:p w14:paraId="65CEBF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41445620</w:t>
            </w:r>
          </w:p>
        </w:tc>
        <w:tc>
          <w:tcPr>
            <w:tcW w:w="2100" w:type="dxa"/>
            <w:shd w:val="clear" w:color="auto" w:fill="auto"/>
            <w:noWrap/>
            <w:vAlign w:val="center"/>
          </w:tcPr>
          <w:p w14:paraId="1E882C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第42类</w:t>
            </w:r>
          </w:p>
        </w:tc>
        <w:tc>
          <w:tcPr>
            <w:tcW w:w="825" w:type="dxa"/>
            <w:shd w:val="clear" w:color="auto" w:fill="auto"/>
            <w:noWrap/>
            <w:vAlign w:val="center"/>
          </w:tcPr>
          <w:p w14:paraId="43693D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无证</w:t>
            </w:r>
          </w:p>
        </w:tc>
        <w:tc>
          <w:tcPr>
            <w:tcW w:w="1170" w:type="dxa"/>
            <w:shd w:val="clear" w:color="auto" w:fill="auto"/>
            <w:noWrap/>
            <w:vAlign w:val="center"/>
          </w:tcPr>
          <w:p w14:paraId="4968780D">
            <w:pPr>
              <w:rPr>
                <w:rFonts w:hint="eastAsia" w:ascii="宋体" w:hAnsi="宋体" w:eastAsia="宋体" w:cs="宋体"/>
                <w:i w:val="0"/>
                <w:iCs w:val="0"/>
                <w:color w:val="000000"/>
                <w:sz w:val="22"/>
                <w:szCs w:val="22"/>
                <w:u w:val="none"/>
              </w:rPr>
            </w:pPr>
          </w:p>
        </w:tc>
      </w:tr>
      <w:tr w14:paraId="28314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7" w:hRule="atLeast"/>
        </w:trPr>
        <w:tc>
          <w:tcPr>
            <w:tcW w:w="462" w:type="dxa"/>
            <w:shd w:val="clear" w:color="auto" w:fill="auto"/>
            <w:noWrap/>
            <w:vAlign w:val="center"/>
          </w:tcPr>
          <w:p w14:paraId="6D1701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55" w:type="dxa"/>
            <w:shd w:val="clear" w:color="auto" w:fill="auto"/>
            <w:noWrap/>
            <w:vAlign w:val="center"/>
          </w:tcPr>
          <w:p w14:paraId="3D9F84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商标注册证</w:t>
            </w:r>
          </w:p>
        </w:tc>
        <w:tc>
          <w:tcPr>
            <w:tcW w:w="1800" w:type="dxa"/>
            <w:shd w:val="clear" w:color="auto" w:fill="auto"/>
            <w:noWrap/>
            <w:vAlign w:val="center"/>
          </w:tcPr>
          <w:p w14:paraId="0FC3B1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76200</wp:posOffset>
                  </wp:positionH>
                  <wp:positionV relativeFrom="paragraph">
                    <wp:posOffset>0</wp:posOffset>
                  </wp:positionV>
                  <wp:extent cx="939800" cy="228600"/>
                  <wp:effectExtent l="0" t="0" r="12700" b="0"/>
                  <wp:wrapNone/>
                  <wp:docPr id="2" name="图片_8"/>
                  <wp:cNvGraphicFramePr/>
                  <a:graphic xmlns:a="http://schemas.openxmlformats.org/drawingml/2006/main">
                    <a:graphicData uri="http://schemas.openxmlformats.org/drawingml/2006/picture">
                      <pic:pic xmlns:pic="http://schemas.openxmlformats.org/drawingml/2006/picture">
                        <pic:nvPicPr>
                          <pic:cNvPr id="2" name="图片_8"/>
                          <pic:cNvPicPr/>
                        </pic:nvPicPr>
                        <pic:blipFill>
                          <a:blip r:embed="rId6"/>
                          <a:stretch>
                            <a:fillRect/>
                          </a:stretch>
                        </pic:blipFill>
                        <pic:spPr>
                          <a:xfrm>
                            <a:off x="0" y="0"/>
                            <a:ext cx="939800" cy="228600"/>
                          </a:xfrm>
                          <a:prstGeom prst="rect">
                            <a:avLst/>
                          </a:prstGeom>
                          <a:noFill/>
                          <a:ln>
                            <a:noFill/>
                          </a:ln>
                        </pic:spPr>
                      </pic:pic>
                    </a:graphicData>
                  </a:graphic>
                </wp:anchor>
              </w:drawing>
            </w:r>
          </w:p>
        </w:tc>
        <w:tc>
          <w:tcPr>
            <w:tcW w:w="2340" w:type="dxa"/>
            <w:shd w:val="clear" w:color="auto" w:fill="auto"/>
            <w:noWrap/>
            <w:vAlign w:val="center"/>
          </w:tcPr>
          <w:p w14:paraId="510078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39934907</w:t>
            </w:r>
          </w:p>
        </w:tc>
        <w:tc>
          <w:tcPr>
            <w:tcW w:w="2100" w:type="dxa"/>
            <w:shd w:val="clear" w:color="auto" w:fill="auto"/>
            <w:noWrap/>
            <w:vAlign w:val="center"/>
          </w:tcPr>
          <w:p w14:paraId="681E29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第35类、第42类</w:t>
            </w:r>
          </w:p>
        </w:tc>
        <w:tc>
          <w:tcPr>
            <w:tcW w:w="825" w:type="dxa"/>
            <w:shd w:val="clear" w:color="auto" w:fill="auto"/>
            <w:noWrap/>
            <w:vAlign w:val="center"/>
          </w:tcPr>
          <w:p w14:paraId="62F70E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无证</w:t>
            </w:r>
          </w:p>
        </w:tc>
        <w:tc>
          <w:tcPr>
            <w:tcW w:w="1170" w:type="dxa"/>
            <w:shd w:val="clear" w:color="auto" w:fill="auto"/>
            <w:noWrap/>
            <w:vAlign w:val="center"/>
          </w:tcPr>
          <w:p w14:paraId="1DB7A774">
            <w:pPr>
              <w:rPr>
                <w:rFonts w:hint="eastAsia" w:ascii="宋体" w:hAnsi="宋体" w:eastAsia="宋体" w:cs="宋体"/>
                <w:i w:val="0"/>
                <w:iCs w:val="0"/>
                <w:color w:val="000000"/>
                <w:sz w:val="22"/>
                <w:szCs w:val="22"/>
                <w:u w:val="none"/>
              </w:rPr>
            </w:pPr>
          </w:p>
        </w:tc>
      </w:tr>
      <w:tr w14:paraId="00224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4206DD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455" w:type="dxa"/>
            <w:shd w:val="clear" w:color="auto" w:fill="auto"/>
            <w:noWrap/>
            <w:vAlign w:val="center"/>
          </w:tcPr>
          <w:p w14:paraId="5E163C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实用新型专利证书</w:t>
            </w:r>
          </w:p>
        </w:tc>
        <w:tc>
          <w:tcPr>
            <w:tcW w:w="1800" w:type="dxa"/>
            <w:shd w:val="clear" w:color="auto" w:fill="auto"/>
            <w:noWrap/>
            <w:vAlign w:val="center"/>
          </w:tcPr>
          <w:p w14:paraId="77E557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便于运输的机器人底座</w:t>
            </w:r>
          </w:p>
        </w:tc>
        <w:tc>
          <w:tcPr>
            <w:tcW w:w="2340" w:type="dxa"/>
            <w:shd w:val="clear" w:color="auto" w:fill="auto"/>
            <w:noWrap/>
            <w:vAlign w:val="center"/>
          </w:tcPr>
          <w:p w14:paraId="06D888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CN201921657592.9</w:t>
            </w:r>
          </w:p>
        </w:tc>
        <w:tc>
          <w:tcPr>
            <w:tcW w:w="2100" w:type="dxa"/>
            <w:shd w:val="clear" w:color="auto" w:fill="auto"/>
            <w:noWrap/>
            <w:vAlign w:val="center"/>
          </w:tcPr>
          <w:p w14:paraId="682840C3">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5C06EC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7D5ACA76">
            <w:pPr>
              <w:rPr>
                <w:rFonts w:hint="eastAsia" w:ascii="宋体" w:hAnsi="宋体" w:eastAsia="宋体" w:cs="宋体"/>
                <w:i w:val="0"/>
                <w:iCs w:val="0"/>
                <w:color w:val="000000"/>
                <w:sz w:val="22"/>
                <w:szCs w:val="22"/>
                <w:u w:val="none"/>
              </w:rPr>
            </w:pPr>
          </w:p>
        </w:tc>
      </w:tr>
      <w:tr w14:paraId="2614C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50BB61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455" w:type="dxa"/>
            <w:shd w:val="clear" w:color="auto" w:fill="auto"/>
            <w:noWrap/>
            <w:vAlign w:val="center"/>
          </w:tcPr>
          <w:p w14:paraId="14AF99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实用新型专利证书</w:t>
            </w:r>
          </w:p>
        </w:tc>
        <w:tc>
          <w:tcPr>
            <w:tcW w:w="1800" w:type="dxa"/>
            <w:shd w:val="clear" w:color="auto" w:fill="auto"/>
            <w:noWrap/>
            <w:vAlign w:val="center"/>
          </w:tcPr>
          <w:p w14:paraId="75CE81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儿童娱乐教育机器人</w:t>
            </w:r>
          </w:p>
        </w:tc>
        <w:tc>
          <w:tcPr>
            <w:tcW w:w="2340" w:type="dxa"/>
            <w:shd w:val="clear" w:color="auto" w:fill="auto"/>
            <w:noWrap/>
            <w:vAlign w:val="center"/>
          </w:tcPr>
          <w:p w14:paraId="4C71F0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CN201921657593.3</w:t>
            </w:r>
          </w:p>
        </w:tc>
        <w:tc>
          <w:tcPr>
            <w:tcW w:w="2100" w:type="dxa"/>
            <w:shd w:val="clear" w:color="auto" w:fill="auto"/>
            <w:noWrap/>
            <w:vAlign w:val="center"/>
          </w:tcPr>
          <w:p w14:paraId="20563F74">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1CBB16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0D967D85">
            <w:pPr>
              <w:rPr>
                <w:rFonts w:hint="eastAsia" w:ascii="宋体" w:hAnsi="宋体" w:eastAsia="宋体" w:cs="宋体"/>
                <w:i w:val="0"/>
                <w:iCs w:val="0"/>
                <w:color w:val="000000"/>
                <w:sz w:val="22"/>
                <w:szCs w:val="22"/>
                <w:u w:val="none"/>
              </w:rPr>
            </w:pPr>
          </w:p>
        </w:tc>
      </w:tr>
      <w:tr w14:paraId="6F6C3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36EFD5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455" w:type="dxa"/>
            <w:shd w:val="clear" w:color="auto" w:fill="auto"/>
            <w:noWrap/>
            <w:vAlign w:val="center"/>
          </w:tcPr>
          <w:p w14:paraId="6B61AF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实用新型专利证书</w:t>
            </w:r>
          </w:p>
        </w:tc>
        <w:tc>
          <w:tcPr>
            <w:tcW w:w="1800" w:type="dxa"/>
            <w:shd w:val="clear" w:color="auto" w:fill="auto"/>
            <w:noWrap/>
            <w:vAlign w:val="center"/>
          </w:tcPr>
          <w:p w14:paraId="72D9A7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便于拆卸的机器人底座</w:t>
            </w:r>
          </w:p>
        </w:tc>
        <w:tc>
          <w:tcPr>
            <w:tcW w:w="2340" w:type="dxa"/>
            <w:shd w:val="clear" w:color="auto" w:fill="auto"/>
            <w:noWrap/>
            <w:vAlign w:val="center"/>
          </w:tcPr>
          <w:p w14:paraId="65B871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CN201921657611.8</w:t>
            </w:r>
          </w:p>
        </w:tc>
        <w:tc>
          <w:tcPr>
            <w:tcW w:w="2100" w:type="dxa"/>
            <w:shd w:val="clear" w:color="auto" w:fill="auto"/>
            <w:noWrap/>
            <w:vAlign w:val="center"/>
          </w:tcPr>
          <w:p w14:paraId="6F718E52">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1326CE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2824836E">
            <w:pPr>
              <w:rPr>
                <w:rFonts w:hint="eastAsia" w:ascii="宋体" w:hAnsi="宋体" w:eastAsia="宋体" w:cs="宋体"/>
                <w:i w:val="0"/>
                <w:iCs w:val="0"/>
                <w:color w:val="000000"/>
                <w:sz w:val="22"/>
                <w:szCs w:val="22"/>
                <w:u w:val="none"/>
              </w:rPr>
            </w:pPr>
          </w:p>
        </w:tc>
      </w:tr>
      <w:tr w14:paraId="7D58B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3BF380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455" w:type="dxa"/>
            <w:shd w:val="clear" w:color="auto" w:fill="auto"/>
            <w:noWrap/>
            <w:vAlign w:val="center"/>
          </w:tcPr>
          <w:p w14:paraId="4BDB76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实用新型专利证书</w:t>
            </w:r>
          </w:p>
        </w:tc>
        <w:tc>
          <w:tcPr>
            <w:tcW w:w="1800" w:type="dxa"/>
            <w:shd w:val="clear" w:color="auto" w:fill="auto"/>
            <w:noWrap/>
            <w:vAlign w:val="center"/>
          </w:tcPr>
          <w:p w14:paraId="2E50BB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机器人散热结构</w:t>
            </w:r>
          </w:p>
        </w:tc>
        <w:tc>
          <w:tcPr>
            <w:tcW w:w="2340" w:type="dxa"/>
            <w:shd w:val="clear" w:color="auto" w:fill="auto"/>
            <w:noWrap/>
            <w:vAlign w:val="center"/>
          </w:tcPr>
          <w:p w14:paraId="55A916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CN201921657615.6</w:t>
            </w:r>
          </w:p>
        </w:tc>
        <w:tc>
          <w:tcPr>
            <w:tcW w:w="2100" w:type="dxa"/>
            <w:shd w:val="clear" w:color="auto" w:fill="auto"/>
            <w:noWrap/>
            <w:vAlign w:val="center"/>
          </w:tcPr>
          <w:p w14:paraId="2EBAA3D7">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3C39EB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3A87AE27">
            <w:pPr>
              <w:rPr>
                <w:rFonts w:hint="eastAsia" w:ascii="宋体" w:hAnsi="宋体" w:eastAsia="宋体" w:cs="宋体"/>
                <w:i w:val="0"/>
                <w:iCs w:val="0"/>
                <w:color w:val="000000"/>
                <w:sz w:val="22"/>
                <w:szCs w:val="22"/>
                <w:u w:val="none"/>
              </w:rPr>
            </w:pPr>
          </w:p>
        </w:tc>
      </w:tr>
      <w:tr w14:paraId="79455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57" w:hRule="atLeast"/>
        </w:trPr>
        <w:tc>
          <w:tcPr>
            <w:tcW w:w="462" w:type="dxa"/>
            <w:shd w:val="clear" w:color="auto" w:fill="auto"/>
            <w:noWrap/>
            <w:vAlign w:val="center"/>
          </w:tcPr>
          <w:p w14:paraId="4C55F1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455" w:type="dxa"/>
            <w:shd w:val="clear" w:color="auto" w:fill="auto"/>
            <w:noWrap/>
            <w:vAlign w:val="center"/>
          </w:tcPr>
          <w:p w14:paraId="7D51AE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实用新型专利证书</w:t>
            </w:r>
          </w:p>
        </w:tc>
        <w:tc>
          <w:tcPr>
            <w:tcW w:w="1800" w:type="dxa"/>
            <w:shd w:val="clear" w:color="auto" w:fill="auto"/>
            <w:noWrap/>
            <w:vAlign w:val="center"/>
          </w:tcPr>
          <w:p w14:paraId="2537B8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机器人驱动结构</w:t>
            </w:r>
          </w:p>
        </w:tc>
        <w:tc>
          <w:tcPr>
            <w:tcW w:w="2340" w:type="dxa"/>
            <w:shd w:val="clear" w:color="auto" w:fill="auto"/>
            <w:noWrap/>
            <w:vAlign w:val="center"/>
          </w:tcPr>
          <w:p w14:paraId="6DF2CA47">
            <w:pPr>
              <w:keepNext w:val="0"/>
              <w:keepLines w:val="0"/>
              <w:widowControl/>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CN201921658936.8</w:t>
            </w:r>
          </w:p>
        </w:tc>
        <w:tc>
          <w:tcPr>
            <w:tcW w:w="2100" w:type="dxa"/>
            <w:shd w:val="clear" w:color="auto" w:fill="auto"/>
            <w:noWrap/>
            <w:vAlign w:val="center"/>
          </w:tcPr>
          <w:p w14:paraId="349C1800">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726E69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19EB5621">
            <w:pPr>
              <w:rPr>
                <w:rFonts w:hint="eastAsia" w:ascii="宋体" w:hAnsi="宋体" w:eastAsia="宋体" w:cs="宋体"/>
                <w:i w:val="0"/>
                <w:iCs w:val="0"/>
                <w:color w:val="000000"/>
                <w:sz w:val="22"/>
                <w:szCs w:val="22"/>
                <w:u w:val="none"/>
              </w:rPr>
            </w:pPr>
          </w:p>
        </w:tc>
      </w:tr>
      <w:tr w14:paraId="758AE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41FFDC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455" w:type="dxa"/>
            <w:shd w:val="clear" w:color="auto" w:fill="auto"/>
            <w:noWrap/>
            <w:vAlign w:val="center"/>
          </w:tcPr>
          <w:p w14:paraId="780E6E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实用新型专利证书</w:t>
            </w:r>
          </w:p>
        </w:tc>
        <w:tc>
          <w:tcPr>
            <w:tcW w:w="1800" w:type="dxa"/>
            <w:shd w:val="clear" w:color="auto" w:fill="auto"/>
            <w:noWrap/>
            <w:vAlign w:val="center"/>
          </w:tcPr>
          <w:p w14:paraId="5556C6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机器人电源结构</w:t>
            </w:r>
          </w:p>
        </w:tc>
        <w:tc>
          <w:tcPr>
            <w:tcW w:w="2340" w:type="dxa"/>
            <w:shd w:val="clear" w:color="auto" w:fill="auto"/>
            <w:noWrap/>
            <w:vAlign w:val="center"/>
          </w:tcPr>
          <w:p w14:paraId="3D86E4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CN201921658938.7</w:t>
            </w:r>
          </w:p>
        </w:tc>
        <w:tc>
          <w:tcPr>
            <w:tcW w:w="2100" w:type="dxa"/>
            <w:shd w:val="clear" w:color="auto" w:fill="auto"/>
            <w:noWrap/>
            <w:vAlign w:val="center"/>
          </w:tcPr>
          <w:p w14:paraId="3387CE86">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6CDF3F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76ECDAFE">
            <w:pPr>
              <w:rPr>
                <w:rFonts w:hint="eastAsia" w:ascii="宋体" w:hAnsi="宋体" w:eastAsia="宋体" w:cs="宋体"/>
                <w:i w:val="0"/>
                <w:iCs w:val="0"/>
                <w:color w:val="000000"/>
                <w:sz w:val="22"/>
                <w:szCs w:val="22"/>
                <w:u w:val="none"/>
              </w:rPr>
            </w:pPr>
          </w:p>
        </w:tc>
      </w:tr>
      <w:tr w14:paraId="2C646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685EC6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455" w:type="dxa"/>
            <w:shd w:val="clear" w:color="auto" w:fill="auto"/>
            <w:noWrap/>
            <w:vAlign w:val="center"/>
          </w:tcPr>
          <w:p w14:paraId="14C927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实用新型专利证书</w:t>
            </w:r>
          </w:p>
        </w:tc>
        <w:tc>
          <w:tcPr>
            <w:tcW w:w="1800" w:type="dxa"/>
            <w:shd w:val="clear" w:color="auto" w:fill="auto"/>
            <w:noWrap/>
            <w:vAlign w:val="center"/>
          </w:tcPr>
          <w:p w14:paraId="2C506E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一种离子式烟雾传感器结构</w:t>
            </w:r>
          </w:p>
        </w:tc>
        <w:tc>
          <w:tcPr>
            <w:tcW w:w="2340" w:type="dxa"/>
            <w:shd w:val="clear" w:color="auto" w:fill="auto"/>
            <w:noWrap/>
            <w:vAlign w:val="center"/>
          </w:tcPr>
          <w:p w14:paraId="5067B8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CN202022123228.3</w:t>
            </w:r>
          </w:p>
        </w:tc>
        <w:tc>
          <w:tcPr>
            <w:tcW w:w="2100" w:type="dxa"/>
            <w:shd w:val="clear" w:color="auto" w:fill="auto"/>
            <w:noWrap/>
            <w:vAlign w:val="center"/>
          </w:tcPr>
          <w:p w14:paraId="5DCF6871">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76E5AE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4C51AC39">
            <w:pPr>
              <w:rPr>
                <w:rFonts w:hint="eastAsia" w:ascii="宋体" w:hAnsi="宋体" w:eastAsia="宋体" w:cs="宋体"/>
                <w:i w:val="0"/>
                <w:iCs w:val="0"/>
                <w:color w:val="000000"/>
                <w:sz w:val="22"/>
                <w:szCs w:val="22"/>
                <w:u w:val="none"/>
              </w:rPr>
            </w:pPr>
          </w:p>
        </w:tc>
      </w:tr>
      <w:tr w14:paraId="6BA88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45AF20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455" w:type="dxa"/>
            <w:shd w:val="clear" w:color="auto" w:fill="auto"/>
            <w:noWrap/>
            <w:vAlign w:val="center"/>
          </w:tcPr>
          <w:p w14:paraId="78C6DD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实用新型专利证书</w:t>
            </w:r>
          </w:p>
        </w:tc>
        <w:tc>
          <w:tcPr>
            <w:tcW w:w="1800" w:type="dxa"/>
            <w:shd w:val="clear" w:color="auto" w:fill="auto"/>
            <w:noWrap/>
            <w:vAlign w:val="center"/>
          </w:tcPr>
          <w:p w14:paraId="0AF1F8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一种燃气防泄漏感应器</w:t>
            </w:r>
          </w:p>
        </w:tc>
        <w:tc>
          <w:tcPr>
            <w:tcW w:w="2340" w:type="dxa"/>
            <w:shd w:val="clear" w:color="auto" w:fill="auto"/>
            <w:vAlign w:val="center"/>
          </w:tcPr>
          <w:p w14:paraId="136574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CN202022120243.2</w:t>
            </w:r>
          </w:p>
        </w:tc>
        <w:tc>
          <w:tcPr>
            <w:tcW w:w="2100" w:type="dxa"/>
            <w:shd w:val="clear" w:color="auto" w:fill="auto"/>
            <w:noWrap/>
            <w:vAlign w:val="center"/>
          </w:tcPr>
          <w:p w14:paraId="590E0F50">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009A0E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5561A79F">
            <w:pPr>
              <w:rPr>
                <w:rFonts w:hint="eastAsia" w:ascii="宋体" w:hAnsi="宋体" w:eastAsia="宋体" w:cs="宋体"/>
                <w:i w:val="0"/>
                <w:iCs w:val="0"/>
                <w:color w:val="000000"/>
                <w:sz w:val="22"/>
                <w:szCs w:val="22"/>
                <w:u w:val="none"/>
              </w:rPr>
            </w:pPr>
          </w:p>
        </w:tc>
      </w:tr>
      <w:tr w14:paraId="2DB1B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3E3E14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455" w:type="dxa"/>
            <w:shd w:val="clear" w:color="auto" w:fill="auto"/>
            <w:noWrap/>
            <w:vAlign w:val="center"/>
          </w:tcPr>
          <w:p w14:paraId="5E16C9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实用新型专利证书</w:t>
            </w:r>
          </w:p>
        </w:tc>
        <w:tc>
          <w:tcPr>
            <w:tcW w:w="1800" w:type="dxa"/>
            <w:shd w:val="clear" w:color="auto" w:fill="auto"/>
            <w:noWrap/>
            <w:vAlign w:val="center"/>
          </w:tcPr>
          <w:p w14:paraId="7D5153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一种热红外人体感应器</w:t>
            </w:r>
          </w:p>
        </w:tc>
        <w:tc>
          <w:tcPr>
            <w:tcW w:w="2340" w:type="dxa"/>
            <w:shd w:val="clear" w:color="auto" w:fill="auto"/>
            <w:noWrap/>
            <w:vAlign w:val="center"/>
          </w:tcPr>
          <w:p w14:paraId="2B123E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CN202022123200.X</w:t>
            </w:r>
          </w:p>
        </w:tc>
        <w:tc>
          <w:tcPr>
            <w:tcW w:w="2100" w:type="dxa"/>
            <w:shd w:val="clear" w:color="auto" w:fill="auto"/>
            <w:noWrap/>
            <w:vAlign w:val="center"/>
          </w:tcPr>
          <w:p w14:paraId="567A6E36">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3AB950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35CD5346">
            <w:pPr>
              <w:rPr>
                <w:rFonts w:hint="eastAsia" w:ascii="宋体" w:hAnsi="宋体" w:eastAsia="宋体" w:cs="宋体"/>
                <w:i w:val="0"/>
                <w:iCs w:val="0"/>
                <w:color w:val="000000"/>
                <w:sz w:val="22"/>
                <w:szCs w:val="22"/>
                <w:u w:val="none"/>
              </w:rPr>
            </w:pPr>
          </w:p>
        </w:tc>
      </w:tr>
      <w:tr w14:paraId="07430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462" w:type="dxa"/>
            <w:shd w:val="clear" w:color="auto" w:fill="auto"/>
            <w:noWrap/>
            <w:vAlign w:val="center"/>
          </w:tcPr>
          <w:p w14:paraId="65D189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455" w:type="dxa"/>
            <w:shd w:val="clear" w:color="auto" w:fill="auto"/>
            <w:noWrap/>
            <w:vAlign w:val="center"/>
          </w:tcPr>
          <w:p w14:paraId="3B8B90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实用新型专利证书</w:t>
            </w:r>
          </w:p>
        </w:tc>
        <w:tc>
          <w:tcPr>
            <w:tcW w:w="1800" w:type="dxa"/>
            <w:shd w:val="clear" w:color="auto" w:fill="auto"/>
            <w:noWrap/>
            <w:vAlign w:val="center"/>
          </w:tcPr>
          <w:p w14:paraId="2F85F1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一种基于二维码的通行识别管理系统及方法</w:t>
            </w:r>
          </w:p>
        </w:tc>
        <w:tc>
          <w:tcPr>
            <w:tcW w:w="2340" w:type="dxa"/>
            <w:shd w:val="clear" w:color="auto" w:fill="auto"/>
            <w:noWrap/>
            <w:vAlign w:val="center"/>
          </w:tcPr>
          <w:p w14:paraId="5AA919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CN202210596634.2</w:t>
            </w:r>
          </w:p>
        </w:tc>
        <w:tc>
          <w:tcPr>
            <w:tcW w:w="2100" w:type="dxa"/>
            <w:shd w:val="clear" w:color="auto" w:fill="auto"/>
            <w:noWrap/>
            <w:vAlign w:val="center"/>
          </w:tcPr>
          <w:p w14:paraId="0F2968C3">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2ED23B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无证</w:t>
            </w:r>
          </w:p>
        </w:tc>
        <w:tc>
          <w:tcPr>
            <w:tcW w:w="1170" w:type="dxa"/>
            <w:shd w:val="clear" w:color="auto" w:fill="auto"/>
            <w:noWrap/>
            <w:vAlign w:val="center"/>
          </w:tcPr>
          <w:p w14:paraId="4B51D804">
            <w:pPr>
              <w:rPr>
                <w:rFonts w:hint="eastAsia" w:ascii="宋体" w:hAnsi="宋体" w:eastAsia="宋体" w:cs="宋体"/>
                <w:i w:val="0"/>
                <w:iCs w:val="0"/>
                <w:color w:val="000000"/>
                <w:sz w:val="22"/>
                <w:szCs w:val="22"/>
                <w:u w:val="none"/>
              </w:rPr>
            </w:pPr>
          </w:p>
        </w:tc>
      </w:tr>
      <w:tr w14:paraId="00FC5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5F4B46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455" w:type="dxa"/>
            <w:shd w:val="clear" w:color="auto" w:fill="auto"/>
            <w:noWrap/>
            <w:vAlign w:val="center"/>
          </w:tcPr>
          <w:p w14:paraId="7E7F9B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实用新型专利证书</w:t>
            </w:r>
          </w:p>
        </w:tc>
        <w:tc>
          <w:tcPr>
            <w:tcW w:w="1800" w:type="dxa"/>
            <w:shd w:val="clear" w:color="auto" w:fill="auto"/>
            <w:noWrap/>
            <w:vAlign w:val="center"/>
          </w:tcPr>
          <w:p w14:paraId="01188F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一种区块链式的人工智能安全智能门锁系统</w:t>
            </w:r>
          </w:p>
        </w:tc>
        <w:tc>
          <w:tcPr>
            <w:tcW w:w="2340" w:type="dxa"/>
            <w:shd w:val="clear" w:color="auto" w:fill="auto"/>
            <w:noWrap/>
            <w:vAlign w:val="center"/>
          </w:tcPr>
          <w:p w14:paraId="4FA59F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CN202011096359.5</w:t>
            </w:r>
          </w:p>
        </w:tc>
        <w:tc>
          <w:tcPr>
            <w:tcW w:w="2100" w:type="dxa"/>
            <w:shd w:val="clear" w:color="auto" w:fill="auto"/>
            <w:noWrap/>
            <w:vAlign w:val="center"/>
          </w:tcPr>
          <w:p w14:paraId="6A82CC03">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55FA6C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无证</w:t>
            </w:r>
          </w:p>
        </w:tc>
        <w:tc>
          <w:tcPr>
            <w:tcW w:w="1170" w:type="dxa"/>
            <w:shd w:val="clear" w:color="auto" w:fill="auto"/>
            <w:noWrap/>
            <w:vAlign w:val="center"/>
          </w:tcPr>
          <w:p w14:paraId="384DC139">
            <w:pPr>
              <w:rPr>
                <w:rFonts w:hint="eastAsia" w:ascii="宋体" w:hAnsi="宋体" w:eastAsia="宋体" w:cs="宋体"/>
                <w:i w:val="0"/>
                <w:iCs w:val="0"/>
                <w:color w:val="000000"/>
                <w:sz w:val="22"/>
                <w:szCs w:val="22"/>
                <w:u w:val="none"/>
              </w:rPr>
            </w:pPr>
          </w:p>
        </w:tc>
      </w:tr>
      <w:tr w14:paraId="1E7A8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46D8D9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455" w:type="dxa"/>
            <w:shd w:val="clear" w:color="auto" w:fill="auto"/>
            <w:noWrap/>
            <w:vAlign w:val="center"/>
          </w:tcPr>
          <w:p w14:paraId="0805E3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3B68B4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电子身份二维码显示系统</w:t>
            </w:r>
          </w:p>
        </w:tc>
        <w:tc>
          <w:tcPr>
            <w:tcW w:w="2340" w:type="dxa"/>
            <w:shd w:val="clear" w:color="auto" w:fill="auto"/>
            <w:noWrap/>
            <w:vAlign w:val="center"/>
          </w:tcPr>
          <w:p w14:paraId="672224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2022SR0629838</w:t>
            </w:r>
          </w:p>
        </w:tc>
        <w:tc>
          <w:tcPr>
            <w:tcW w:w="2100" w:type="dxa"/>
            <w:shd w:val="clear" w:color="auto" w:fill="auto"/>
            <w:noWrap/>
            <w:vAlign w:val="center"/>
          </w:tcPr>
          <w:p w14:paraId="3BD8A3E3">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466F93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0C5EE711">
            <w:pPr>
              <w:rPr>
                <w:rFonts w:hint="eastAsia" w:ascii="宋体" w:hAnsi="宋体" w:eastAsia="宋体" w:cs="宋体"/>
                <w:i w:val="0"/>
                <w:iCs w:val="0"/>
                <w:color w:val="000000"/>
                <w:sz w:val="22"/>
                <w:szCs w:val="22"/>
                <w:u w:val="none"/>
              </w:rPr>
            </w:pPr>
          </w:p>
        </w:tc>
      </w:tr>
      <w:tr w14:paraId="659D7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462" w:type="dxa"/>
            <w:shd w:val="clear" w:color="auto" w:fill="auto"/>
            <w:noWrap/>
            <w:vAlign w:val="center"/>
          </w:tcPr>
          <w:p w14:paraId="68E79C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455" w:type="dxa"/>
            <w:shd w:val="clear" w:color="auto" w:fill="auto"/>
            <w:noWrap/>
            <w:vAlign w:val="center"/>
          </w:tcPr>
          <w:p w14:paraId="5E9461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44E9D8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基于区块链技术的数据管理系统</w:t>
            </w:r>
          </w:p>
        </w:tc>
        <w:tc>
          <w:tcPr>
            <w:tcW w:w="2340" w:type="dxa"/>
            <w:shd w:val="clear" w:color="auto" w:fill="auto"/>
            <w:noWrap/>
            <w:vAlign w:val="center"/>
          </w:tcPr>
          <w:p w14:paraId="2725E2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2022SR0632930</w:t>
            </w:r>
          </w:p>
        </w:tc>
        <w:tc>
          <w:tcPr>
            <w:tcW w:w="2100" w:type="dxa"/>
            <w:shd w:val="clear" w:color="auto" w:fill="auto"/>
            <w:noWrap/>
            <w:vAlign w:val="center"/>
          </w:tcPr>
          <w:p w14:paraId="7C0EFADB">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64EB41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274CE0E8">
            <w:pPr>
              <w:rPr>
                <w:rFonts w:hint="eastAsia" w:ascii="宋体" w:hAnsi="宋体" w:eastAsia="宋体" w:cs="宋体"/>
                <w:i w:val="0"/>
                <w:iCs w:val="0"/>
                <w:color w:val="000000"/>
                <w:sz w:val="22"/>
                <w:szCs w:val="22"/>
                <w:u w:val="none"/>
              </w:rPr>
            </w:pPr>
          </w:p>
        </w:tc>
      </w:tr>
      <w:tr w14:paraId="6659B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111FF8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455" w:type="dxa"/>
            <w:shd w:val="clear" w:color="auto" w:fill="auto"/>
            <w:noWrap/>
            <w:vAlign w:val="center"/>
          </w:tcPr>
          <w:p w14:paraId="18E1E2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3FD8FC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农联帮服务平台</w:t>
            </w:r>
          </w:p>
        </w:tc>
        <w:tc>
          <w:tcPr>
            <w:tcW w:w="2340" w:type="dxa"/>
            <w:shd w:val="clear" w:color="auto" w:fill="auto"/>
            <w:noWrap/>
            <w:vAlign w:val="center"/>
          </w:tcPr>
          <w:p w14:paraId="53EC67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2021SR0471952</w:t>
            </w:r>
          </w:p>
        </w:tc>
        <w:tc>
          <w:tcPr>
            <w:tcW w:w="2100" w:type="dxa"/>
            <w:shd w:val="clear" w:color="auto" w:fill="auto"/>
            <w:noWrap/>
            <w:vAlign w:val="center"/>
          </w:tcPr>
          <w:p w14:paraId="134D0295">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7EF774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1A99CF88">
            <w:pPr>
              <w:rPr>
                <w:rFonts w:hint="eastAsia" w:ascii="宋体" w:hAnsi="宋体" w:eastAsia="宋体" w:cs="宋体"/>
                <w:i w:val="0"/>
                <w:iCs w:val="0"/>
                <w:color w:val="000000"/>
                <w:sz w:val="22"/>
                <w:szCs w:val="22"/>
                <w:u w:val="none"/>
              </w:rPr>
            </w:pPr>
          </w:p>
        </w:tc>
      </w:tr>
      <w:tr w14:paraId="22842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38B512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455" w:type="dxa"/>
            <w:shd w:val="clear" w:color="auto" w:fill="auto"/>
            <w:noWrap/>
            <w:vAlign w:val="center"/>
          </w:tcPr>
          <w:p w14:paraId="69C2AC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526115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创敏智能商场平台</w:t>
            </w:r>
          </w:p>
        </w:tc>
        <w:tc>
          <w:tcPr>
            <w:tcW w:w="2340" w:type="dxa"/>
            <w:shd w:val="clear" w:color="auto" w:fill="auto"/>
            <w:noWrap/>
            <w:vAlign w:val="center"/>
          </w:tcPr>
          <w:p w14:paraId="497C0E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2020SR0292383</w:t>
            </w:r>
          </w:p>
        </w:tc>
        <w:tc>
          <w:tcPr>
            <w:tcW w:w="2100" w:type="dxa"/>
            <w:shd w:val="clear" w:color="auto" w:fill="auto"/>
            <w:noWrap/>
            <w:vAlign w:val="center"/>
          </w:tcPr>
          <w:p w14:paraId="46864164">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4594BC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3BB742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FF0000"/>
                <w:kern w:val="0"/>
                <w:sz w:val="22"/>
                <w:szCs w:val="22"/>
                <w:u w:val="none"/>
                <w:lang w:val="en-US" w:eastAsia="zh-CN" w:bidi="ar"/>
              </w:rPr>
              <w:t>有证书，但网站系统未查到</w:t>
            </w:r>
          </w:p>
        </w:tc>
      </w:tr>
      <w:tr w14:paraId="3847E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3A2C94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455" w:type="dxa"/>
            <w:shd w:val="clear" w:color="auto" w:fill="auto"/>
            <w:noWrap/>
            <w:vAlign w:val="center"/>
          </w:tcPr>
          <w:p w14:paraId="13FEE0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452E98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创敏智能IoT平台</w:t>
            </w:r>
          </w:p>
        </w:tc>
        <w:tc>
          <w:tcPr>
            <w:tcW w:w="2340" w:type="dxa"/>
            <w:shd w:val="clear" w:color="auto" w:fill="auto"/>
            <w:noWrap/>
            <w:vAlign w:val="center"/>
          </w:tcPr>
          <w:p w14:paraId="593AFD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2020SR0966170</w:t>
            </w:r>
          </w:p>
        </w:tc>
        <w:tc>
          <w:tcPr>
            <w:tcW w:w="2100" w:type="dxa"/>
            <w:shd w:val="clear" w:color="auto" w:fill="auto"/>
            <w:noWrap/>
            <w:vAlign w:val="center"/>
          </w:tcPr>
          <w:p w14:paraId="55C2D6D6">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0E2350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2991C2AC">
            <w:pPr>
              <w:rPr>
                <w:rFonts w:hint="eastAsia" w:ascii="宋体" w:hAnsi="宋体" w:eastAsia="宋体" w:cs="宋体"/>
                <w:i w:val="0"/>
                <w:iCs w:val="0"/>
                <w:color w:val="000000"/>
                <w:sz w:val="22"/>
                <w:szCs w:val="22"/>
                <w:u w:val="none"/>
              </w:rPr>
            </w:pPr>
          </w:p>
        </w:tc>
      </w:tr>
      <w:tr w14:paraId="6E255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74E8F1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455" w:type="dxa"/>
            <w:shd w:val="clear" w:color="auto" w:fill="auto"/>
            <w:noWrap/>
            <w:vAlign w:val="center"/>
          </w:tcPr>
          <w:p w14:paraId="297C4B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25A495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聚钱吧-微信小程序</w:t>
            </w:r>
          </w:p>
        </w:tc>
        <w:tc>
          <w:tcPr>
            <w:tcW w:w="2340" w:type="dxa"/>
            <w:shd w:val="clear" w:color="auto" w:fill="auto"/>
            <w:noWrap/>
            <w:vAlign w:val="center"/>
          </w:tcPr>
          <w:p w14:paraId="4AF0F8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2020SR1088563</w:t>
            </w:r>
          </w:p>
        </w:tc>
        <w:tc>
          <w:tcPr>
            <w:tcW w:w="2100" w:type="dxa"/>
            <w:shd w:val="clear" w:color="auto" w:fill="auto"/>
            <w:noWrap/>
            <w:vAlign w:val="center"/>
          </w:tcPr>
          <w:p w14:paraId="64A3DB0F">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4B7411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00AAE18D">
            <w:pPr>
              <w:rPr>
                <w:rFonts w:hint="eastAsia" w:ascii="宋体" w:hAnsi="宋体" w:eastAsia="宋体" w:cs="宋体"/>
                <w:i w:val="0"/>
                <w:iCs w:val="0"/>
                <w:color w:val="000000"/>
                <w:sz w:val="22"/>
                <w:szCs w:val="22"/>
                <w:u w:val="none"/>
              </w:rPr>
            </w:pPr>
          </w:p>
        </w:tc>
      </w:tr>
      <w:tr w14:paraId="79CAA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462" w:type="dxa"/>
            <w:shd w:val="clear" w:color="auto" w:fill="auto"/>
            <w:noWrap/>
            <w:vAlign w:val="center"/>
          </w:tcPr>
          <w:p w14:paraId="43418C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455" w:type="dxa"/>
            <w:shd w:val="clear" w:color="auto" w:fill="auto"/>
            <w:noWrap/>
            <w:vAlign w:val="center"/>
          </w:tcPr>
          <w:p w14:paraId="75C01B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1BBAEE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创敏智能宜家商城平台</w:t>
            </w:r>
          </w:p>
        </w:tc>
        <w:tc>
          <w:tcPr>
            <w:tcW w:w="2340" w:type="dxa"/>
            <w:shd w:val="clear" w:color="auto" w:fill="auto"/>
            <w:noWrap/>
            <w:vAlign w:val="center"/>
          </w:tcPr>
          <w:p w14:paraId="25C2FC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2020SR1088033</w:t>
            </w:r>
          </w:p>
        </w:tc>
        <w:tc>
          <w:tcPr>
            <w:tcW w:w="2100" w:type="dxa"/>
            <w:shd w:val="clear" w:color="auto" w:fill="auto"/>
            <w:noWrap/>
            <w:vAlign w:val="center"/>
          </w:tcPr>
          <w:p w14:paraId="5EE04F67">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001C8D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09B67CED">
            <w:pPr>
              <w:rPr>
                <w:rFonts w:hint="eastAsia" w:ascii="宋体" w:hAnsi="宋体" w:eastAsia="宋体" w:cs="宋体"/>
                <w:i w:val="0"/>
                <w:iCs w:val="0"/>
                <w:color w:val="000000"/>
                <w:sz w:val="22"/>
                <w:szCs w:val="22"/>
                <w:u w:val="none"/>
              </w:rPr>
            </w:pPr>
          </w:p>
        </w:tc>
      </w:tr>
      <w:tr w14:paraId="49507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6F6CA9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455" w:type="dxa"/>
            <w:shd w:val="clear" w:color="auto" w:fill="auto"/>
            <w:noWrap/>
            <w:vAlign w:val="center"/>
          </w:tcPr>
          <w:p w14:paraId="76CCBE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12F0F7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基于区块链的智慧校园一站式管理软件</w:t>
            </w:r>
          </w:p>
        </w:tc>
        <w:tc>
          <w:tcPr>
            <w:tcW w:w="2340" w:type="dxa"/>
            <w:shd w:val="clear" w:color="auto" w:fill="auto"/>
            <w:noWrap/>
            <w:vAlign w:val="center"/>
          </w:tcPr>
          <w:p w14:paraId="132B1E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2022SR1545655</w:t>
            </w:r>
          </w:p>
        </w:tc>
        <w:tc>
          <w:tcPr>
            <w:tcW w:w="2100" w:type="dxa"/>
            <w:shd w:val="clear" w:color="auto" w:fill="auto"/>
            <w:noWrap/>
            <w:vAlign w:val="center"/>
          </w:tcPr>
          <w:p w14:paraId="2A4CE89D">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207E6E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07734C91">
            <w:pPr>
              <w:rPr>
                <w:rFonts w:hint="eastAsia" w:ascii="宋体" w:hAnsi="宋体" w:eastAsia="宋体" w:cs="宋体"/>
                <w:i w:val="0"/>
                <w:iCs w:val="0"/>
                <w:color w:val="000000"/>
                <w:sz w:val="22"/>
                <w:szCs w:val="22"/>
                <w:u w:val="none"/>
              </w:rPr>
            </w:pPr>
          </w:p>
        </w:tc>
      </w:tr>
      <w:tr w14:paraId="14513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03322B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455" w:type="dxa"/>
            <w:shd w:val="clear" w:color="auto" w:fill="auto"/>
            <w:noWrap/>
            <w:vAlign w:val="center"/>
          </w:tcPr>
          <w:p w14:paraId="394BE0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628921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用于区块链接技术的人体AI建摸实时渲染参数控制软件</w:t>
            </w:r>
          </w:p>
        </w:tc>
        <w:tc>
          <w:tcPr>
            <w:tcW w:w="2340" w:type="dxa"/>
            <w:shd w:val="clear" w:color="auto" w:fill="auto"/>
            <w:noWrap/>
            <w:vAlign w:val="center"/>
          </w:tcPr>
          <w:p w14:paraId="294A6E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2022SR1549215</w:t>
            </w:r>
          </w:p>
        </w:tc>
        <w:tc>
          <w:tcPr>
            <w:tcW w:w="2100" w:type="dxa"/>
            <w:shd w:val="clear" w:color="auto" w:fill="auto"/>
            <w:noWrap/>
            <w:vAlign w:val="center"/>
          </w:tcPr>
          <w:p w14:paraId="1AF66CDE">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3FF598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266A03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FF0000"/>
                <w:kern w:val="0"/>
                <w:sz w:val="22"/>
                <w:szCs w:val="22"/>
                <w:u w:val="none"/>
                <w:lang w:val="en-US" w:eastAsia="zh-CN" w:bidi="ar"/>
              </w:rPr>
              <w:t>有证书，但网站系统未查到</w:t>
            </w:r>
          </w:p>
        </w:tc>
      </w:tr>
      <w:tr w14:paraId="79BB1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462" w:type="dxa"/>
            <w:shd w:val="clear" w:color="auto" w:fill="auto"/>
            <w:noWrap/>
            <w:vAlign w:val="center"/>
          </w:tcPr>
          <w:p w14:paraId="3ED7E9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455" w:type="dxa"/>
            <w:shd w:val="clear" w:color="auto" w:fill="auto"/>
            <w:noWrap/>
            <w:vAlign w:val="center"/>
          </w:tcPr>
          <w:p w14:paraId="316BA5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32A91F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基于区块链技术的数据安全加密传输平台</w:t>
            </w:r>
          </w:p>
        </w:tc>
        <w:tc>
          <w:tcPr>
            <w:tcW w:w="2340" w:type="dxa"/>
            <w:shd w:val="clear" w:color="auto" w:fill="auto"/>
            <w:noWrap/>
            <w:vAlign w:val="center"/>
          </w:tcPr>
          <w:p w14:paraId="2427C9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2022SR1549270</w:t>
            </w:r>
          </w:p>
        </w:tc>
        <w:tc>
          <w:tcPr>
            <w:tcW w:w="2100" w:type="dxa"/>
            <w:shd w:val="clear" w:color="auto" w:fill="auto"/>
            <w:noWrap/>
            <w:vAlign w:val="center"/>
          </w:tcPr>
          <w:p w14:paraId="46DA8CFF">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734FE8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59356FCC">
            <w:pPr>
              <w:rPr>
                <w:rFonts w:hint="eastAsia" w:ascii="宋体" w:hAnsi="宋体" w:eastAsia="宋体" w:cs="宋体"/>
                <w:i w:val="0"/>
                <w:iCs w:val="0"/>
                <w:color w:val="000000"/>
                <w:sz w:val="22"/>
                <w:szCs w:val="22"/>
                <w:u w:val="none"/>
              </w:rPr>
            </w:pPr>
          </w:p>
        </w:tc>
      </w:tr>
      <w:tr w14:paraId="4C1D6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5D7E83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455" w:type="dxa"/>
            <w:shd w:val="clear" w:color="auto" w:fill="auto"/>
            <w:noWrap/>
            <w:vAlign w:val="center"/>
          </w:tcPr>
          <w:p w14:paraId="41276E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647169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基于区块链的校园动态安防信息预警管理系统</w:t>
            </w:r>
          </w:p>
        </w:tc>
        <w:tc>
          <w:tcPr>
            <w:tcW w:w="2340" w:type="dxa"/>
            <w:shd w:val="clear" w:color="auto" w:fill="auto"/>
            <w:noWrap/>
            <w:vAlign w:val="center"/>
          </w:tcPr>
          <w:p w14:paraId="2FD12D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2022SR1549273</w:t>
            </w:r>
          </w:p>
        </w:tc>
        <w:tc>
          <w:tcPr>
            <w:tcW w:w="2100" w:type="dxa"/>
            <w:shd w:val="clear" w:color="auto" w:fill="auto"/>
            <w:noWrap/>
            <w:vAlign w:val="center"/>
          </w:tcPr>
          <w:p w14:paraId="06DC1B26">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51A28D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34B4CEDE">
            <w:pPr>
              <w:rPr>
                <w:rFonts w:hint="eastAsia" w:ascii="宋体" w:hAnsi="宋体" w:eastAsia="宋体" w:cs="宋体"/>
                <w:i w:val="0"/>
                <w:iCs w:val="0"/>
                <w:color w:val="000000"/>
                <w:sz w:val="22"/>
                <w:szCs w:val="22"/>
                <w:u w:val="none"/>
              </w:rPr>
            </w:pPr>
          </w:p>
        </w:tc>
      </w:tr>
      <w:tr w14:paraId="2880A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462" w:type="dxa"/>
            <w:shd w:val="clear" w:color="auto" w:fill="auto"/>
            <w:noWrap/>
            <w:vAlign w:val="center"/>
          </w:tcPr>
          <w:p w14:paraId="3E3F18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455" w:type="dxa"/>
            <w:shd w:val="clear" w:color="auto" w:fill="auto"/>
            <w:noWrap/>
            <w:vAlign w:val="center"/>
          </w:tcPr>
          <w:p w14:paraId="04C44B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2F1918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基于区块链的元宇宙人体AI建模识别软件</w:t>
            </w:r>
          </w:p>
        </w:tc>
        <w:tc>
          <w:tcPr>
            <w:tcW w:w="2340" w:type="dxa"/>
            <w:shd w:val="clear" w:color="auto" w:fill="auto"/>
            <w:noWrap/>
            <w:vAlign w:val="center"/>
          </w:tcPr>
          <w:p w14:paraId="0AA30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2022SR1549275</w:t>
            </w:r>
          </w:p>
        </w:tc>
        <w:tc>
          <w:tcPr>
            <w:tcW w:w="2100" w:type="dxa"/>
            <w:shd w:val="clear" w:color="auto" w:fill="auto"/>
            <w:noWrap/>
            <w:vAlign w:val="center"/>
          </w:tcPr>
          <w:p w14:paraId="271C0EB5">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7905B7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538AA715">
            <w:pPr>
              <w:rPr>
                <w:rFonts w:hint="eastAsia" w:ascii="宋体" w:hAnsi="宋体" w:eastAsia="宋体" w:cs="宋体"/>
                <w:i w:val="0"/>
                <w:iCs w:val="0"/>
                <w:color w:val="000000"/>
                <w:sz w:val="22"/>
                <w:szCs w:val="22"/>
                <w:u w:val="none"/>
              </w:rPr>
            </w:pPr>
          </w:p>
        </w:tc>
      </w:tr>
      <w:tr w14:paraId="1C5D8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0171EE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455" w:type="dxa"/>
            <w:shd w:val="clear" w:color="auto" w:fill="auto"/>
            <w:noWrap/>
            <w:vAlign w:val="center"/>
          </w:tcPr>
          <w:p w14:paraId="1187FD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1ECAD0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基于区块链的AI建模的线上数据采集分析系统</w:t>
            </w:r>
          </w:p>
        </w:tc>
        <w:tc>
          <w:tcPr>
            <w:tcW w:w="2340" w:type="dxa"/>
            <w:shd w:val="clear" w:color="auto" w:fill="auto"/>
            <w:noWrap/>
            <w:vAlign w:val="center"/>
          </w:tcPr>
          <w:p w14:paraId="38AFD0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2022SR1549349</w:t>
            </w:r>
          </w:p>
        </w:tc>
        <w:tc>
          <w:tcPr>
            <w:tcW w:w="2100" w:type="dxa"/>
            <w:shd w:val="clear" w:color="auto" w:fill="auto"/>
            <w:noWrap/>
            <w:vAlign w:val="center"/>
          </w:tcPr>
          <w:p w14:paraId="40D4141F">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2F13CA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1D7C1AF0">
            <w:pPr>
              <w:rPr>
                <w:rFonts w:hint="eastAsia" w:ascii="宋体" w:hAnsi="宋体" w:eastAsia="宋体" w:cs="宋体"/>
                <w:i w:val="0"/>
                <w:iCs w:val="0"/>
                <w:color w:val="000000"/>
                <w:sz w:val="22"/>
                <w:szCs w:val="22"/>
                <w:u w:val="none"/>
              </w:rPr>
            </w:pPr>
          </w:p>
        </w:tc>
      </w:tr>
      <w:tr w14:paraId="0F189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412817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455" w:type="dxa"/>
            <w:shd w:val="clear" w:color="auto" w:fill="auto"/>
            <w:noWrap/>
            <w:vAlign w:val="center"/>
          </w:tcPr>
          <w:p w14:paraId="1E65FD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1955C9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基于区块链的人体AI建模信息识别应用软件</w:t>
            </w:r>
          </w:p>
        </w:tc>
        <w:tc>
          <w:tcPr>
            <w:tcW w:w="2340" w:type="dxa"/>
            <w:shd w:val="clear" w:color="auto" w:fill="auto"/>
            <w:noWrap/>
            <w:vAlign w:val="center"/>
          </w:tcPr>
          <w:p w14:paraId="5A1206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2022SR1549350</w:t>
            </w:r>
          </w:p>
        </w:tc>
        <w:tc>
          <w:tcPr>
            <w:tcW w:w="2100" w:type="dxa"/>
            <w:shd w:val="clear" w:color="auto" w:fill="auto"/>
            <w:noWrap/>
            <w:vAlign w:val="center"/>
          </w:tcPr>
          <w:p w14:paraId="440F81D9">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02AFC7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709CF280">
            <w:pPr>
              <w:rPr>
                <w:rFonts w:hint="eastAsia" w:ascii="宋体" w:hAnsi="宋体" w:eastAsia="宋体" w:cs="宋体"/>
                <w:i w:val="0"/>
                <w:iCs w:val="0"/>
                <w:color w:val="000000"/>
                <w:sz w:val="22"/>
                <w:szCs w:val="22"/>
                <w:u w:val="none"/>
              </w:rPr>
            </w:pPr>
          </w:p>
        </w:tc>
      </w:tr>
      <w:tr w14:paraId="7DD9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63BEAB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455" w:type="dxa"/>
            <w:shd w:val="clear" w:color="auto" w:fill="auto"/>
            <w:noWrap/>
            <w:vAlign w:val="center"/>
          </w:tcPr>
          <w:p w14:paraId="497513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432BA0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基于区块链的元宇宙AI建模数据可视化软件</w:t>
            </w:r>
          </w:p>
        </w:tc>
        <w:tc>
          <w:tcPr>
            <w:tcW w:w="2340" w:type="dxa"/>
            <w:shd w:val="clear" w:color="auto" w:fill="auto"/>
            <w:noWrap/>
            <w:vAlign w:val="center"/>
          </w:tcPr>
          <w:p w14:paraId="285D4A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2022SR1549372</w:t>
            </w:r>
          </w:p>
        </w:tc>
        <w:tc>
          <w:tcPr>
            <w:tcW w:w="2100" w:type="dxa"/>
            <w:shd w:val="clear" w:color="auto" w:fill="auto"/>
            <w:noWrap/>
            <w:vAlign w:val="center"/>
          </w:tcPr>
          <w:p w14:paraId="1EDF7D0F">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6B68CB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1C69BAA6">
            <w:pPr>
              <w:rPr>
                <w:rFonts w:hint="eastAsia" w:ascii="宋体" w:hAnsi="宋体" w:eastAsia="宋体" w:cs="宋体"/>
                <w:i w:val="0"/>
                <w:iCs w:val="0"/>
                <w:color w:val="000000"/>
                <w:sz w:val="22"/>
                <w:szCs w:val="22"/>
                <w:u w:val="none"/>
              </w:rPr>
            </w:pPr>
          </w:p>
        </w:tc>
      </w:tr>
      <w:tr w14:paraId="05B52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 w:hRule="atLeast"/>
        </w:trPr>
        <w:tc>
          <w:tcPr>
            <w:tcW w:w="462" w:type="dxa"/>
            <w:shd w:val="clear" w:color="auto" w:fill="auto"/>
            <w:noWrap/>
            <w:vAlign w:val="center"/>
          </w:tcPr>
          <w:p w14:paraId="7BA3AE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455" w:type="dxa"/>
            <w:shd w:val="clear" w:color="auto" w:fill="auto"/>
            <w:noWrap/>
            <w:vAlign w:val="center"/>
          </w:tcPr>
          <w:p w14:paraId="499305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3C7C61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基于区块链的元宇宙AI快熟建模工具软件</w:t>
            </w:r>
          </w:p>
        </w:tc>
        <w:tc>
          <w:tcPr>
            <w:tcW w:w="2340" w:type="dxa"/>
            <w:shd w:val="clear" w:color="auto" w:fill="auto"/>
            <w:noWrap/>
            <w:vAlign w:val="center"/>
          </w:tcPr>
          <w:p w14:paraId="043BBF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2022SR1549434</w:t>
            </w:r>
          </w:p>
        </w:tc>
        <w:tc>
          <w:tcPr>
            <w:tcW w:w="2100" w:type="dxa"/>
            <w:shd w:val="clear" w:color="auto" w:fill="auto"/>
            <w:noWrap/>
            <w:vAlign w:val="center"/>
          </w:tcPr>
          <w:p w14:paraId="77C8C1EB">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537F40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4BF258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FF0000"/>
                <w:kern w:val="0"/>
                <w:sz w:val="22"/>
                <w:szCs w:val="22"/>
                <w:u w:val="none"/>
                <w:lang w:val="en-US" w:eastAsia="zh-CN" w:bidi="ar"/>
              </w:rPr>
              <w:t>有证书，但网站系统未查到</w:t>
            </w:r>
          </w:p>
        </w:tc>
      </w:tr>
      <w:tr w14:paraId="22EDB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462" w:type="dxa"/>
            <w:shd w:val="clear" w:color="auto" w:fill="auto"/>
            <w:noWrap/>
            <w:vAlign w:val="center"/>
          </w:tcPr>
          <w:p w14:paraId="431701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455" w:type="dxa"/>
            <w:shd w:val="clear" w:color="auto" w:fill="auto"/>
            <w:noWrap/>
            <w:vAlign w:val="center"/>
          </w:tcPr>
          <w:p w14:paraId="338BB6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5D022E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基于区块链的智慧校园安全综合管理系统</w:t>
            </w:r>
          </w:p>
        </w:tc>
        <w:tc>
          <w:tcPr>
            <w:tcW w:w="2340" w:type="dxa"/>
            <w:shd w:val="clear" w:color="auto" w:fill="auto"/>
            <w:noWrap/>
            <w:vAlign w:val="center"/>
          </w:tcPr>
          <w:p w14:paraId="271677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2022SR1549454</w:t>
            </w:r>
          </w:p>
        </w:tc>
        <w:tc>
          <w:tcPr>
            <w:tcW w:w="2100" w:type="dxa"/>
            <w:shd w:val="clear" w:color="auto" w:fill="auto"/>
            <w:noWrap/>
            <w:vAlign w:val="center"/>
          </w:tcPr>
          <w:p w14:paraId="588C98F6">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7AB12F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2F5B600C">
            <w:pPr>
              <w:rPr>
                <w:rFonts w:hint="eastAsia" w:ascii="宋体" w:hAnsi="宋体" w:eastAsia="宋体" w:cs="宋体"/>
                <w:i w:val="0"/>
                <w:iCs w:val="0"/>
                <w:color w:val="000000"/>
                <w:sz w:val="22"/>
                <w:szCs w:val="22"/>
                <w:u w:val="none"/>
              </w:rPr>
            </w:pPr>
          </w:p>
        </w:tc>
      </w:tr>
      <w:tr w14:paraId="2D806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4" w:hRule="atLeast"/>
        </w:trPr>
        <w:tc>
          <w:tcPr>
            <w:tcW w:w="462" w:type="dxa"/>
            <w:shd w:val="clear" w:color="auto" w:fill="auto"/>
            <w:noWrap/>
            <w:vAlign w:val="center"/>
          </w:tcPr>
          <w:p w14:paraId="4CBB08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455" w:type="dxa"/>
            <w:shd w:val="clear" w:color="auto" w:fill="auto"/>
            <w:noWrap/>
            <w:vAlign w:val="center"/>
          </w:tcPr>
          <w:p w14:paraId="4D537F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计算机软件著作权登记证</w:t>
            </w:r>
          </w:p>
        </w:tc>
        <w:tc>
          <w:tcPr>
            <w:tcW w:w="1800" w:type="dxa"/>
            <w:shd w:val="clear" w:color="auto" w:fill="auto"/>
            <w:noWrap/>
            <w:vAlign w:val="center"/>
          </w:tcPr>
          <w:p w14:paraId="6FB11D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基于区块链的智慧校园数据管理分析系统</w:t>
            </w:r>
          </w:p>
        </w:tc>
        <w:tc>
          <w:tcPr>
            <w:tcW w:w="2340" w:type="dxa"/>
            <w:shd w:val="clear" w:color="auto" w:fill="auto"/>
            <w:noWrap/>
            <w:vAlign w:val="center"/>
          </w:tcPr>
          <w:p w14:paraId="28CB5F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2022SR1549458</w:t>
            </w:r>
          </w:p>
        </w:tc>
        <w:tc>
          <w:tcPr>
            <w:tcW w:w="2100" w:type="dxa"/>
            <w:shd w:val="clear" w:color="auto" w:fill="auto"/>
            <w:noWrap/>
            <w:vAlign w:val="center"/>
          </w:tcPr>
          <w:p w14:paraId="5AABB2DF">
            <w:pPr>
              <w:jc w:val="center"/>
              <w:rPr>
                <w:rFonts w:hint="eastAsia" w:ascii="宋体" w:hAnsi="宋体" w:eastAsia="宋体" w:cs="宋体"/>
                <w:i w:val="0"/>
                <w:iCs w:val="0"/>
                <w:color w:val="000000"/>
                <w:sz w:val="22"/>
                <w:szCs w:val="22"/>
                <w:u w:val="none"/>
              </w:rPr>
            </w:pPr>
          </w:p>
        </w:tc>
        <w:tc>
          <w:tcPr>
            <w:tcW w:w="825" w:type="dxa"/>
            <w:shd w:val="clear" w:color="auto" w:fill="auto"/>
            <w:noWrap/>
            <w:vAlign w:val="center"/>
          </w:tcPr>
          <w:p w14:paraId="1B168D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有证</w:t>
            </w:r>
          </w:p>
        </w:tc>
        <w:tc>
          <w:tcPr>
            <w:tcW w:w="1170" w:type="dxa"/>
            <w:shd w:val="clear" w:color="auto" w:fill="auto"/>
            <w:noWrap/>
            <w:vAlign w:val="center"/>
          </w:tcPr>
          <w:p w14:paraId="603BB882">
            <w:pPr>
              <w:rPr>
                <w:rFonts w:hint="eastAsia" w:ascii="宋体" w:hAnsi="宋体" w:eastAsia="宋体" w:cs="宋体"/>
                <w:i w:val="0"/>
                <w:iCs w:val="0"/>
                <w:color w:val="000000"/>
                <w:sz w:val="22"/>
                <w:szCs w:val="22"/>
                <w:u w:val="none"/>
              </w:rPr>
            </w:pPr>
          </w:p>
        </w:tc>
      </w:tr>
    </w:tbl>
    <w:p w14:paraId="554830EF">
      <w:pPr>
        <w:bidi w:val="0"/>
      </w:pPr>
    </w:p>
    <w:p w14:paraId="7C89A405">
      <w:pPr>
        <w:pStyle w:val="3"/>
        <w:widowControl/>
        <w:spacing w:beforeAutospacing="0" w:afterAutospacing="0" w:line="420" w:lineRule="atLeast"/>
        <w:ind w:firstLine="560" w:firstLineChars="200"/>
        <w:rPr>
          <w:rFonts w:ascii="微软雅黑" w:hAnsi="微软雅黑" w:eastAsia="微软雅黑" w:cs="微软雅黑"/>
          <w:b/>
          <w:bCs/>
          <w:color w:val="FF0000"/>
          <w:sz w:val="28"/>
          <w:szCs w:val="28"/>
        </w:rPr>
      </w:pPr>
      <w:r>
        <w:rPr>
          <w:rFonts w:ascii="微软雅黑" w:hAnsi="微软雅黑" w:eastAsia="微软雅黑" w:cs="微软雅黑"/>
          <w:b/>
          <w:bCs/>
          <w:color w:val="FF0000"/>
          <w:sz w:val="28"/>
          <w:szCs w:val="28"/>
        </w:rPr>
        <w:t>特别说明：</w:t>
      </w:r>
    </w:p>
    <w:p w14:paraId="066A6587">
      <w:pPr>
        <w:pStyle w:val="3"/>
        <w:widowControl/>
        <w:spacing w:beforeAutospacing="0" w:afterAutospacing="0" w:line="420" w:lineRule="atLeast"/>
        <w:ind w:firstLine="600" w:firstLineChars="200"/>
        <w:rPr>
          <w:rFonts w:hint="eastAsia" w:ascii="新宋体" w:hAnsi="新宋体" w:eastAsia="微软雅黑" w:cs="新宋体"/>
          <w:i w:val="0"/>
          <w:iCs w:val="0"/>
          <w:caps w:val="0"/>
          <w:color w:val="000000"/>
          <w:spacing w:val="0"/>
          <w:sz w:val="27"/>
          <w:szCs w:val="27"/>
          <w:lang w:eastAsia="zh-CN"/>
        </w:rPr>
      </w:pPr>
      <w:r>
        <w:rPr>
          <w:rFonts w:ascii="微软雅黑" w:hAnsi="微软雅黑" w:eastAsia="微软雅黑" w:cs="微软雅黑"/>
          <w:b/>
          <w:bCs/>
          <w:i w:val="0"/>
          <w:iCs w:val="0"/>
          <w:caps w:val="0"/>
          <w:color w:val="FF0000"/>
          <w:spacing w:val="0"/>
          <w:sz w:val="30"/>
          <w:szCs w:val="30"/>
          <w:shd w:val="clear" w:fill="FFFFFF"/>
        </w:rPr>
        <w:t>（1）</w:t>
      </w:r>
      <w:r>
        <w:rPr>
          <w:rFonts w:hint="eastAsia" w:ascii="微软雅黑" w:hAnsi="微软雅黑" w:eastAsia="微软雅黑" w:cs="微软雅黑"/>
          <w:b/>
          <w:bCs/>
          <w:i w:val="0"/>
          <w:iCs w:val="0"/>
          <w:caps w:val="0"/>
          <w:color w:val="FF0000"/>
          <w:spacing w:val="0"/>
          <w:sz w:val="30"/>
          <w:szCs w:val="30"/>
          <w:shd w:val="clear" w:fill="FFFFFF"/>
          <w:lang w:val="en-US" w:eastAsia="zh-CN"/>
        </w:rPr>
        <w:t>此次</w:t>
      </w:r>
      <w:r>
        <w:rPr>
          <w:rFonts w:hint="eastAsia" w:ascii="微软雅黑" w:hAnsi="微软雅黑" w:eastAsia="微软雅黑" w:cs="微软雅黑"/>
          <w:b/>
          <w:bCs/>
          <w:i w:val="0"/>
          <w:iCs w:val="0"/>
          <w:caps w:val="0"/>
          <w:color w:val="FF0000"/>
          <w:spacing w:val="0"/>
          <w:sz w:val="30"/>
          <w:szCs w:val="30"/>
          <w:shd w:val="clear" w:fill="FFFFFF"/>
        </w:rPr>
        <w:t>拍卖标的管理人仅接管到</w:t>
      </w:r>
      <w:r>
        <w:rPr>
          <w:rFonts w:hint="eastAsia" w:ascii="微软雅黑" w:hAnsi="微软雅黑" w:eastAsia="微软雅黑" w:cs="微软雅黑"/>
          <w:b/>
          <w:bCs/>
          <w:i w:val="0"/>
          <w:iCs w:val="0"/>
          <w:caps w:val="0"/>
          <w:color w:val="FF0000"/>
          <w:spacing w:val="0"/>
          <w:sz w:val="30"/>
          <w:szCs w:val="30"/>
          <w:shd w:val="clear" w:fill="FFFFFF"/>
          <w:lang w:val="en-US" w:eastAsia="zh-CN"/>
        </w:rPr>
        <w:t>部分专利权、商标、计算机</w:t>
      </w:r>
      <w:r>
        <w:rPr>
          <w:rFonts w:hint="eastAsia" w:ascii="微软雅黑" w:hAnsi="微软雅黑" w:eastAsia="微软雅黑" w:cs="微软雅黑"/>
          <w:b/>
          <w:bCs/>
          <w:i w:val="0"/>
          <w:iCs w:val="0"/>
          <w:caps w:val="0"/>
          <w:color w:val="FF0000"/>
          <w:spacing w:val="0"/>
          <w:sz w:val="30"/>
          <w:szCs w:val="30"/>
          <w:shd w:val="clear" w:fill="FFFFFF"/>
        </w:rPr>
        <w:t>软件著作权涉及的</w:t>
      </w:r>
      <w:r>
        <w:rPr>
          <w:rFonts w:hint="eastAsia" w:ascii="微软雅黑" w:hAnsi="微软雅黑" w:eastAsia="微软雅黑" w:cs="微软雅黑"/>
          <w:b/>
          <w:bCs/>
          <w:i w:val="0"/>
          <w:iCs w:val="0"/>
          <w:caps w:val="0"/>
          <w:color w:val="FF0000"/>
          <w:spacing w:val="0"/>
          <w:sz w:val="30"/>
          <w:szCs w:val="30"/>
          <w:shd w:val="clear" w:fill="FFFFFF"/>
          <w:lang w:val="en-US" w:eastAsia="zh-CN"/>
        </w:rPr>
        <w:t>证书，有其他部分未接管到证书，只有相关网站查询到的信息；管理人</w:t>
      </w:r>
      <w:r>
        <w:rPr>
          <w:rFonts w:hint="eastAsia" w:ascii="微软雅黑" w:hAnsi="微软雅黑" w:eastAsia="微软雅黑" w:cs="微软雅黑"/>
          <w:b/>
          <w:bCs/>
          <w:i w:val="0"/>
          <w:iCs w:val="0"/>
          <w:caps w:val="0"/>
          <w:color w:val="FF0000"/>
          <w:spacing w:val="0"/>
          <w:sz w:val="30"/>
          <w:szCs w:val="30"/>
          <w:shd w:val="clear" w:fill="FFFFFF"/>
        </w:rPr>
        <w:t>未接</w:t>
      </w:r>
      <w:r>
        <w:rPr>
          <w:rFonts w:hint="eastAsia" w:ascii="微软雅黑" w:hAnsi="微软雅黑" w:eastAsia="微软雅黑" w:cs="微软雅黑"/>
          <w:b/>
          <w:bCs/>
          <w:i w:val="0"/>
          <w:iCs w:val="0"/>
          <w:caps w:val="0"/>
          <w:color w:val="FF0000"/>
          <w:spacing w:val="0"/>
          <w:sz w:val="30"/>
          <w:szCs w:val="30"/>
          <w:shd w:val="clear" w:fill="FFFFFF"/>
          <w:lang w:val="en-US" w:eastAsia="zh-CN"/>
        </w:rPr>
        <w:t>管</w:t>
      </w:r>
      <w:r>
        <w:rPr>
          <w:rFonts w:hint="eastAsia" w:ascii="微软雅黑" w:hAnsi="微软雅黑" w:eastAsia="微软雅黑" w:cs="微软雅黑"/>
          <w:b/>
          <w:bCs/>
          <w:i w:val="0"/>
          <w:iCs w:val="0"/>
          <w:caps w:val="0"/>
          <w:color w:val="FF0000"/>
          <w:spacing w:val="0"/>
          <w:sz w:val="30"/>
          <w:szCs w:val="30"/>
          <w:shd w:val="clear" w:fill="FFFFFF"/>
        </w:rPr>
        <w:t>到</w:t>
      </w:r>
      <w:r>
        <w:rPr>
          <w:rFonts w:hint="eastAsia" w:ascii="微软雅黑" w:hAnsi="微软雅黑" w:eastAsia="微软雅黑" w:cs="微软雅黑"/>
          <w:b/>
          <w:bCs/>
          <w:i w:val="0"/>
          <w:iCs w:val="0"/>
          <w:caps w:val="0"/>
          <w:color w:val="FF0000"/>
          <w:spacing w:val="0"/>
          <w:sz w:val="30"/>
          <w:szCs w:val="30"/>
          <w:shd w:val="clear" w:fill="FFFFFF"/>
          <w:lang w:val="en-US" w:eastAsia="zh-CN"/>
        </w:rPr>
        <w:t>标的中专利权及计算机</w:t>
      </w:r>
      <w:r>
        <w:rPr>
          <w:rFonts w:hint="eastAsia" w:ascii="微软雅黑" w:hAnsi="微软雅黑" w:eastAsia="微软雅黑" w:cs="微软雅黑"/>
          <w:b/>
          <w:bCs/>
          <w:i w:val="0"/>
          <w:iCs w:val="0"/>
          <w:caps w:val="0"/>
          <w:color w:val="FF0000"/>
          <w:spacing w:val="0"/>
          <w:sz w:val="30"/>
          <w:szCs w:val="30"/>
          <w:shd w:val="clear" w:fill="FFFFFF"/>
        </w:rPr>
        <w:t>软件著作权涉及的与之对应的</w:t>
      </w:r>
      <w:r>
        <w:rPr>
          <w:rFonts w:hint="eastAsia" w:ascii="微软雅黑" w:hAnsi="微软雅黑" w:eastAsia="微软雅黑" w:cs="微软雅黑"/>
          <w:b/>
          <w:bCs/>
          <w:i w:val="0"/>
          <w:iCs w:val="0"/>
          <w:caps w:val="0"/>
          <w:color w:val="FF0000"/>
          <w:spacing w:val="0"/>
          <w:sz w:val="30"/>
          <w:szCs w:val="30"/>
          <w:shd w:val="clear" w:fill="FFFFFF"/>
          <w:lang w:val="en-US" w:eastAsia="zh-CN"/>
        </w:rPr>
        <w:t>专利内容及软件</w:t>
      </w:r>
      <w:r>
        <w:rPr>
          <w:rFonts w:hint="eastAsia" w:ascii="微软雅黑" w:hAnsi="微软雅黑" w:eastAsia="微软雅黑" w:cs="微软雅黑"/>
          <w:b/>
          <w:bCs/>
          <w:i w:val="0"/>
          <w:iCs w:val="0"/>
          <w:caps w:val="0"/>
          <w:color w:val="FF0000"/>
          <w:spacing w:val="0"/>
          <w:sz w:val="30"/>
          <w:szCs w:val="30"/>
          <w:shd w:val="clear" w:fill="FFFFFF"/>
        </w:rPr>
        <w:t>安装包</w:t>
      </w:r>
      <w:r>
        <w:rPr>
          <w:rStyle w:val="7"/>
          <w:rFonts w:hint="eastAsia" w:ascii="微软雅黑" w:hAnsi="微软雅黑" w:eastAsia="微软雅黑" w:cs="微软雅黑"/>
          <w:i w:val="0"/>
          <w:iCs w:val="0"/>
          <w:caps w:val="0"/>
          <w:color w:val="FF0000"/>
          <w:spacing w:val="0"/>
          <w:sz w:val="30"/>
          <w:szCs w:val="30"/>
          <w:shd w:val="clear" w:fill="FFFFFF"/>
          <w:lang w:eastAsia="zh-CN"/>
        </w:rPr>
        <w:t>。</w:t>
      </w:r>
    </w:p>
    <w:p w14:paraId="2F45D27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rPr>
          <w:rStyle w:val="7"/>
          <w:rFonts w:hint="eastAsia" w:ascii="微软雅黑" w:hAnsi="微软雅黑" w:eastAsia="微软雅黑" w:cs="微软雅黑"/>
          <w:i w:val="0"/>
          <w:iCs w:val="0"/>
          <w:caps w:val="0"/>
          <w:color w:val="FF0000"/>
          <w:spacing w:val="0"/>
          <w:sz w:val="30"/>
          <w:szCs w:val="30"/>
          <w:shd w:val="clear" w:fill="FFFFFF"/>
        </w:rPr>
      </w:pPr>
      <w:r>
        <w:rPr>
          <w:rStyle w:val="7"/>
          <w:rFonts w:hint="eastAsia" w:ascii="微软雅黑" w:hAnsi="微软雅黑" w:eastAsia="微软雅黑" w:cs="微软雅黑"/>
          <w:i w:val="0"/>
          <w:iCs w:val="0"/>
          <w:caps w:val="0"/>
          <w:color w:val="FF0000"/>
          <w:spacing w:val="0"/>
          <w:sz w:val="30"/>
          <w:szCs w:val="30"/>
          <w:shd w:val="clear" w:fill="FFFFFF"/>
        </w:rPr>
        <w:t>（2）由于管理人未接管到</w:t>
      </w:r>
      <w:r>
        <w:rPr>
          <w:rFonts w:hint="eastAsia" w:ascii="微软雅黑" w:hAnsi="微软雅黑" w:eastAsia="微软雅黑" w:cs="微软雅黑"/>
          <w:b/>
          <w:bCs/>
          <w:i w:val="0"/>
          <w:iCs w:val="0"/>
          <w:caps w:val="0"/>
          <w:color w:val="FF0000"/>
          <w:spacing w:val="0"/>
          <w:sz w:val="30"/>
          <w:szCs w:val="30"/>
          <w:shd w:val="clear" w:fill="FFFFFF"/>
          <w:lang w:val="en-US" w:eastAsia="zh-CN"/>
        </w:rPr>
        <w:t>标的中专利权及计算机</w:t>
      </w:r>
      <w:r>
        <w:rPr>
          <w:rFonts w:hint="eastAsia" w:ascii="微软雅黑" w:hAnsi="微软雅黑" w:eastAsia="微软雅黑" w:cs="微软雅黑"/>
          <w:b/>
          <w:bCs/>
          <w:i w:val="0"/>
          <w:iCs w:val="0"/>
          <w:caps w:val="0"/>
          <w:color w:val="FF0000"/>
          <w:spacing w:val="0"/>
          <w:sz w:val="30"/>
          <w:szCs w:val="30"/>
          <w:shd w:val="clear" w:fill="FFFFFF"/>
        </w:rPr>
        <w:t>软件著作权涉及的与之对应的</w:t>
      </w:r>
      <w:r>
        <w:rPr>
          <w:rFonts w:hint="eastAsia" w:ascii="微软雅黑" w:hAnsi="微软雅黑" w:eastAsia="微软雅黑" w:cs="微软雅黑"/>
          <w:b/>
          <w:bCs/>
          <w:i w:val="0"/>
          <w:iCs w:val="0"/>
          <w:caps w:val="0"/>
          <w:color w:val="FF0000"/>
          <w:spacing w:val="0"/>
          <w:sz w:val="30"/>
          <w:szCs w:val="30"/>
          <w:shd w:val="clear" w:fill="FFFFFF"/>
          <w:lang w:val="en-US" w:eastAsia="zh-CN"/>
        </w:rPr>
        <w:t>专利内容及软件</w:t>
      </w:r>
      <w:r>
        <w:rPr>
          <w:rFonts w:hint="eastAsia" w:ascii="微软雅黑" w:hAnsi="微软雅黑" w:eastAsia="微软雅黑" w:cs="微软雅黑"/>
          <w:b/>
          <w:bCs/>
          <w:i w:val="0"/>
          <w:iCs w:val="0"/>
          <w:caps w:val="0"/>
          <w:color w:val="FF0000"/>
          <w:spacing w:val="0"/>
          <w:sz w:val="30"/>
          <w:szCs w:val="30"/>
          <w:shd w:val="clear" w:fill="FFFFFF"/>
        </w:rPr>
        <w:t>安装包</w:t>
      </w:r>
      <w:r>
        <w:rPr>
          <w:rStyle w:val="7"/>
          <w:rFonts w:hint="eastAsia" w:ascii="微软雅黑" w:hAnsi="微软雅黑" w:eastAsia="微软雅黑" w:cs="微软雅黑"/>
          <w:i w:val="0"/>
          <w:iCs w:val="0"/>
          <w:caps w:val="0"/>
          <w:color w:val="FF0000"/>
          <w:spacing w:val="0"/>
          <w:sz w:val="30"/>
          <w:szCs w:val="30"/>
          <w:shd w:val="clear" w:fill="FFFFFF"/>
        </w:rPr>
        <w:t>，有意者请自行登录：中国版权保护中心网站、国家版权局官网等与标的相关的网站查询标的物信息，标的物的相关情况以登记机关登记信息为准。竞买人参与本次拍卖即表示同意按现状交付，具体以实际现状为准，管理人不承担拍卖标的瑕疵保证。如中国版权保护中心不能提供</w:t>
      </w:r>
      <w:r>
        <w:rPr>
          <w:rFonts w:hint="eastAsia" w:ascii="微软雅黑" w:hAnsi="微软雅黑" w:eastAsia="微软雅黑" w:cs="微软雅黑"/>
          <w:b/>
          <w:bCs/>
          <w:i w:val="0"/>
          <w:iCs w:val="0"/>
          <w:caps w:val="0"/>
          <w:color w:val="FF0000"/>
          <w:spacing w:val="0"/>
          <w:sz w:val="30"/>
          <w:szCs w:val="30"/>
          <w:shd w:val="clear" w:fill="FFFFFF"/>
          <w:lang w:val="en-US" w:eastAsia="zh-CN"/>
        </w:rPr>
        <w:t>计算机</w:t>
      </w:r>
      <w:r>
        <w:rPr>
          <w:rStyle w:val="7"/>
          <w:rFonts w:hint="eastAsia" w:ascii="微软雅黑" w:hAnsi="微软雅黑" w:eastAsia="微软雅黑" w:cs="微软雅黑"/>
          <w:i w:val="0"/>
          <w:iCs w:val="0"/>
          <w:caps w:val="0"/>
          <w:color w:val="FF0000"/>
          <w:spacing w:val="0"/>
          <w:sz w:val="30"/>
          <w:szCs w:val="30"/>
          <w:shd w:val="clear" w:fill="FFFFFF"/>
        </w:rPr>
        <w:t>软件著作权的设计稿、</w:t>
      </w:r>
      <w:r>
        <w:rPr>
          <w:rFonts w:hint="eastAsia" w:ascii="微软雅黑" w:hAnsi="微软雅黑" w:eastAsia="微软雅黑" w:cs="微软雅黑"/>
          <w:b/>
          <w:bCs/>
          <w:i w:val="0"/>
          <w:iCs w:val="0"/>
          <w:caps w:val="0"/>
          <w:color w:val="FF0000"/>
          <w:spacing w:val="0"/>
          <w:sz w:val="30"/>
          <w:szCs w:val="30"/>
          <w:shd w:val="clear" w:fill="FFFFFF"/>
          <w:lang w:val="en-US" w:eastAsia="zh-CN"/>
        </w:rPr>
        <w:t>计算机</w:t>
      </w:r>
      <w:r>
        <w:rPr>
          <w:rStyle w:val="7"/>
          <w:rFonts w:hint="eastAsia" w:ascii="微软雅黑" w:hAnsi="微软雅黑" w:eastAsia="微软雅黑" w:cs="微软雅黑"/>
          <w:i w:val="0"/>
          <w:iCs w:val="0"/>
          <w:caps w:val="0"/>
          <w:color w:val="FF0000"/>
          <w:spacing w:val="0"/>
          <w:sz w:val="30"/>
          <w:szCs w:val="30"/>
          <w:shd w:val="clear" w:fill="FFFFFF"/>
        </w:rPr>
        <w:t>软件著作权的全套代码文件很可能造成软件无法正常使用，</w:t>
      </w:r>
      <w:r>
        <w:rPr>
          <w:rStyle w:val="7"/>
          <w:rFonts w:hint="eastAsia" w:ascii="微软雅黑" w:hAnsi="微软雅黑" w:eastAsia="微软雅黑" w:cs="微软雅黑"/>
          <w:i w:val="0"/>
          <w:iCs w:val="0"/>
          <w:caps w:val="0"/>
          <w:color w:val="FF0000"/>
          <w:spacing w:val="0"/>
          <w:sz w:val="30"/>
          <w:szCs w:val="30"/>
          <w:shd w:val="clear" w:fill="FFFFFF"/>
          <w:lang w:val="en-US" w:eastAsia="zh-CN"/>
        </w:rPr>
        <w:t>以及专利网站不能提供专利的具体信息内容，</w:t>
      </w:r>
      <w:r>
        <w:rPr>
          <w:rStyle w:val="7"/>
          <w:rFonts w:hint="eastAsia" w:ascii="微软雅黑" w:hAnsi="微软雅黑" w:eastAsia="微软雅黑" w:cs="微软雅黑"/>
          <w:i w:val="0"/>
          <w:iCs w:val="0"/>
          <w:caps w:val="0"/>
          <w:color w:val="FF0000"/>
          <w:spacing w:val="0"/>
          <w:sz w:val="30"/>
          <w:szCs w:val="30"/>
          <w:shd w:val="clear" w:fill="FFFFFF"/>
        </w:rPr>
        <w:t>由此产生的问题不影响</w:t>
      </w:r>
      <w:r>
        <w:rPr>
          <w:rStyle w:val="7"/>
          <w:rFonts w:hint="eastAsia" w:ascii="微软雅黑" w:hAnsi="微软雅黑" w:eastAsia="微软雅黑" w:cs="微软雅黑"/>
          <w:i w:val="0"/>
          <w:iCs w:val="0"/>
          <w:caps w:val="0"/>
          <w:color w:val="FF0000"/>
          <w:spacing w:val="0"/>
          <w:sz w:val="30"/>
          <w:szCs w:val="30"/>
          <w:shd w:val="clear" w:fill="FFFFFF"/>
          <w:lang w:val="en-US" w:eastAsia="zh-CN"/>
        </w:rPr>
        <w:t>计算机</w:t>
      </w:r>
      <w:r>
        <w:rPr>
          <w:rStyle w:val="7"/>
          <w:rFonts w:hint="eastAsia" w:ascii="微软雅黑" w:hAnsi="微软雅黑" w:eastAsia="微软雅黑" w:cs="微软雅黑"/>
          <w:i w:val="0"/>
          <w:iCs w:val="0"/>
          <w:caps w:val="0"/>
          <w:color w:val="FF0000"/>
          <w:spacing w:val="0"/>
          <w:sz w:val="30"/>
          <w:szCs w:val="30"/>
          <w:shd w:val="clear" w:fill="FFFFFF"/>
        </w:rPr>
        <w:t>软件著作权</w:t>
      </w:r>
      <w:r>
        <w:rPr>
          <w:rStyle w:val="7"/>
          <w:rFonts w:hint="eastAsia" w:ascii="微软雅黑" w:hAnsi="微软雅黑" w:eastAsia="微软雅黑" w:cs="微软雅黑"/>
          <w:i w:val="0"/>
          <w:iCs w:val="0"/>
          <w:caps w:val="0"/>
          <w:color w:val="FF0000"/>
          <w:spacing w:val="0"/>
          <w:sz w:val="30"/>
          <w:szCs w:val="30"/>
          <w:shd w:val="clear" w:fill="FFFFFF"/>
          <w:lang w:val="en-US" w:eastAsia="zh-CN"/>
        </w:rPr>
        <w:t>和专利权</w:t>
      </w:r>
      <w:r>
        <w:rPr>
          <w:rStyle w:val="7"/>
          <w:rFonts w:hint="eastAsia" w:ascii="微软雅黑" w:hAnsi="微软雅黑" w:eastAsia="微软雅黑" w:cs="微软雅黑"/>
          <w:i w:val="0"/>
          <w:iCs w:val="0"/>
          <w:caps w:val="0"/>
          <w:color w:val="FF0000"/>
          <w:spacing w:val="0"/>
          <w:sz w:val="30"/>
          <w:szCs w:val="30"/>
          <w:shd w:val="clear" w:fill="FFFFFF"/>
        </w:rPr>
        <w:t>的拍卖竞买成交结果及成交价格。</w:t>
      </w:r>
    </w:p>
    <w:p w14:paraId="3619994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rPr>
          <w:rStyle w:val="7"/>
          <w:rFonts w:hint="default" w:ascii="微软雅黑" w:hAnsi="微软雅黑" w:eastAsia="微软雅黑" w:cs="微软雅黑"/>
          <w:i w:val="0"/>
          <w:iCs w:val="0"/>
          <w:caps w:val="0"/>
          <w:color w:val="FF0000"/>
          <w:spacing w:val="0"/>
          <w:sz w:val="30"/>
          <w:szCs w:val="30"/>
          <w:shd w:val="clear" w:fill="FFFFFF"/>
          <w:lang w:val="en-US" w:eastAsia="zh-CN"/>
        </w:rPr>
      </w:pPr>
      <w:r>
        <w:rPr>
          <w:rStyle w:val="7"/>
          <w:rFonts w:hint="eastAsia" w:ascii="微软雅黑" w:hAnsi="微软雅黑" w:eastAsia="微软雅黑" w:cs="微软雅黑"/>
          <w:i w:val="0"/>
          <w:iCs w:val="0"/>
          <w:caps w:val="0"/>
          <w:color w:val="FF0000"/>
          <w:spacing w:val="0"/>
          <w:sz w:val="30"/>
          <w:szCs w:val="30"/>
          <w:shd w:val="clear" w:fill="FFFFFF"/>
          <w:lang w:eastAsia="zh-CN"/>
        </w:rPr>
        <w:t>（</w:t>
      </w:r>
      <w:r>
        <w:rPr>
          <w:rStyle w:val="7"/>
          <w:rFonts w:hint="eastAsia" w:ascii="微软雅黑" w:hAnsi="微软雅黑" w:eastAsia="微软雅黑" w:cs="微软雅黑"/>
          <w:i w:val="0"/>
          <w:iCs w:val="0"/>
          <w:caps w:val="0"/>
          <w:color w:val="FF0000"/>
          <w:spacing w:val="0"/>
          <w:sz w:val="30"/>
          <w:szCs w:val="30"/>
          <w:shd w:val="clear" w:fill="FFFFFF"/>
          <w:lang w:val="en-US" w:eastAsia="zh-CN"/>
        </w:rPr>
        <w:t>3）特殊情况：此次拍卖标的中的商标：贝拉蒙、计算机软件著作权登记证：创敏智能商场平台，用于区块链接技术的人体AI建摸实时渲染参数控制软件，基于区块链的元宇宙AI快熟建模工具软件这几个标的管理人接管到与之对于的证书，但是在网站系统上未能查询到相关信息，</w:t>
      </w:r>
      <w:r>
        <w:rPr>
          <w:rStyle w:val="7"/>
          <w:rFonts w:hint="eastAsia" w:ascii="微软雅黑" w:hAnsi="微软雅黑" w:eastAsia="微软雅黑" w:cs="微软雅黑"/>
          <w:i w:val="0"/>
          <w:iCs w:val="0"/>
          <w:caps w:val="0"/>
          <w:color w:val="FF0000"/>
          <w:spacing w:val="0"/>
          <w:sz w:val="30"/>
          <w:szCs w:val="30"/>
          <w:shd w:val="clear" w:fill="FFFFFF"/>
        </w:rPr>
        <w:t>请竞买人自行核实，所载信息仅供参考</w:t>
      </w:r>
      <w:r>
        <w:rPr>
          <w:rStyle w:val="7"/>
          <w:rFonts w:hint="eastAsia" w:ascii="微软雅黑" w:hAnsi="微软雅黑" w:eastAsia="微软雅黑" w:cs="微软雅黑"/>
          <w:i w:val="0"/>
          <w:iCs w:val="0"/>
          <w:caps w:val="0"/>
          <w:color w:val="FF0000"/>
          <w:spacing w:val="0"/>
          <w:sz w:val="30"/>
          <w:szCs w:val="30"/>
          <w:shd w:val="clear" w:fill="FFFFFF"/>
          <w:lang w:eastAsia="zh-CN"/>
        </w:rPr>
        <w:t>，</w:t>
      </w:r>
      <w:r>
        <w:rPr>
          <w:rStyle w:val="7"/>
          <w:rFonts w:hint="eastAsia" w:ascii="微软雅黑" w:hAnsi="微软雅黑" w:eastAsia="微软雅黑" w:cs="微软雅黑"/>
          <w:i w:val="0"/>
          <w:iCs w:val="0"/>
          <w:caps w:val="0"/>
          <w:color w:val="FF0000"/>
          <w:spacing w:val="0"/>
          <w:sz w:val="30"/>
          <w:szCs w:val="30"/>
          <w:shd w:val="clear" w:fill="FFFFFF"/>
          <w:lang w:val="en-US" w:eastAsia="zh-CN"/>
        </w:rPr>
        <w:t>交付以标的现状为准</w:t>
      </w:r>
      <w:r>
        <w:rPr>
          <w:rStyle w:val="7"/>
          <w:rFonts w:hint="eastAsia" w:ascii="微软雅黑" w:hAnsi="微软雅黑" w:eastAsia="微软雅黑" w:cs="微软雅黑"/>
          <w:i w:val="0"/>
          <w:iCs w:val="0"/>
          <w:caps w:val="0"/>
          <w:color w:val="FF0000"/>
          <w:spacing w:val="0"/>
          <w:sz w:val="30"/>
          <w:szCs w:val="30"/>
          <w:shd w:val="clear" w:fill="FFFFFF"/>
        </w:rPr>
        <w:t>。</w:t>
      </w:r>
    </w:p>
    <w:p w14:paraId="6E8B598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rPr>
          <w:rStyle w:val="7"/>
          <w:rFonts w:hint="eastAsia" w:ascii="微软雅黑" w:hAnsi="微软雅黑" w:eastAsia="微软雅黑" w:cs="微软雅黑"/>
          <w:i w:val="0"/>
          <w:iCs w:val="0"/>
          <w:caps w:val="0"/>
          <w:color w:val="FF0000"/>
          <w:spacing w:val="0"/>
          <w:sz w:val="30"/>
          <w:szCs w:val="30"/>
          <w:shd w:val="clear" w:fill="FFFFFF"/>
        </w:rPr>
      </w:pPr>
      <w:r>
        <w:rPr>
          <w:rStyle w:val="7"/>
          <w:rFonts w:hint="eastAsia" w:ascii="微软雅黑" w:hAnsi="微软雅黑" w:eastAsia="微软雅黑" w:cs="微软雅黑"/>
          <w:i w:val="0"/>
          <w:iCs w:val="0"/>
          <w:caps w:val="0"/>
          <w:color w:val="FF0000"/>
          <w:spacing w:val="0"/>
          <w:sz w:val="30"/>
          <w:szCs w:val="30"/>
          <w:shd w:val="clear" w:fill="FFFFFF"/>
        </w:rPr>
        <w:t>（</w:t>
      </w:r>
      <w:r>
        <w:rPr>
          <w:rStyle w:val="7"/>
          <w:rFonts w:hint="eastAsia" w:ascii="微软雅黑" w:hAnsi="微软雅黑" w:eastAsia="微软雅黑" w:cs="微软雅黑"/>
          <w:i w:val="0"/>
          <w:iCs w:val="0"/>
          <w:caps w:val="0"/>
          <w:color w:val="FF0000"/>
          <w:spacing w:val="0"/>
          <w:sz w:val="30"/>
          <w:szCs w:val="30"/>
          <w:shd w:val="clear" w:fill="FFFFFF"/>
          <w:lang w:val="en-US" w:eastAsia="zh-CN"/>
        </w:rPr>
        <w:t>4</w:t>
      </w:r>
      <w:r>
        <w:rPr>
          <w:rStyle w:val="7"/>
          <w:rFonts w:hint="eastAsia" w:ascii="微软雅黑" w:hAnsi="微软雅黑" w:eastAsia="微软雅黑" w:cs="微软雅黑"/>
          <w:i w:val="0"/>
          <w:iCs w:val="0"/>
          <w:caps w:val="0"/>
          <w:color w:val="FF0000"/>
          <w:spacing w:val="0"/>
          <w:sz w:val="30"/>
          <w:szCs w:val="30"/>
          <w:shd w:val="clear" w:fill="FFFFFF"/>
        </w:rPr>
        <w:t>）拍卖人对</w:t>
      </w:r>
      <w:r>
        <w:rPr>
          <w:rStyle w:val="7"/>
          <w:rFonts w:hint="eastAsia" w:ascii="微软雅黑" w:hAnsi="微软雅黑" w:eastAsia="微软雅黑" w:cs="微软雅黑"/>
          <w:i w:val="0"/>
          <w:iCs w:val="0"/>
          <w:caps w:val="0"/>
          <w:color w:val="FF0000"/>
          <w:spacing w:val="0"/>
          <w:sz w:val="30"/>
          <w:szCs w:val="30"/>
          <w:shd w:val="clear" w:fill="FFFFFF"/>
          <w:lang w:val="en-US" w:eastAsia="zh-CN"/>
        </w:rPr>
        <w:t>标的的</w:t>
      </w:r>
      <w:r>
        <w:rPr>
          <w:rStyle w:val="7"/>
          <w:rFonts w:hint="eastAsia" w:ascii="微软雅黑" w:hAnsi="微软雅黑" w:eastAsia="微软雅黑" w:cs="微软雅黑"/>
          <w:i w:val="0"/>
          <w:iCs w:val="0"/>
          <w:caps w:val="0"/>
          <w:color w:val="FF0000"/>
          <w:spacing w:val="0"/>
          <w:sz w:val="30"/>
          <w:szCs w:val="30"/>
          <w:shd w:val="clear" w:fill="FFFFFF"/>
        </w:rPr>
        <w:t>合法性、有效性等不作担保，由买受人自行承担全部责任，由此产生的问题也不影响拍卖成交结果及成交价格。若拍卖成交后标的物被撤销、被宣告无效或标的物上存在权利限制的，所有责任由买受人承担，拍卖人不做任何担保或承诺。</w:t>
      </w:r>
    </w:p>
    <w:p w14:paraId="7BCD95D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rPr>
          <w:rStyle w:val="7"/>
          <w:rFonts w:hint="eastAsia" w:ascii="微软雅黑" w:hAnsi="微软雅黑" w:eastAsia="微软雅黑" w:cs="微软雅黑"/>
          <w:i w:val="0"/>
          <w:iCs w:val="0"/>
          <w:caps w:val="0"/>
          <w:color w:val="FF0000"/>
          <w:spacing w:val="0"/>
          <w:sz w:val="30"/>
          <w:szCs w:val="30"/>
          <w:shd w:val="clear" w:fill="FFFFFF"/>
        </w:rPr>
      </w:pPr>
      <w:r>
        <w:rPr>
          <w:rStyle w:val="7"/>
          <w:rFonts w:ascii="微软雅黑" w:hAnsi="微软雅黑" w:eastAsia="微软雅黑" w:cs="微软雅黑"/>
          <w:i w:val="0"/>
          <w:iCs w:val="0"/>
          <w:caps w:val="0"/>
          <w:color w:val="FF0000"/>
          <w:spacing w:val="0"/>
          <w:sz w:val="30"/>
          <w:szCs w:val="30"/>
          <w:shd w:val="clear" w:fill="FFFFFF"/>
        </w:rPr>
        <w:t>（</w:t>
      </w:r>
      <w:r>
        <w:rPr>
          <w:rStyle w:val="7"/>
          <w:rFonts w:hint="eastAsia" w:ascii="微软雅黑" w:hAnsi="微软雅黑" w:eastAsia="微软雅黑" w:cs="微软雅黑"/>
          <w:i w:val="0"/>
          <w:iCs w:val="0"/>
          <w:caps w:val="0"/>
          <w:color w:val="FF0000"/>
          <w:spacing w:val="0"/>
          <w:sz w:val="30"/>
          <w:szCs w:val="30"/>
          <w:shd w:val="clear" w:fill="FFFFFF"/>
          <w:lang w:val="en-US" w:eastAsia="zh-CN"/>
        </w:rPr>
        <w:t>5</w:t>
      </w:r>
      <w:r>
        <w:rPr>
          <w:rStyle w:val="7"/>
          <w:rFonts w:ascii="微软雅黑" w:hAnsi="微软雅黑" w:eastAsia="微软雅黑" w:cs="微软雅黑"/>
          <w:i w:val="0"/>
          <w:iCs w:val="0"/>
          <w:caps w:val="0"/>
          <w:color w:val="FF0000"/>
          <w:spacing w:val="0"/>
          <w:sz w:val="30"/>
          <w:szCs w:val="30"/>
          <w:shd w:val="clear" w:fill="FFFFFF"/>
        </w:rPr>
        <w:t>）此次拍卖</w:t>
      </w:r>
      <w:r>
        <w:rPr>
          <w:rStyle w:val="7"/>
          <w:rFonts w:hint="eastAsia" w:ascii="微软雅黑" w:hAnsi="微软雅黑" w:eastAsia="微软雅黑" w:cs="微软雅黑"/>
          <w:i w:val="0"/>
          <w:iCs w:val="0"/>
          <w:caps w:val="0"/>
          <w:color w:val="FF0000"/>
          <w:spacing w:val="0"/>
          <w:sz w:val="30"/>
          <w:szCs w:val="30"/>
          <w:shd w:val="clear" w:fill="FFFFFF"/>
        </w:rPr>
        <w:t>标的涉及的商标为无形资产，管理人仅接到相关的《商标注册证》，其市场可接受程度无法判断，其具体权利内容以及现行是否有效、能否正常使用、能否办理权利转让登记以相关部门确认为准。</w:t>
      </w:r>
    </w:p>
    <w:p w14:paraId="62F7F62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555"/>
        <w:jc w:val="both"/>
        <w:rPr>
          <w:rStyle w:val="7"/>
          <w:rFonts w:hint="eastAsia" w:ascii="微软雅黑" w:hAnsi="微软雅黑" w:eastAsia="微软雅黑" w:cs="微软雅黑"/>
          <w:i w:val="0"/>
          <w:iCs w:val="0"/>
          <w:caps w:val="0"/>
          <w:color w:val="FF0000"/>
          <w:spacing w:val="0"/>
          <w:sz w:val="30"/>
          <w:szCs w:val="30"/>
          <w:shd w:val="clear" w:fill="FFFFFF"/>
        </w:rPr>
      </w:pPr>
      <w:r>
        <w:rPr>
          <w:rStyle w:val="7"/>
          <w:rFonts w:hint="eastAsia" w:ascii="微软雅黑" w:hAnsi="微软雅黑" w:eastAsia="微软雅黑" w:cs="微软雅黑"/>
          <w:i w:val="0"/>
          <w:iCs w:val="0"/>
          <w:caps w:val="0"/>
          <w:color w:val="FF0000"/>
          <w:spacing w:val="0"/>
          <w:sz w:val="30"/>
          <w:szCs w:val="30"/>
          <w:shd w:val="clear" w:fill="FFFFFF"/>
        </w:rPr>
        <w:t>（</w:t>
      </w:r>
      <w:r>
        <w:rPr>
          <w:rStyle w:val="7"/>
          <w:rFonts w:hint="eastAsia" w:ascii="微软雅黑" w:hAnsi="微软雅黑" w:eastAsia="微软雅黑" w:cs="微软雅黑"/>
          <w:i w:val="0"/>
          <w:iCs w:val="0"/>
          <w:caps w:val="0"/>
          <w:color w:val="FF0000"/>
          <w:spacing w:val="0"/>
          <w:sz w:val="30"/>
          <w:szCs w:val="30"/>
          <w:shd w:val="clear" w:fill="FFFFFF"/>
          <w:lang w:val="en-US" w:eastAsia="zh-CN"/>
        </w:rPr>
        <w:t>6</w:t>
      </w:r>
      <w:r>
        <w:rPr>
          <w:rStyle w:val="7"/>
          <w:rFonts w:hint="eastAsia" w:ascii="微软雅黑" w:hAnsi="微软雅黑" w:eastAsia="微软雅黑" w:cs="微软雅黑"/>
          <w:i w:val="0"/>
          <w:iCs w:val="0"/>
          <w:caps w:val="0"/>
          <w:color w:val="FF0000"/>
          <w:spacing w:val="0"/>
          <w:sz w:val="30"/>
          <w:szCs w:val="30"/>
          <w:shd w:val="clear" w:fill="FFFFFF"/>
        </w:rPr>
        <w:t>）标的名称、</w:t>
      </w:r>
      <w:r>
        <w:rPr>
          <w:rStyle w:val="7"/>
          <w:rFonts w:hint="eastAsia" w:ascii="微软雅黑" w:hAnsi="微软雅黑" w:eastAsia="微软雅黑" w:cs="微软雅黑"/>
          <w:i w:val="0"/>
          <w:iCs w:val="0"/>
          <w:caps w:val="0"/>
          <w:color w:val="FF0000"/>
          <w:spacing w:val="0"/>
          <w:sz w:val="30"/>
          <w:szCs w:val="30"/>
          <w:shd w:val="clear" w:fill="FFFFFF"/>
          <w:lang w:val="en-US" w:eastAsia="zh-CN"/>
        </w:rPr>
        <w:t>版本、</w:t>
      </w:r>
      <w:r>
        <w:rPr>
          <w:rStyle w:val="7"/>
          <w:rFonts w:hint="eastAsia" w:ascii="微软雅黑" w:hAnsi="微软雅黑" w:eastAsia="微软雅黑" w:cs="微软雅黑"/>
          <w:i w:val="0"/>
          <w:iCs w:val="0"/>
          <w:caps w:val="0"/>
          <w:color w:val="FF0000"/>
          <w:spacing w:val="0"/>
          <w:sz w:val="30"/>
          <w:szCs w:val="30"/>
          <w:shd w:val="clear" w:fill="FFFFFF"/>
        </w:rPr>
        <w:t>登记号</w:t>
      </w:r>
      <w:r>
        <w:rPr>
          <w:rStyle w:val="7"/>
          <w:rFonts w:hint="eastAsia" w:ascii="微软雅黑" w:hAnsi="微软雅黑" w:eastAsia="微软雅黑" w:cs="微软雅黑"/>
          <w:i w:val="0"/>
          <w:iCs w:val="0"/>
          <w:caps w:val="0"/>
          <w:color w:val="FF0000"/>
          <w:spacing w:val="0"/>
          <w:sz w:val="30"/>
          <w:szCs w:val="30"/>
          <w:shd w:val="clear" w:fill="FFFFFF"/>
          <w:lang w:eastAsia="zh-CN"/>
        </w:rPr>
        <w:t>、</w:t>
      </w:r>
      <w:r>
        <w:rPr>
          <w:rStyle w:val="7"/>
          <w:rFonts w:hint="eastAsia" w:ascii="微软雅黑" w:hAnsi="微软雅黑" w:eastAsia="微软雅黑" w:cs="微软雅黑"/>
          <w:i w:val="0"/>
          <w:iCs w:val="0"/>
          <w:caps w:val="0"/>
          <w:color w:val="FF0000"/>
          <w:spacing w:val="0"/>
          <w:sz w:val="30"/>
          <w:szCs w:val="30"/>
          <w:shd w:val="clear" w:fill="FFFFFF"/>
          <w:lang w:val="en-US" w:eastAsia="zh-CN"/>
        </w:rPr>
        <w:t>证书号、分类</w:t>
      </w:r>
      <w:r>
        <w:rPr>
          <w:rStyle w:val="7"/>
          <w:rFonts w:hint="eastAsia" w:ascii="微软雅黑" w:hAnsi="微软雅黑" w:eastAsia="微软雅黑" w:cs="微软雅黑"/>
          <w:i w:val="0"/>
          <w:iCs w:val="0"/>
          <w:caps w:val="0"/>
          <w:color w:val="FF0000"/>
          <w:spacing w:val="0"/>
          <w:sz w:val="30"/>
          <w:szCs w:val="30"/>
          <w:shd w:val="clear" w:fill="FFFFFF"/>
        </w:rPr>
        <w:t>等信息及现状公布信息仅供参考，其他隐性的信息或损失无法查知，请竞买人自行核实，参与竞拍者均视为对标的情况有足够的了解。</w:t>
      </w:r>
    </w:p>
    <w:p w14:paraId="4C57F02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Style w:val="7"/>
          <w:rFonts w:hint="eastAsia" w:ascii="微软雅黑" w:hAnsi="微软雅黑" w:eastAsia="微软雅黑" w:cs="微软雅黑"/>
          <w:i w:val="0"/>
          <w:iCs w:val="0"/>
          <w:caps w:val="0"/>
          <w:color w:val="FF0000"/>
          <w:spacing w:val="0"/>
          <w:sz w:val="30"/>
          <w:szCs w:val="30"/>
          <w:shd w:val="clear" w:fill="FFFFFF"/>
        </w:rPr>
      </w:pPr>
      <w:r>
        <w:rPr>
          <w:rStyle w:val="7"/>
          <w:rFonts w:hint="eastAsia" w:ascii="微软雅黑" w:hAnsi="微软雅黑" w:eastAsia="微软雅黑" w:cs="微软雅黑"/>
          <w:i w:val="0"/>
          <w:iCs w:val="0"/>
          <w:caps w:val="0"/>
          <w:color w:val="FF0000"/>
          <w:spacing w:val="0"/>
          <w:sz w:val="30"/>
          <w:szCs w:val="30"/>
          <w:shd w:val="clear" w:fill="FFFFFF"/>
        </w:rPr>
        <w:t>     （</w:t>
      </w:r>
      <w:r>
        <w:rPr>
          <w:rStyle w:val="7"/>
          <w:rFonts w:hint="eastAsia" w:ascii="微软雅黑" w:hAnsi="微软雅黑" w:eastAsia="微软雅黑" w:cs="微软雅黑"/>
          <w:i w:val="0"/>
          <w:iCs w:val="0"/>
          <w:caps w:val="0"/>
          <w:color w:val="FF0000"/>
          <w:spacing w:val="0"/>
          <w:sz w:val="30"/>
          <w:szCs w:val="30"/>
          <w:shd w:val="clear" w:fill="FFFFFF"/>
          <w:lang w:val="en-US" w:eastAsia="zh-CN"/>
        </w:rPr>
        <w:t>7</w:t>
      </w:r>
      <w:r>
        <w:rPr>
          <w:rStyle w:val="7"/>
          <w:rFonts w:hint="eastAsia" w:ascii="微软雅黑" w:hAnsi="微软雅黑" w:eastAsia="微软雅黑" w:cs="微软雅黑"/>
          <w:i w:val="0"/>
          <w:iCs w:val="0"/>
          <w:caps w:val="0"/>
          <w:color w:val="FF0000"/>
          <w:spacing w:val="0"/>
          <w:sz w:val="30"/>
          <w:szCs w:val="30"/>
          <w:shd w:val="clear" w:fill="FFFFFF"/>
        </w:rPr>
        <w:t>）本次拍卖标的若存在差缺、终止、过期失效等风险由买受人承担。若需补办、补缴相关手续及将产生的所有费用和滞纳金等均由买受人自行了解、办理及承担。</w:t>
      </w:r>
    </w:p>
    <w:p w14:paraId="6F8D1DF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0" w:firstLineChars="200"/>
        <w:jc w:val="both"/>
        <w:rPr>
          <w:rStyle w:val="7"/>
          <w:rFonts w:hint="eastAsia" w:ascii="微软雅黑" w:hAnsi="微软雅黑" w:eastAsia="微软雅黑" w:cs="微软雅黑"/>
          <w:i w:val="0"/>
          <w:iCs w:val="0"/>
          <w:caps w:val="0"/>
          <w:color w:val="FF0000"/>
          <w:spacing w:val="0"/>
          <w:sz w:val="30"/>
          <w:szCs w:val="30"/>
          <w:shd w:val="clear" w:fill="FFFFFF"/>
        </w:rPr>
      </w:pPr>
      <w:r>
        <w:rPr>
          <w:rStyle w:val="7"/>
          <w:rFonts w:hint="eastAsia" w:ascii="微软雅黑" w:hAnsi="微软雅黑" w:eastAsia="微软雅黑" w:cs="微软雅黑"/>
          <w:i w:val="0"/>
          <w:iCs w:val="0"/>
          <w:caps w:val="0"/>
          <w:color w:val="FF0000"/>
          <w:spacing w:val="0"/>
          <w:sz w:val="30"/>
          <w:szCs w:val="30"/>
          <w:shd w:val="clear" w:fill="FFFFFF"/>
        </w:rPr>
        <w:t>（</w:t>
      </w:r>
      <w:r>
        <w:rPr>
          <w:rStyle w:val="7"/>
          <w:rFonts w:hint="eastAsia" w:ascii="微软雅黑" w:hAnsi="微软雅黑" w:eastAsia="微软雅黑" w:cs="微软雅黑"/>
          <w:i w:val="0"/>
          <w:iCs w:val="0"/>
          <w:caps w:val="0"/>
          <w:color w:val="FF0000"/>
          <w:spacing w:val="0"/>
          <w:sz w:val="30"/>
          <w:szCs w:val="30"/>
          <w:shd w:val="clear" w:fill="FFFFFF"/>
          <w:lang w:val="en-US" w:eastAsia="zh-CN"/>
        </w:rPr>
        <w:t>8</w:t>
      </w:r>
      <w:r>
        <w:rPr>
          <w:rStyle w:val="7"/>
          <w:rFonts w:hint="eastAsia" w:ascii="微软雅黑" w:hAnsi="微软雅黑" w:eastAsia="微软雅黑" w:cs="微软雅黑"/>
          <w:i w:val="0"/>
          <w:iCs w:val="0"/>
          <w:caps w:val="0"/>
          <w:color w:val="FF0000"/>
          <w:spacing w:val="0"/>
          <w:sz w:val="30"/>
          <w:szCs w:val="30"/>
          <w:shd w:val="clear" w:fill="FFFFFF"/>
        </w:rPr>
        <w:t>）对本次拍卖标的后续能否办理续展手续以及办理时间、费用等情况，请竞买人在竞买前自行向国家知识产权局、中国版权保护中心网站等相关部门咨询确认，不能办理续展的后果或者延迟办理续展手续的后果由买受人自负。管理人、破产人不作续展的任何承诺，不承担续展涉及的一切费用。</w:t>
      </w:r>
    </w:p>
    <w:p w14:paraId="54A313F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00" w:firstLineChars="200"/>
        <w:jc w:val="both"/>
        <w:rPr>
          <w:rFonts w:hint="eastAsia" w:ascii="新宋体" w:hAnsi="新宋体" w:eastAsia="新宋体" w:cs="新宋体"/>
          <w:i w:val="0"/>
          <w:iCs w:val="0"/>
          <w:caps w:val="0"/>
          <w:color w:val="000000"/>
          <w:spacing w:val="0"/>
          <w:sz w:val="27"/>
          <w:szCs w:val="27"/>
        </w:rPr>
      </w:pPr>
      <w:r>
        <w:rPr>
          <w:rStyle w:val="7"/>
          <w:rFonts w:hint="eastAsia" w:ascii="微软雅黑" w:hAnsi="微软雅黑" w:eastAsia="微软雅黑" w:cs="微软雅黑"/>
          <w:i w:val="0"/>
          <w:iCs w:val="0"/>
          <w:caps w:val="0"/>
          <w:color w:val="FF0000"/>
          <w:spacing w:val="0"/>
          <w:sz w:val="30"/>
          <w:szCs w:val="30"/>
          <w:shd w:val="clear" w:fill="FFFFFF"/>
        </w:rPr>
        <w:t>（</w:t>
      </w:r>
      <w:r>
        <w:rPr>
          <w:rStyle w:val="7"/>
          <w:rFonts w:hint="eastAsia" w:ascii="微软雅黑" w:hAnsi="微软雅黑" w:eastAsia="微软雅黑" w:cs="微软雅黑"/>
          <w:i w:val="0"/>
          <w:iCs w:val="0"/>
          <w:caps w:val="0"/>
          <w:color w:val="FF0000"/>
          <w:spacing w:val="0"/>
          <w:sz w:val="30"/>
          <w:szCs w:val="30"/>
          <w:shd w:val="clear" w:fill="FFFFFF"/>
          <w:lang w:val="en-US" w:eastAsia="zh-CN"/>
        </w:rPr>
        <w:t>9</w:t>
      </w:r>
      <w:r>
        <w:rPr>
          <w:rStyle w:val="7"/>
          <w:rFonts w:hint="eastAsia" w:ascii="微软雅黑" w:hAnsi="微软雅黑" w:eastAsia="微软雅黑" w:cs="微软雅黑"/>
          <w:i w:val="0"/>
          <w:iCs w:val="0"/>
          <w:caps w:val="0"/>
          <w:color w:val="FF0000"/>
          <w:spacing w:val="0"/>
          <w:sz w:val="30"/>
          <w:szCs w:val="30"/>
          <w:shd w:val="clear" w:fill="FFFFFF"/>
        </w:rPr>
        <w:t>）</w:t>
      </w:r>
      <w:r>
        <w:rPr>
          <w:rStyle w:val="7"/>
          <w:rFonts w:hint="eastAsia" w:ascii="微软雅黑" w:hAnsi="微软雅黑" w:eastAsia="微软雅黑" w:cs="微软雅黑"/>
          <w:i w:val="0"/>
          <w:iCs w:val="0"/>
          <w:caps w:val="0"/>
          <w:color w:val="FF0000"/>
          <w:spacing w:val="0"/>
          <w:sz w:val="30"/>
          <w:szCs w:val="30"/>
          <w:shd w:val="clear" w:fill="FFFFFF"/>
          <w:lang w:val="en-US" w:eastAsia="zh-CN"/>
        </w:rPr>
        <w:t>标的</w:t>
      </w:r>
      <w:r>
        <w:rPr>
          <w:rStyle w:val="7"/>
          <w:rFonts w:hint="eastAsia" w:ascii="微软雅黑" w:hAnsi="微软雅黑" w:eastAsia="微软雅黑" w:cs="微软雅黑"/>
          <w:i w:val="0"/>
          <w:iCs w:val="0"/>
          <w:caps w:val="0"/>
          <w:color w:val="FF0000"/>
          <w:spacing w:val="0"/>
          <w:sz w:val="30"/>
          <w:szCs w:val="30"/>
          <w:shd w:val="clear" w:fill="FFFFFF"/>
        </w:rPr>
        <w:t>能否办理权利转让登记，请买受人自行向有关部门咨询</w:t>
      </w:r>
      <w:r>
        <w:rPr>
          <w:rStyle w:val="7"/>
          <w:rFonts w:hint="eastAsia" w:ascii="微软雅黑" w:hAnsi="微软雅黑" w:eastAsia="微软雅黑" w:cs="微软雅黑"/>
          <w:i w:val="0"/>
          <w:iCs w:val="0"/>
          <w:caps w:val="0"/>
          <w:color w:val="FF0000"/>
          <w:spacing w:val="0"/>
          <w:sz w:val="30"/>
          <w:szCs w:val="30"/>
          <w:shd w:val="clear" w:fill="FFFFFF"/>
          <w:lang w:eastAsia="zh-CN"/>
        </w:rPr>
        <w:t>，</w:t>
      </w:r>
      <w:r>
        <w:rPr>
          <w:rStyle w:val="7"/>
          <w:rFonts w:hint="eastAsia" w:ascii="微软雅黑" w:hAnsi="微软雅黑" w:eastAsia="微软雅黑" w:cs="微软雅黑"/>
          <w:i w:val="0"/>
          <w:iCs w:val="0"/>
          <w:caps w:val="0"/>
          <w:color w:val="FF0000"/>
          <w:spacing w:val="0"/>
          <w:sz w:val="30"/>
          <w:szCs w:val="30"/>
          <w:shd w:val="clear" w:fill="FFFFFF"/>
          <w:lang w:val="en-US" w:eastAsia="zh-CN"/>
        </w:rPr>
        <w:t>其相关的</w:t>
      </w:r>
      <w:r>
        <w:rPr>
          <w:rStyle w:val="7"/>
          <w:rFonts w:hint="eastAsia" w:ascii="微软雅黑" w:hAnsi="微软雅黑" w:eastAsia="微软雅黑" w:cs="微软雅黑"/>
          <w:i w:val="0"/>
          <w:iCs w:val="0"/>
          <w:caps w:val="0"/>
          <w:color w:val="FF0000"/>
          <w:spacing w:val="0"/>
          <w:sz w:val="30"/>
          <w:szCs w:val="30"/>
          <w:shd w:val="clear" w:fill="FFFFFF"/>
        </w:rPr>
        <w:t>手续</w:t>
      </w:r>
      <w:r>
        <w:rPr>
          <w:rStyle w:val="7"/>
          <w:rFonts w:hint="eastAsia" w:ascii="微软雅黑" w:hAnsi="微软雅黑" w:eastAsia="微软雅黑" w:cs="微软雅黑"/>
          <w:i w:val="0"/>
          <w:iCs w:val="0"/>
          <w:caps w:val="0"/>
          <w:color w:val="FF0000"/>
          <w:spacing w:val="0"/>
          <w:sz w:val="30"/>
          <w:szCs w:val="30"/>
          <w:shd w:val="clear" w:fill="FFFFFF"/>
          <w:lang w:val="en-US" w:eastAsia="zh-CN"/>
        </w:rPr>
        <w:t>和费用</w:t>
      </w:r>
      <w:r>
        <w:rPr>
          <w:rStyle w:val="7"/>
          <w:rFonts w:hint="eastAsia" w:ascii="微软雅黑" w:hAnsi="微软雅黑" w:eastAsia="微软雅黑" w:cs="微软雅黑"/>
          <w:i w:val="0"/>
          <w:iCs w:val="0"/>
          <w:caps w:val="0"/>
          <w:color w:val="FF0000"/>
          <w:spacing w:val="0"/>
          <w:sz w:val="30"/>
          <w:szCs w:val="30"/>
          <w:shd w:val="clear" w:fill="FFFFFF"/>
        </w:rPr>
        <w:t>由买受人自行办理</w:t>
      </w:r>
      <w:r>
        <w:rPr>
          <w:rStyle w:val="7"/>
          <w:rFonts w:hint="eastAsia" w:ascii="微软雅黑" w:hAnsi="微软雅黑" w:eastAsia="微软雅黑" w:cs="微软雅黑"/>
          <w:i w:val="0"/>
          <w:iCs w:val="0"/>
          <w:caps w:val="0"/>
          <w:color w:val="FF0000"/>
          <w:spacing w:val="0"/>
          <w:sz w:val="30"/>
          <w:szCs w:val="30"/>
          <w:shd w:val="clear" w:fill="FFFFFF"/>
          <w:lang w:val="en-US" w:eastAsia="zh-CN"/>
        </w:rPr>
        <w:t>和承担</w:t>
      </w:r>
      <w:r>
        <w:rPr>
          <w:rStyle w:val="7"/>
          <w:rFonts w:hint="eastAsia" w:ascii="微软雅黑" w:hAnsi="微软雅黑" w:eastAsia="微软雅黑" w:cs="微软雅黑"/>
          <w:i w:val="0"/>
          <w:iCs w:val="0"/>
          <w:caps w:val="0"/>
          <w:color w:val="FF0000"/>
          <w:spacing w:val="0"/>
          <w:sz w:val="30"/>
          <w:szCs w:val="30"/>
          <w:shd w:val="clear" w:fill="FFFFFF"/>
        </w:rPr>
        <w:t>，交易过程中产生的一切税收、其他费用及有可能存在的拖欠、补缴的税(费)和其他欠费(含管理人所承担的税费金)等均由买受人承担。如果不能过户的，买受人自行承担风险，已经支付的成交款不予返还，买受人也不能因此悔拍。</w:t>
      </w:r>
    </w:p>
    <w:p w14:paraId="14DA81B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hint="eastAsia" w:ascii="新宋体" w:hAnsi="新宋体" w:eastAsia="新宋体" w:cs="新宋体"/>
          <w:i w:val="0"/>
          <w:iCs w:val="0"/>
          <w:caps w:val="0"/>
          <w:color w:val="000000"/>
          <w:spacing w:val="0"/>
          <w:sz w:val="27"/>
          <w:szCs w:val="27"/>
        </w:rPr>
      </w:pPr>
      <w:r>
        <w:rPr>
          <w:rStyle w:val="7"/>
          <w:rFonts w:hint="eastAsia" w:ascii="微软雅黑" w:hAnsi="微软雅黑" w:eastAsia="微软雅黑" w:cs="微软雅黑"/>
          <w:i w:val="0"/>
          <w:iCs w:val="0"/>
          <w:caps w:val="0"/>
          <w:color w:val="FF0000"/>
          <w:spacing w:val="0"/>
          <w:sz w:val="30"/>
          <w:szCs w:val="30"/>
          <w:shd w:val="clear" w:fill="FFFFFF"/>
        </w:rPr>
        <w:t>     （</w:t>
      </w:r>
      <w:r>
        <w:rPr>
          <w:rStyle w:val="7"/>
          <w:rFonts w:hint="eastAsia" w:ascii="微软雅黑" w:hAnsi="微软雅黑" w:eastAsia="微软雅黑" w:cs="微软雅黑"/>
          <w:i w:val="0"/>
          <w:iCs w:val="0"/>
          <w:caps w:val="0"/>
          <w:color w:val="FF0000"/>
          <w:spacing w:val="0"/>
          <w:sz w:val="30"/>
          <w:szCs w:val="30"/>
          <w:shd w:val="clear" w:fill="FFFFFF"/>
          <w:lang w:val="en-US" w:eastAsia="zh-CN"/>
        </w:rPr>
        <w:t>10</w:t>
      </w:r>
      <w:r>
        <w:rPr>
          <w:rStyle w:val="7"/>
          <w:rFonts w:hint="eastAsia" w:ascii="微软雅黑" w:hAnsi="微软雅黑" w:eastAsia="微软雅黑" w:cs="微软雅黑"/>
          <w:i w:val="0"/>
          <w:iCs w:val="0"/>
          <w:caps w:val="0"/>
          <w:color w:val="FF0000"/>
          <w:spacing w:val="0"/>
          <w:sz w:val="30"/>
          <w:szCs w:val="30"/>
          <w:shd w:val="clear" w:fill="FFFFFF"/>
        </w:rPr>
        <w:t>）除公告披露的信息外，竞买人应对拍卖标的的实际状况以及瑕疵（含显性、隐性瑕疵）等自行调查核实、承担投资风险。竞买人应自行进入标的的相关单位、网站进行查询，了解拍卖资产的现状。凡参与竞买视为其已认可并愿意接受标的现状、权利瑕疵等，由此产生的责任均由竞买人自行承担。</w:t>
      </w:r>
    </w:p>
    <w:p w14:paraId="1DED895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both"/>
        <w:rPr>
          <w:rFonts w:ascii="微软雅黑" w:hAnsi="微软雅黑" w:eastAsia="微软雅黑" w:cs="微软雅黑"/>
          <w:b/>
          <w:bCs/>
          <w:color w:val="FF0000"/>
          <w:sz w:val="28"/>
          <w:szCs w:val="28"/>
        </w:rPr>
      </w:pPr>
      <w:r>
        <w:rPr>
          <w:rStyle w:val="7"/>
          <w:rFonts w:hint="eastAsia" w:ascii="微软雅黑" w:hAnsi="微软雅黑" w:eastAsia="微软雅黑" w:cs="微软雅黑"/>
          <w:i w:val="0"/>
          <w:iCs w:val="0"/>
          <w:caps w:val="0"/>
          <w:color w:val="FF0000"/>
          <w:spacing w:val="0"/>
          <w:sz w:val="30"/>
          <w:szCs w:val="30"/>
          <w:shd w:val="clear" w:fill="FFFFFF"/>
        </w:rPr>
        <w:t>     （</w:t>
      </w:r>
      <w:r>
        <w:rPr>
          <w:rStyle w:val="7"/>
          <w:rFonts w:hint="eastAsia" w:ascii="微软雅黑" w:hAnsi="微软雅黑" w:eastAsia="微软雅黑" w:cs="微软雅黑"/>
          <w:i w:val="0"/>
          <w:iCs w:val="0"/>
          <w:caps w:val="0"/>
          <w:color w:val="FF0000"/>
          <w:spacing w:val="0"/>
          <w:sz w:val="30"/>
          <w:szCs w:val="30"/>
          <w:shd w:val="clear" w:fill="FFFFFF"/>
          <w:lang w:val="en-US" w:eastAsia="zh-CN"/>
        </w:rPr>
        <w:t>11</w:t>
      </w:r>
      <w:r>
        <w:rPr>
          <w:rStyle w:val="7"/>
          <w:rFonts w:hint="eastAsia" w:ascii="微软雅黑" w:hAnsi="微软雅黑" w:eastAsia="微软雅黑" w:cs="微软雅黑"/>
          <w:i w:val="0"/>
          <w:iCs w:val="0"/>
          <w:caps w:val="0"/>
          <w:color w:val="FF0000"/>
          <w:spacing w:val="0"/>
          <w:sz w:val="30"/>
          <w:szCs w:val="30"/>
          <w:shd w:val="clear" w:fill="FFFFFF"/>
        </w:rPr>
        <w:t>）所载信息仅供参考，交付时若标的信息与描述时不符，以交付时以现状为准，成交价不作调整。</w:t>
      </w:r>
    </w:p>
    <w:p w14:paraId="1E25859A">
      <w:pPr>
        <w:pStyle w:val="3"/>
        <w:widowControl/>
        <w:spacing w:beforeAutospacing="0" w:afterAutospacing="0" w:line="360" w:lineRule="auto"/>
        <w:jc w:val="both"/>
        <w:rPr>
          <w:rFonts w:hint="eastAsia" w:ascii="微软雅黑" w:hAnsi="微软雅黑" w:eastAsia="微软雅黑" w:cs="微软雅黑"/>
          <w:color w:val="666666"/>
          <w:sz w:val="28"/>
          <w:szCs w:val="28"/>
        </w:rPr>
      </w:pPr>
      <w:r>
        <w:rPr>
          <w:rFonts w:hint="eastAsia" w:ascii="微软雅黑" w:hAnsi="微软雅黑" w:eastAsia="微软雅黑" w:cs="微软雅黑"/>
          <w:b/>
          <w:bCs/>
          <w:color w:val="000000"/>
          <w:sz w:val="28"/>
          <w:szCs w:val="28"/>
        </w:rPr>
        <w:t>     （三）起拍价、保证金、增价幅度</w:t>
      </w:r>
    </w:p>
    <w:p w14:paraId="78832909">
      <w:pPr>
        <w:pStyle w:val="3"/>
        <w:widowControl/>
        <w:spacing w:beforeAutospacing="0" w:afterAutospacing="0" w:line="360" w:lineRule="auto"/>
        <w:ind w:firstLine="560" w:firstLineChars="200"/>
        <w:jc w:val="both"/>
        <w:rPr>
          <w:rFonts w:hint="eastAsia" w:ascii="微软雅黑" w:hAnsi="微软雅黑" w:eastAsia="微软雅黑" w:cs="微软雅黑"/>
          <w:b/>
          <w:bCs/>
          <w:color w:val="FF0000"/>
          <w:sz w:val="28"/>
          <w:szCs w:val="28"/>
          <w:lang w:val="en-US" w:eastAsia="zh-CN"/>
        </w:rPr>
      </w:pPr>
      <w:r>
        <w:rPr>
          <w:rFonts w:hint="eastAsia" w:ascii="微软雅黑" w:hAnsi="微软雅黑" w:eastAsia="微软雅黑" w:cs="微软雅黑"/>
          <w:b/>
          <w:bCs/>
          <w:color w:val="FF0000"/>
          <w:sz w:val="28"/>
          <w:szCs w:val="28"/>
        </w:rPr>
        <w:t>起拍价：</w:t>
      </w:r>
      <w:r>
        <w:rPr>
          <w:rFonts w:hint="eastAsia" w:ascii="微软雅黑" w:hAnsi="微软雅黑" w:eastAsia="微软雅黑" w:cs="微软雅黑"/>
          <w:b/>
          <w:bCs/>
          <w:color w:val="FF0000"/>
          <w:sz w:val="28"/>
          <w:szCs w:val="28"/>
          <w:lang w:val="en-US" w:eastAsia="zh-CN"/>
        </w:rPr>
        <w:t>3900‬.00‬元</w:t>
      </w:r>
    </w:p>
    <w:p w14:paraId="2C7AE0B0">
      <w:pPr>
        <w:pStyle w:val="3"/>
        <w:widowControl/>
        <w:spacing w:beforeAutospacing="0" w:afterAutospacing="0" w:line="360" w:lineRule="auto"/>
        <w:ind w:firstLine="560" w:firstLineChars="200"/>
        <w:jc w:val="both"/>
        <w:rPr>
          <w:rFonts w:hint="eastAsia" w:ascii="微软雅黑" w:hAnsi="微软雅黑" w:eastAsia="微软雅黑" w:cs="微软雅黑"/>
          <w:color w:val="666666"/>
          <w:sz w:val="28"/>
          <w:szCs w:val="28"/>
        </w:rPr>
      </w:pPr>
      <w:r>
        <w:rPr>
          <w:rFonts w:hint="eastAsia" w:ascii="微软雅黑" w:hAnsi="微软雅黑" w:eastAsia="微软雅黑" w:cs="微软雅黑"/>
          <w:b/>
          <w:bCs/>
          <w:color w:val="FF0000"/>
          <w:sz w:val="28"/>
          <w:szCs w:val="28"/>
        </w:rPr>
        <w:t>保证金：</w:t>
      </w:r>
      <w:r>
        <w:rPr>
          <w:rFonts w:hint="eastAsia" w:ascii="微软雅黑" w:hAnsi="微软雅黑" w:eastAsia="微软雅黑" w:cs="微软雅黑"/>
          <w:b/>
          <w:bCs/>
          <w:color w:val="FF0000"/>
          <w:sz w:val="28"/>
          <w:szCs w:val="28"/>
          <w:lang w:val="en-US" w:eastAsia="zh-CN"/>
        </w:rPr>
        <w:t>390.00</w:t>
      </w:r>
      <w:r>
        <w:rPr>
          <w:rFonts w:hint="eastAsia" w:ascii="微软雅黑" w:hAnsi="微软雅黑" w:eastAsia="微软雅黑" w:cs="微软雅黑"/>
          <w:b/>
          <w:bCs/>
          <w:color w:val="FF0000"/>
          <w:sz w:val="28"/>
          <w:szCs w:val="28"/>
        </w:rPr>
        <w:t>元</w:t>
      </w:r>
    </w:p>
    <w:p w14:paraId="3B1C148B">
      <w:pPr>
        <w:pStyle w:val="3"/>
        <w:widowControl/>
        <w:spacing w:beforeAutospacing="0" w:afterAutospacing="0" w:line="360" w:lineRule="auto"/>
        <w:ind w:firstLine="560" w:firstLineChars="200"/>
        <w:jc w:val="both"/>
        <w:rPr>
          <w:rFonts w:hint="eastAsia" w:ascii="微软雅黑" w:hAnsi="微软雅黑" w:eastAsia="微软雅黑" w:cs="微软雅黑"/>
          <w:b/>
          <w:bCs/>
          <w:color w:val="FF0000"/>
          <w:sz w:val="28"/>
          <w:szCs w:val="28"/>
        </w:rPr>
      </w:pPr>
      <w:r>
        <w:rPr>
          <w:rFonts w:hint="eastAsia" w:ascii="微软雅黑" w:hAnsi="微软雅黑" w:eastAsia="微软雅黑" w:cs="微软雅黑"/>
          <w:b/>
          <w:bCs/>
          <w:color w:val="FF0000"/>
          <w:sz w:val="28"/>
          <w:szCs w:val="28"/>
        </w:rPr>
        <w:t>加价幅度：</w:t>
      </w:r>
      <w:r>
        <w:rPr>
          <w:rFonts w:hint="eastAsia" w:ascii="微软雅黑" w:hAnsi="微软雅黑" w:eastAsia="微软雅黑" w:cs="微软雅黑"/>
          <w:b/>
          <w:bCs/>
          <w:color w:val="FF0000"/>
          <w:sz w:val="28"/>
          <w:szCs w:val="28"/>
          <w:lang w:val="en-US" w:eastAsia="zh-CN"/>
        </w:rPr>
        <w:t>50.00元（</w:t>
      </w:r>
      <w:r>
        <w:rPr>
          <w:rFonts w:ascii="微软雅黑" w:hAnsi="微软雅黑" w:eastAsia="微软雅黑" w:cs="微软雅黑"/>
          <w:b/>
          <w:bCs/>
          <w:i w:val="0"/>
          <w:iCs w:val="0"/>
          <w:caps w:val="0"/>
          <w:color w:val="FF0000"/>
          <w:spacing w:val="0"/>
          <w:sz w:val="28"/>
          <w:szCs w:val="28"/>
        </w:rPr>
        <w:t>及其整倍数</w:t>
      </w:r>
      <w:r>
        <w:rPr>
          <w:rFonts w:hint="eastAsia" w:ascii="微软雅黑" w:hAnsi="微软雅黑" w:eastAsia="微软雅黑" w:cs="微软雅黑"/>
          <w:b/>
          <w:bCs/>
          <w:color w:val="FF0000"/>
          <w:sz w:val="28"/>
          <w:szCs w:val="28"/>
          <w:lang w:val="en-US" w:eastAsia="zh-CN"/>
        </w:rPr>
        <w:t>）</w:t>
      </w:r>
    </w:p>
    <w:p w14:paraId="58F662B2">
      <w:pPr>
        <w:pStyle w:val="3"/>
        <w:widowControl/>
        <w:spacing w:beforeAutospacing="0" w:afterAutospacing="0" w:line="360" w:lineRule="auto"/>
        <w:ind w:firstLine="560" w:firstLineChars="200"/>
        <w:jc w:val="both"/>
      </w:pPr>
      <w:r>
        <w:rPr>
          <w:rFonts w:hint="eastAsia" w:ascii="微软雅黑" w:hAnsi="微软雅黑" w:eastAsia="微软雅黑" w:cs="微软雅黑"/>
          <w:b/>
          <w:bCs/>
          <w:color w:val="000000"/>
          <w:sz w:val="28"/>
          <w:szCs w:val="28"/>
        </w:rPr>
        <w:t>注意：标的所载信息仅供参考，交付时若标的信息与描述时不符，以交付时标的现状为准，成交价不作调整。</w:t>
      </w:r>
    </w:p>
    <w:p w14:paraId="10CD78E0"/>
    <w:p w14:paraId="3B699EC7">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三、咨询看样</w:t>
      </w:r>
    </w:p>
    <w:p w14:paraId="40A4748D">
      <w:pPr>
        <w:pStyle w:val="3"/>
        <w:widowControl/>
        <w:spacing w:beforeAutospacing="0" w:afterAutospacing="0" w:line="360" w:lineRule="auto"/>
        <w:jc w:val="both"/>
        <w:rPr>
          <w:rFonts w:hint="default" w:ascii="微软雅黑" w:hAnsi="微软雅黑" w:eastAsia="微软雅黑" w:cs="微软雅黑"/>
          <w:color w:val="000000"/>
          <w:sz w:val="28"/>
          <w:szCs w:val="28"/>
          <w:lang w:val="en-US"/>
        </w:rPr>
      </w:pPr>
      <w:r>
        <w:rPr>
          <w:rFonts w:hint="eastAsia" w:ascii="微软雅黑" w:hAnsi="微软雅黑" w:eastAsia="微软雅黑" w:cs="微软雅黑"/>
          <w:color w:val="000000"/>
          <w:sz w:val="28"/>
          <w:szCs w:val="28"/>
        </w:rPr>
        <w:t>     （一）自公告之日起至2025年</w:t>
      </w:r>
      <w:r>
        <w:rPr>
          <w:rFonts w:hint="eastAsia" w:ascii="微软雅黑" w:hAnsi="微软雅黑" w:eastAsia="微软雅黑" w:cs="微软雅黑"/>
          <w:color w:val="000000"/>
          <w:sz w:val="28"/>
          <w:szCs w:val="28"/>
          <w:lang w:val="en-US" w:eastAsia="zh-CN"/>
        </w:rPr>
        <w:t>08</w:t>
      </w:r>
      <w:r>
        <w:rPr>
          <w:rFonts w:hint="eastAsia" w:ascii="微软雅黑" w:hAnsi="微软雅黑" w:eastAsia="微软雅黑" w:cs="微软雅黑"/>
          <w:color w:val="000000"/>
          <w:sz w:val="28"/>
          <w:szCs w:val="28"/>
        </w:rPr>
        <w:t>月</w:t>
      </w:r>
      <w:r>
        <w:rPr>
          <w:rFonts w:hint="eastAsia" w:ascii="微软雅黑" w:hAnsi="微软雅黑" w:eastAsia="微软雅黑" w:cs="微软雅黑"/>
          <w:color w:val="000000"/>
          <w:sz w:val="28"/>
          <w:szCs w:val="28"/>
          <w:lang w:val="en-US" w:eastAsia="zh-CN"/>
        </w:rPr>
        <w:t>20</w:t>
      </w:r>
      <w:r>
        <w:rPr>
          <w:rFonts w:hint="eastAsia" w:ascii="微软雅黑" w:hAnsi="微软雅黑" w:eastAsia="微软雅黑" w:cs="微软雅黑"/>
          <w:color w:val="000000"/>
          <w:sz w:val="28"/>
          <w:szCs w:val="28"/>
        </w:rPr>
        <w:t>日18时止（节假日除外）接受咨询，联系人：</w:t>
      </w:r>
      <w:r>
        <w:rPr>
          <w:rFonts w:hint="eastAsia" w:ascii="微软雅黑" w:hAnsi="微软雅黑" w:eastAsia="微软雅黑" w:cs="微软雅黑"/>
          <w:color w:val="000000"/>
          <w:sz w:val="28"/>
          <w:szCs w:val="28"/>
          <w:lang w:val="en-US" w:eastAsia="zh-CN"/>
        </w:rPr>
        <w:t>谢老师13667611656，袁老师18323501587.</w:t>
      </w:r>
    </w:p>
    <w:p w14:paraId="43A3B78E">
      <w:pPr>
        <w:pStyle w:val="3"/>
        <w:widowControl/>
        <w:spacing w:beforeAutospacing="0" w:afterAutospacing="0" w:line="360" w:lineRule="auto"/>
        <w:jc w:val="both"/>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（二）因拍卖标的为无形资产，无实物可供竞买人看样，亦不组织实地踏勘。请竞买人自行调查该标的</w:t>
      </w:r>
      <w:r>
        <w:rPr>
          <w:rFonts w:hint="eastAsia" w:ascii="微软雅黑" w:hAnsi="微软雅黑" w:eastAsia="微软雅黑" w:cs="微软雅黑"/>
          <w:color w:val="000000"/>
          <w:sz w:val="28"/>
          <w:szCs w:val="28"/>
          <w:lang w:val="en-US" w:eastAsia="zh-CN"/>
        </w:rPr>
        <w:t>的</w:t>
      </w:r>
      <w:r>
        <w:rPr>
          <w:rFonts w:hint="eastAsia" w:ascii="微软雅黑" w:hAnsi="微软雅黑" w:eastAsia="微软雅黑" w:cs="微软雅黑"/>
          <w:color w:val="000000"/>
          <w:sz w:val="28"/>
          <w:szCs w:val="28"/>
        </w:rPr>
        <w:t>价值与瑕疵并请自行向相关部门和网站进行咨询及查询，必要时可委托尽职调查或鉴定。竞买人一旦缴纳保证金参与竞价，无论是否咨询或进行调查，均视为对标的全部情况（包含已知和未知瑕疵）已完全了解，并接受标的现状和一切已知及未知的瑕疵，竞买人应当自行承担可能存在的一切责任、风险和费用。</w:t>
      </w:r>
    </w:p>
    <w:p w14:paraId="62B64D31"/>
    <w:p w14:paraId="1B8F51A1">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四、竞买人条件</w:t>
      </w:r>
    </w:p>
    <w:p w14:paraId="472C5BB1">
      <w:pPr>
        <w:pStyle w:val="3"/>
        <w:widowControl/>
        <w:spacing w:beforeAutospacing="0" w:afterAutospacing="0" w:line="360" w:lineRule="auto"/>
        <w:jc w:val="both"/>
        <w:rPr>
          <w:rFonts w:hint="eastAsia" w:ascii="微软雅黑" w:hAnsi="微软雅黑" w:eastAsia="微软雅黑" w:cs="微软雅黑"/>
          <w:color w:val="666666"/>
          <w:sz w:val="28"/>
          <w:szCs w:val="28"/>
        </w:rPr>
      </w:pPr>
      <w:r>
        <w:rPr>
          <w:rFonts w:hint="eastAsia" w:ascii="微软雅黑" w:hAnsi="微软雅黑" w:eastAsia="微软雅黑" w:cs="微软雅黑"/>
          <w:color w:val="000000"/>
          <w:sz w:val="28"/>
          <w:szCs w:val="28"/>
        </w:rPr>
        <w:t>     （一）凡具备完全民事行为能力的公民、法人和其他组织均可参加竞买，若不具有完全民事行为能力，其委托人或代理人必须具备完全民事行为能力；法律、行政法规、司法解释对买受人资格或者条件有特殊规定的（比如限购等），竞买人应当具备规定的资格或者条件。因不符合条件参加竞买的，由竞买人自行承担相应的法律责任。</w:t>
      </w:r>
    </w:p>
    <w:p w14:paraId="54B4CDE3">
      <w:pPr>
        <w:pStyle w:val="3"/>
        <w:widowControl/>
        <w:spacing w:beforeAutospacing="0" w:afterAutospacing="0" w:line="360" w:lineRule="auto"/>
        <w:jc w:val="both"/>
        <w:rPr>
          <w:rFonts w:hint="eastAsia" w:ascii="微软雅黑" w:hAnsi="微软雅黑" w:eastAsia="微软雅黑" w:cs="微软雅黑"/>
          <w:color w:val="666666"/>
          <w:sz w:val="28"/>
          <w:szCs w:val="28"/>
        </w:rPr>
      </w:pPr>
      <w:r>
        <w:rPr>
          <w:rFonts w:hint="eastAsia" w:ascii="微软雅黑" w:hAnsi="微软雅黑" w:eastAsia="微软雅黑" w:cs="微软雅黑"/>
          <w:color w:val="000000"/>
          <w:sz w:val="28"/>
          <w:szCs w:val="28"/>
        </w:rPr>
        <w:t>     （二）合格的竞买人应当遵守本次拍卖《竞买公告》《竞买须知》及淘宝网相关规定，不得阻挠其他竞买人竞价，不得操纵、垄断竞拍价格，严禁竞买人恶意串标，竞买人不得串通他人竞标而实现批量受让的目的。竞买人有上述行为的，法院、</w:t>
      </w:r>
      <w:r>
        <w:rPr>
          <w:rFonts w:hint="eastAsia" w:ascii="微软雅黑" w:hAnsi="微软雅黑" w:eastAsia="微软雅黑" w:cs="微软雅黑"/>
          <w:color w:val="000000"/>
          <w:sz w:val="28"/>
          <w:szCs w:val="28"/>
          <w:lang w:eastAsia="zh-CN"/>
        </w:rPr>
        <w:t>管理人</w:t>
      </w:r>
      <w:r>
        <w:rPr>
          <w:rFonts w:hint="eastAsia" w:ascii="微软雅黑" w:hAnsi="微软雅黑" w:eastAsia="微软雅黑" w:cs="微软雅黑"/>
          <w:color w:val="000000"/>
          <w:sz w:val="28"/>
          <w:szCs w:val="28"/>
        </w:rPr>
        <w:t>、拍卖机构及拍卖平台均有权经通知后取消其竞买资格，并依法追究其相关法律责任。</w:t>
      </w:r>
    </w:p>
    <w:p w14:paraId="277D75F3">
      <w:pPr>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（三）竞买人可委托他人（具备完全民事行为能力的自然人）代为竞买，但需在</w:t>
      </w:r>
      <w:r>
        <w:rPr>
          <w:rFonts w:ascii="微软雅黑" w:hAnsi="微软雅黑" w:eastAsia="微软雅黑" w:cs="微软雅黑"/>
          <w:b/>
          <w:bCs/>
          <w:color w:val="000000"/>
          <w:sz w:val="28"/>
          <w:szCs w:val="28"/>
        </w:rPr>
        <w:t>竞价程序开始前3日</w:t>
      </w:r>
      <w:r>
        <w:rPr>
          <w:rFonts w:hint="eastAsia" w:ascii="微软雅黑" w:hAnsi="微软雅黑" w:eastAsia="微软雅黑" w:cs="微软雅黑"/>
          <w:b/>
          <w:bCs/>
          <w:color w:val="000000"/>
          <w:sz w:val="28"/>
          <w:szCs w:val="28"/>
        </w:rPr>
        <w:t>（节假日除外）</w:t>
      </w:r>
      <w:r>
        <w:rPr>
          <w:rFonts w:hint="eastAsia" w:ascii="微软雅黑" w:hAnsi="微软雅黑" w:eastAsia="微软雅黑" w:cs="微软雅黑"/>
          <w:color w:val="000000"/>
          <w:sz w:val="28"/>
          <w:szCs w:val="28"/>
        </w:rPr>
        <w:t>向</w:t>
      </w:r>
      <w:r>
        <w:rPr>
          <w:rFonts w:hint="eastAsia" w:ascii="微软雅黑" w:hAnsi="微软雅黑" w:eastAsia="微软雅黑" w:cs="微软雅黑"/>
          <w:color w:val="000000"/>
          <w:sz w:val="28"/>
          <w:szCs w:val="28"/>
          <w:lang w:eastAsia="zh-CN"/>
        </w:rPr>
        <w:t>管理人</w:t>
      </w:r>
      <w:r>
        <w:rPr>
          <w:rFonts w:hint="eastAsia" w:ascii="微软雅黑" w:hAnsi="微软雅黑" w:eastAsia="微软雅黑" w:cs="微软雅黑"/>
          <w:color w:val="000000"/>
          <w:sz w:val="28"/>
          <w:szCs w:val="28"/>
        </w:rPr>
        <w:t xml:space="preserve">办理委托手续，并以委托代理人的个人账户代为竞买。竞买成功后，买受人与委托代理人需携带相关证明材料原件到场办理交接手续。若委托手续不全，本次竞买活动视为委托代理人的个人行为，相应的法律后果由委托代理人承担；委托人有过错的，应依法承担相应的法律责任。 </w:t>
      </w:r>
    </w:p>
    <w:p w14:paraId="31DF374C">
      <w:pPr>
        <w:ind w:firstLine="560" w:firstLineChars="200"/>
        <w:rPr>
          <w:rFonts w:hint="eastAsia" w:ascii="微软雅黑" w:hAnsi="微软雅黑" w:eastAsia="微软雅黑" w:cs="微软雅黑"/>
          <w:color w:val="666666"/>
          <w:sz w:val="28"/>
          <w:szCs w:val="28"/>
        </w:rPr>
      </w:pPr>
      <w:r>
        <w:rPr>
          <w:rFonts w:hint="eastAsia" w:ascii="微软雅黑" w:hAnsi="微软雅黑" w:eastAsia="微软雅黑" w:cs="微软雅黑"/>
          <w:color w:val="000000"/>
          <w:sz w:val="28"/>
          <w:szCs w:val="28"/>
        </w:rPr>
        <w:t>（四）竞买人需办理多人联合竞买的，应当在竞价程序开始前经</w:t>
      </w:r>
      <w:r>
        <w:rPr>
          <w:rFonts w:hint="eastAsia" w:ascii="微软雅黑" w:hAnsi="微软雅黑" w:eastAsia="微软雅黑" w:cs="微软雅黑"/>
          <w:color w:val="000000"/>
          <w:sz w:val="28"/>
          <w:szCs w:val="28"/>
          <w:lang w:eastAsia="zh-CN"/>
        </w:rPr>
        <w:t>管理人</w:t>
      </w:r>
      <w:r>
        <w:rPr>
          <w:rFonts w:hint="eastAsia" w:ascii="微软雅黑" w:hAnsi="微软雅黑" w:eastAsia="微软雅黑" w:cs="微软雅黑"/>
          <w:color w:val="000000"/>
          <w:sz w:val="28"/>
          <w:szCs w:val="28"/>
        </w:rPr>
        <w:t>确认后才能参与竞买。</w:t>
      </w:r>
    </w:p>
    <w:p w14:paraId="0176E9B1">
      <w:pPr>
        <w:pStyle w:val="3"/>
        <w:widowControl/>
        <w:spacing w:beforeAutospacing="0" w:afterAutospacing="0" w:line="360" w:lineRule="auto"/>
        <w:ind w:firstLine="560" w:firstLineChars="200"/>
        <w:jc w:val="both"/>
        <w:rPr>
          <w:rFonts w:hint="eastAsia" w:ascii="微软雅黑" w:hAnsi="微软雅黑" w:eastAsia="微软雅黑" w:cs="微软雅黑"/>
          <w:color w:val="666666"/>
          <w:sz w:val="28"/>
          <w:szCs w:val="28"/>
        </w:rPr>
      </w:pPr>
      <w:r>
        <w:rPr>
          <w:rFonts w:hint="eastAsia" w:ascii="微软雅黑" w:hAnsi="微软雅黑" w:eastAsia="微软雅黑" w:cs="微软雅黑"/>
          <w:color w:val="000000"/>
          <w:sz w:val="28"/>
          <w:szCs w:val="28"/>
        </w:rPr>
        <w:t>（五）下列机构和人员不得竞买并不得委托他人代为竞买与其行为相关的拍卖财产：</w:t>
      </w:r>
    </w:p>
    <w:p w14:paraId="6F2F64D7">
      <w:pPr>
        <w:pStyle w:val="3"/>
        <w:widowControl/>
        <w:spacing w:beforeAutospacing="0" w:afterAutospacing="0" w:line="360" w:lineRule="auto"/>
        <w:ind w:firstLine="560" w:firstLineChars="200"/>
        <w:jc w:val="both"/>
        <w:rPr>
          <w:rFonts w:hint="eastAsia" w:ascii="微软雅黑" w:hAnsi="微软雅黑" w:eastAsia="微软雅黑" w:cs="微软雅黑"/>
          <w:color w:val="666666"/>
          <w:sz w:val="28"/>
          <w:szCs w:val="28"/>
        </w:rPr>
      </w:pPr>
      <w:r>
        <w:rPr>
          <w:rFonts w:hint="eastAsia" w:ascii="微软雅黑" w:hAnsi="微软雅黑" w:eastAsia="微软雅黑" w:cs="微软雅黑"/>
          <w:color w:val="000000"/>
          <w:sz w:val="28"/>
          <w:szCs w:val="28"/>
        </w:rPr>
        <w:t>1.负责执行的人民法院。</w:t>
      </w:r>
    </w:p>
    <w:p w14:paraId="680AE2E1">
      <w:pPr>
        <w:pStyle w:val="3"/>
        <w:widowControl/>
        <w:spacing w:beforeAutospacing="0" w:afterAutospacing="0" w:line="360" w:lineRule="auto"/>
        <w:ind w:firstLine="560" w:firstLineChars="200"/>
        <w:jc w:val="both"/>
        <w:rPr>
          <w:rFonts w:hint="eastAsia" w:ascii="微软雅黑" w:hAnsi="微软雅黑" w:eastAsia="微软雅黑" w:cs="微软雅黑"/>
          <w:color w:val="666666"/>
          <w:sz w:val="28"/>
          <w:szCs w:val="28"/>
        </w:rPr>
      </w:pPr>
      <w:r>
        <w:rPr>
          <w:rFonts w:hint="eastAsia" w:ascii="微软雅黑" w:hAnsi="微软雅黑" w:eastAsia="微软雅黑" w:cs="微软雅黑"/>
          <w:color w:val="000000"/>
          <w:sz w:val="28"/>
          <w:szCs w:val="28"/>
        </w:rPr>
        <w:t>2.网络服务提供者。</w:t>
      </w:r>
    </w:p>
    <w:p w14:paraId="48678EEC">
      <w:pPr>
        <w:pStyle w:val="3"/>
        <w:widowControl/>
        <w:spacing w:beforeAutospacing="0" w:afterAutospacing="0" w:line="360" w:lineRule="auto"/>
        <w:ind w:firstLine="560" w:firstLineChars="200"/>
        <w:jc w:val="both"/>
        <w:rPr>
          <w:rFonts w:hint="eastAsia" w:ascii="微软雅黑" w:hAnsi="微软雅黑" w:eastAsia="微软雅黑" w:cs="微软雅黑"/>
          <w:color w:val="666666"/>
          <w:sz w:val="28"/>
          <w:szCs w:val="28"/>
        </w:rPr>
      </w:pPr>
      <w:r>
        <w:rPr>
          <w:rFonts w:hint="eastAsia" w:ascii="微软雅黑" w:hAnsi="微软雅黑" w:eastAsia="微软雅黑" w:cs="微软雅黑"/>
          <w:color w:val="000000"/>
          <w:sz w:val="28"/>
          <w:szCs w:val="28"/>
        </w:rPr>
        <w:t>3.承担本次拍卖辅助工作的社会机构或者组织。</w:t>
      </w:r>
    </w:p>
    <w:p w14:paraId="6240619F">
      <w:pPr>
        <w:pStyle w:val="3"/>
        <w:widowControl/>
        <w:spacing w:beforeAutospacing="0" w:afterAutospacing="0" w:line="360" w:lineRule="auto"/>
        <w:ind w:firstLine="560" w:firstLineChars="200"/>
        <w:jc w:val="both"/>
        <w:rPr>
          <w:rFonts w:hint="eastAsia" w:ascii="微软雅黑" w:hAnsi="微软雅黑" w:eastAsia="微软雅黑" w:cs="微软雅黑"/>
          <w:color w:val="666666"/>
          <w:sz w:val="28"/>
          <w:szCs w:val="28"/>
        </w:rPr>
      </w:pPr>
      <w:r>
        <w:rPr>
          <w:rFonts w:hint="eastAsia" w:ascii="微软雅黑" w:hAnsi="微软雅黑" w:eastAsia="微软雅黑" w:cs="微软雅黑"/>
          <w:color w:val="000000"/>
          <w:sz w:val="28"/>
          <w:szCs w:val="28"/>
        </w:rPr>
        <w:t>4.第1至3项规定主体的工作人员及其近亲属。</w:t>
      </w:r>
    </w:p>
    <w:p w14:paraId="38BCF67C">
      <w:pPr>
        <w:pStyle w:val="3"/>
        <w:widowControl/>
        <w:spacing w:beforeAutospacing="0" w:afterAutospacing="0" w:line="360" w:lineRule="auto"/>
        <w:ind w:firstLine="560" w:firstLineChars="200"/>
        <w:jc w:val="both"/>
        <w:rPr>
          <w:rFonts w:hint="eastAsia" w:ascii="微软雅黑" w:hAnsi="微软雅黑" w:eastAsia="微软雅黑" w:cs="微软雅黑"/>
          <w:color w:val="666666"/>
          <w:sz w:val="28"/>
          <w:szCs w:val="28"/>
        </w:rPr>
      </w:pPr>
      <w:r>
        <w:rPr>
          <w:rFonts w:hint="eastAsia" w:ascii="微软雅黑" w:hAnsi="微软雅黑" w:eastAsia="微软雅黑" w:cs="微软雅黑"/>
          <w:color w:val="000000"/>
          <w:sz w:val="28"/>
          <w:szCs w:val="28"/>
        </w:rPr>
        <w:t>（六）因不符合条件参加竞买并成为买受人的，将承担其相应的法律责任并罚没全额保证金，</w:t>
      </w:r>
      <w:r>
        <w:rPr>
          <w:rFonts w:hint="eastAsia" w:ascii="微软雅黑" w:hAnsi="微软雅黑" w:eastAsia="微软雅黑" w:cs="微软雅黑"/>
          <w:color w:val="000000"/>
          <w:sz w:val="28"/>
          <w:szCs w:val="28"/>
          <w:lang w:eastAsia="zh-CN"/>
        </w:rPr>
        <w:t>管理人</w:t>
      </w:r>
      <w:r>
        <w:rPr>
          <w:rFonts w:hint="eastAsia" w:ascii="微软雅黑" w:hAnsi="微软雅黑" w:eastAsia="微软雅黑" w:cs="微软雅黑"/>
          <w:color w:val="000000"/>
          <w:sz w:val="28"/>
          <w:szCs w:val="28"/>
        </w:rPr>
        <w:t>可重新拍卖本标的。</w:t>
      </w:r>
    </w:p>
    <w:p w14:paraId="2688AA76"/>
    <w:p w14:paraId="2BB443C3">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五、竞价方式</w:t>
      </w:r>
    </w:p>
    <w:p w14:paraId="34FBEB79">
      <w:pPr>
        <w:pStyle w:val="3"/>
        <w:widowControl/>
        <w:spacing w:beforeAutospacing="0" w:afterAutospacing="0" w:line="360" w:lineRule="auto"/>
        <w:ind w:firstLine="560" w:firstLineChars="200"/>
        <w:jc w:val="both"/>
        <w:rPr>
          <w:rFonts w:hint="eastAsia" w:ascii="微软雅黑" w:hAnsi="微软雅黑" w:eastAsia="微软雅黑" w:cs="微软雅黑"/>
          <w:color w:val="666666"/>
          <w:sz w:val="28"/>
          <w:szCs w:val="28"/>
        </w:rPr>
      </w:pPr>
      <w:r>
        <w:rPr>
          <w:rFonts w:hint="eastAsia" w:ascii="微软雅黑" w:hAnsi="微软雅黑" w:eastAsia="微软雅黑" w:cs="微软雅黑"/>
          <w:color w:val="000000"/>
          <w:sz w:val="28"/>
          <w:szCs w:val="28"/>
        </w:rPr>
        <w:t>（一）本次拍卖采取有保留价的增价竞价方式，保留价即为起拍价，至少一人报名且出价不低于起拍价，方可成交（注：一人或一人以上报名，竞价结束时出价最高的竞价人竞买成功）。无人报名或出价的，竞价会流拍。拍卖成交后买受人悔拍的，交纳的保证金不予退还。</w:t>
      </w:r>
    </w:p>
    <w:p w14:paraId="42BF5F65">
      <w:pPr>
        <w:pStyle w:val="3"/>
        <w:widowControl/>
        <w:spacing w:beforeAutospacing="0" w:afterAutospacing="0" w:line="360" w:lineRule="auto"/>
        <w:jc w:val="both"/>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（二）本次竞价活动设置延时出价功能，在竞价活动结束前，每最后5分钟如果有竞买人出价，将自动延迟5分钟。</w:t>
      </w:r>
    </w:p>
    <w:p w14:paraId="598383D5"/>
    <w:p w14:paraId="2009DEB7">
      <w:pPr>
        <w:pStyle w:val="3"/>
        <w:widowControl/>
        <w:spacing w:beforeAutospacing="0" w:afterAutospacing="0" w:line="360" w:lineRule="auto"/>
        <w:ind w:firstLine="560" w:firstLineChars="200"/>
        <w:rPr>
          <w:rFonts w:hint="eastAsia" w:ascii="微软雅黑" w:hAnsi="微软雅黑" w:eastAsia="微软雅黑" w:cs="微软雅黑"/>
          <w:b/>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六、优先购买权人</w:t>
      </w:r>
    </w:p>
    <w:p w14:paraId="54E10184">
      <w:pPr>
        <w:pStyle w:val="3"/>
        <w:widowControl/>
        <w:spacing w:beforeAutospacing="0" w:afterAutospacing="0" w:line="360" w:lineRule="auto"/>
        <w:ind w:firstLine="560" w:firstLineChars="200"/>
        <w:rPr>
          <w:rFonts w:hint="eastAsia" w:ascii="微软雅黑" w:hAnsi="微软雅黑" w:eastAsia="微软雅黑" w:cs="微软雅黑"/>
          <w:color w:val="000000"/>
          <w:sz w:val="28"/>
          <w:szCs w:val="28"/>
          <w:lang w:bidi="ar"/>
        </w:rPr>
      </w:pPr>
      <w:r>
        <w:rPr>
          <w:rFonts w:hint="eastAsia" w:ascii="微软雅黑" w:hAnsi="微软雅黑" w:eastAsia="微软雅黑" w:cs="微软雅黑"/>
          <w:color w:val="000000"/>
          <w:sz w:val="28"/>
          <w:szCs w:val="28"/>
          <w:lang w:bidi="ar"/>
        </w:rPr>
        <w:t>（一）本次拍卖标的优先购买权人相关说明：暂无优先购买权人。</w:t>
      </w:r>
    </w:p>
    <w:p w14:paraId="3431DC82">
      <w:pPr>
        <w:ind w:firstLine="560" w:firstLineChars="200"/>
        <w:rPr>
          <w:rFonts w:hint="eastAsia" w:ascii="微软雅黑" w:hAnsi="微软雅黑" w:eastAsia="微软雅黑" w:cs="微软雅黑"/>
          <w:color w:val="000000"/>
          <w:kern w:val="0"/>
          <w:sz w:val="28"/>
          <w:szCs w:val="28"/>
          <w:lang w:bidi="ar"/>
        </w:rPr>
      </w:pPr>
      <w:r>
        <w:rPr>
          <w:rFonts w:hint="eastAsia" w:ascii="微软雅黑" w:hAnsi="微软雅黑" w:eastAsia="微软雅黑" w:cs="微软雅黑"/>
          <w:color w:val="000000"/>
          <w:kern w:val="0"/>
          <w:sz w:val="28"/>
          <w:szCs w:val="28"/>
          <w:lang w:bidi="ar"/>
        </w:rPr>
        <w:t>（二）优先购买权人参加竞买的，应于</w:t>
      </w:r>
      <w:r>
        <w:rPr>
          <w:rFonts w:hint="eastAsia" w:ascii="微软雅黑" w:hAnsi="微软雅黑" w:eastAsia="微软雅黑" w:cs="微软雅黑"/>
          <w:b/>
          <w:bCs/>
          <w:color w:val="000000"/>
          <w:kern w:val="0"/>
          <w:sz w:val="28"/>
          <w:szCs w:val="28"/>
          <w:lang w:bidi="ar"/>
        </w:rPr>
        <w:t>竞价程序开始前3日（节假日除外）</w:t>
      </w:r>
      <w:r>
        <w:rPr>
          <w:rFonts w:hint="eastAsia" w:ascii="微软雅黑" w:hAnsi="微软雅黑" w:eastAsia="微软雅黑" w:cs="微软雅黑"/>
          <w:color w:val="000000"/>
          <w:kern w:val="0"/>
          <w:sz w:val="28"/>
          <w:szCs w:val="28"/>
          <w:lang w:bidi="ar"/>
        </w:rPr>
        <w:t>向</w:t>
      </w:r>
      <w:r>
        <w:rPr>
          <w:rFonts w:hint="eastAsia" w:ascii="微软雅黑" w:hAnsi="微软雅黑" w:eastAsia="微软雅黑" w:cs="微软雅黑"/>
          <w:color w:val="000000"/>
          <w:kern w:val="0"/>
          <w:sz w:val="28"/>
          <w:szCs w:val="28"/>
          <w:lang w:eastAsia="zh-CN" w:bidi="ar"/>
        </w:rPr>
        <w:t>管理人</w:t>
      </w:r>
      <w:r>
        <w:rPr>
          <w:rFonts w:hint="eastAsia" w:ascii="微软雅黑" w:hAnsi="微软雅黑" w:eastAsia="微软雅黑" w:cs="微软雅黑"/>
          <w:color w:val="000000"/>
          <w:kern w:val="0"/>
          <w:sz w:val="28"/>
          <w:szCs w:val="28"/>
          <w:lang w:bidi="ar"/>
        </w:rPr>
        <w:t>提交合法有效的证明，资格经</w:t>
      </w:r>
      <w:r>
        <w:rPr>
          <w:rFonts w:hint="eastAsia" w:ascii="微软雅黑" w:hAnsi="微软雅黑" w:eastAsia="微软雅黑" w:cs="微软雅黑"/>
          <w:color w:val="000000"/>
          <w:kern w:val="0"/>
          <w:sz w:val="28"/>
          <w:szCs w:val="28"/>
          <w:lang w:eastAsia="zh-CN" w:bidi="ar"/>
        </w:rPr>
        <w:t>管理人</w:t>
      </w:r>
      <w:r>
        <w:rPr>
          <w:rFonts w:hint="eastAsia" w:ascii="微软雅黑" w:hAnsi="微软雅黑" w:eastAsia="微软雅黑" w:cs="微软雅黑"/>
          <w:color w:val="000000"/>
          <w:kern w:val="0"/>
          <w:sz w:val="28"/>
          <w:szCs w:val="28"/>
          <w:lang w:bidi="ar"/>
        </w:rPr>
        <w:t>确认后才能参与竞买；若逾期未提交，视为放弃本次拍卖标的优先购买权。</w:t>
      </w:r>
    </w:p>
    <w:p w14:paraId="34321AF3">
      <w:pPr>
        <w:ind w:firstLine="560" w:firstLineChars="200"/>
        <w:rPr>
          <w:rFonts w:hint="eastAsia" w:ascii="微软雅黑" w:hAnsi="微软雅黑" w:eastAsia="微软雅黑" w:cs="微软雅黑"/>
          <w:color w:val="000000"/>
          <w:kern w:val="0"/>
          <w:sz w:val="28"/>
          <w:szCs w:val="28"/>
          <w:lang w:bidi="ar"/>
        </w:rPr>
      </w:pPr>
      <w:r>
        <w:rPr>
          <w:rFonts w:hint="eastAsia" w:ascii="微软雅黑" w:hAnsi="微软雅黑" w:eastAsia="微软雅黑" w:cs="微软雅黑"/>
          <w:color w:val="000000"/>
          <w:kern w:val="0"/>
          <w:sz w:val="28"/>
          <w:szCs w:val="28"/>
          <w:lang w:bidi="ar"/>
        </w:rPr>
        <w:t>（三）优先购买权人参与竞买的，可以与其他竞买人以相同的价格出价，没有更高出价的，拍卖财产由优先购买权人竞得。</w:t>
      </w:r>
    </w:p>
    <w:p w14:paraId="27C787EB">
      <w:pPr>
        <w:ind w:firstLine="560" w:firstLineChars="200"/>
        <w:rPr>
          <w:rFonts w:hint="eastAsia" w:ascii="微软雅黑" w:hAnsi="微软雅黑" w:eastAsia="微软雅黑" w:cs="微软雅黑"/>
          <w:color w:val="000000"/>
          <w:kern w:val="0"/>
          <w:sz w:val="28"/>
          <w:szCs w:val="28"/>
          <w:lang w:bidi="ar"/>
        </w:rPr>
      </w:pPr>
      <w:r>
        <w:rPr>
          <w:rFonts w:hint="eastAsia" w:ascii="微软雅黑" w:hAnsi="微软雅黑" w:eastAsia="微软雅黑" w:cs="微软雅黑"/>
          <w:color w:val="000000"/>
          <w:kern w:val="0"/>
          <w:sz w:val="28"/>
          <w:szCs w:val="28"/>
          <w:lang w:bidi="ar"/>
        </w:rPr>
        <w:t>（四）顺序不同的优先购买权人申请参与竞买的，</w:t>
      </w:r>
      <w:r>
        <w:rPr>
          <w:rFonts w:hint="eastAsia" w:ascii="微软雅黑" w:hAnsi="微软雅黑" w:eastAsia="微软雅黑" w:cs="微软雅黑"/>
          <w:color w:val="000000"/>
          <w:kern w:val="0"/>
          <w:sz w:val="28"/>
          <w:szCs w:val="28"/>
          <w:lang w:eastAsia="zh-CN" w:bidi="ar"/>
        </w:rPr>
        <w:t>管理人</w:t>
      </w:r>
      <w:r>
        <w:rPr>
          <w:rFonts w:hint="eastAsia" w:ascii="微软雅黑" w:hAnsi="微软雅黑" w:eastAsia="微软雅黑" w:cs="微软雅黑"/>
          <w:color w:val="000000"/>
          <w:kern w:val="0"/>
          <w:sz w:val="28"/>
          <w:szCs w:val="28"/>
          <w:lang w:bidi="ar"/>
        </w:rPr>
        <w:t>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2C7A7451"/>
    <w:p w14:paraId="50B351F5">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七、标的税费</w:t>
      </w: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及其他费用的</w:t>
      </w:r>
      <w:r>
        <w:rPr>
          <w:rFonts w:hint="eastAsia" w:ascii="微软雅黑" w:hAnsi="微软雅黑" w:eastAsia="微软雅黑" w:cs="微软雅黑"/>
          <w:b/>
          <w:bCs/>
          <w:color w:val="000000" w:themeColor="text1"/>
          <w:sz w:val="28"/>
          <w:szCs w:val="28"/>
          <w14:textFill>
            <w14:solidFill>
              <w14:schemeClr w14:val="tx1"/>
            </w14:solidFill>
          </w14:textFill>
        </w:rPr>
        <w:t>承担</w:t>
      </w:r>
    </w:p>
    <w:p w14:paraId="05F08AF6">
      <w:pPr>
        <w:pStyle w:val="3"/>
        <w:widowControl/>
        <w:spacing w:beforeAutospacing="0" w:afterAutospacing="0" w:line="360" w:lineRule="auto"/>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（一）税费：</w:t>
      </w:r>
    </w:p>
    <w:p w14:paraId="68790BE1">
      <w:pPr>
        <w:pStyle w:val="3"/>
        <w:widowControl/>
        <w:spacing w:beforeAutospacing="0" w:afterAutospacing="0" w:line="360" w:lineRule="auto"/>
        <w:ind w:firstLine="560" w:firstLineChars="200"/>
        <w:rPr>
          <w:rFonts w:hint="eastAsia" w:ascii="微软雅黑" w:hAnsi="微软雅黑" w:eastAsia="微软雅黑" w:cs="微软雅黑"/>
          <w:b w:val="0"/>
          <w:bCs w:val="0"/>
          <w:color w:val="auto"/>
          <w:sz w:val="28"/>
          <w:szCs w:val="28"/>
        </w:rPr>
      </w:pPr>
      <w:r>
        <w:rPr>
          <w:rFonts w:hint="eastAsia" w:ascii="微软雅黑" w:hAnsi="微软雅黑" w:eastAsia="微软雅黑" w:cs="微软雅黑"/>
          <w:b w:val="0"/>
          <w:bCs w:val="0"/>
          <w:color w:val="auto"/>
          <w:sz w:val="28"/>
          <w:szCs w:val="28"/>
        </w:rPr>
        <w:t>拍卖交易过程中产生的由买卖双方承担的全部税、费，均由买受人承担。买受人在竞买前应向所涉税务部门确认成交后应缴纳的税费标准，因变更产权登记产生的各项费用</w:t>
      </w:r>
      <w:r>
        <w:rPr>
          <w:rFonts w:hint="eastAsia" w:ascii="微软雅黑" w:hAnsi="微软雅黑" w:eastAsia="微软雅黑" w:cs="微软雅黑"/>
          <w:b w:val="0"/>
          <w:bCs w:val="0"/>
          <w:color w:val="auto"/>
          <w:sz w:val="28"/>
          <w:szCs w:val="28"/>
          <w:lang w:val="en-US" w:eastAsia="zh-CN"/>
        </w:rPr>
        <w:t>均</w:t>
      </w:r>
      <w:r>
        <w:rPr>
          <w:rFonts w:hint="eastAsia" w:ascii="微软雅黑" w:hAnsi="微软雅黑" w:eastAsia="微软雅黑" w:cs="微软雅黑"/>
          <w:b w:val="0"/>
          <w:bCs w:val="0"/>
          <w:color w:val="auto"/>
          <w:sz w:val="28"/>
          <w:szCs w:val="28"/>
        </w:rPr>
        <w:t>由买受人承担。</w:t>
      </w:r>
    </w:p>
    <w:p w14:paraId="51FBCFE3">
      <w:pPr>
        <w:pStyle w:val="3"/>
        <w:widowControl/>
        <w:numPr>
          <w:ilvl w:val="0"/>
          <w:numId w:val="1"/>
        </w:numPr>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其他费用：</w:t>
      </w:r>
    </w:p>
    <w:p w14:paraId="152F967B">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lang w:val="en-US" w:eastAsia="zh-CN"/>
          <w14:textFill>
            <w14:solidFill>
              <w14:schemeClr w14:val="tx1"/>
            </w14:solidFill>
          </w14:textFill>
        </w:rPr>
      </w:pPr>
      <w:r>
        <w:rPr>
          <w:rFonts w:hint="eastAsia" w:ascii="微软雅黑" w:hAnsi="微软雅黑" w:eastAsia="微软雅黑" w:cs="微软雅黑"/>
          <w:color w:val="000000"/>
          <w:kern w:val="0"/>
          <w:sz w:val="28"/>
          <w:szCs w:val="28"/>
          <w:lang w:val="en-US" w:eastAsia="zh-CN" w:bidi="ar"/>
        </w:rPr>
        <w:t>起拍价、成交价均不包含税</w:t>
      </w:r>
      <w:r>
        <w:rPr>
          <w:rFonts w:hint="eastAsia" w:ascii="微软雅黑" w:hAnsi="微软雅黑" w:eastAsia="微软雅黑" w:cs="微软雅黑"/>
          <w:color w:val="000000" w:themeColor="text1"/>
          <w:sz w:val="28"/>
          <w:szCs w:val="28"/>
          <w14:textFill>
            <w14:solidFill>
              <w14:schemeClr w14:val="tx1"/>
            </w14:solidFill>
          </w14:textFill>
        </w:rPr>
        <w:t>费、</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软件服务费</w:t>
      </w:r>
      <w:r>
        <w:rPr>
          <w:rFonts w:hint="eastAsia" w:ascii="微软雅黑" w:hAnsi="微软雅黑" w:eastAsia="微软雅黑" w:cs="微软雅黑"/>
          <w:color w:val="000000" w:themeColor="text1"/>
          <w:sz w:val="28"/>
          <w:szCs w:val="28"/>
          <w14:textFill>
            <w14:solidFill>
              <w14:schemeClr w14:val="tx1"/>
            </w14:solidFill>
          </w14:textFill>
        </w:rPr>
        <w:t>等其他费用。</w:t>
      </w:r>
    </w:p>
    <w:p w14:paraId="28B722BD">
      <w:pPr>
        <w:rPr>
          <w:rFonts w:hint="eastAsia"/>
        </w:rPr>
      </w:pPr>
      <w:r>
        <w:rPr>
          <w:rFonts w:hint="eastAsia"/>
        </w:rPr>
        <w:t xml:space="preserve">      </w:t>
      </w:r>
    </w:p>
    <w:p w14:paraId="5963A333">
      <w:pPr>
        <w:ind w:firstLine="560" w:firstLineChars="200"/>
        <w:rPr>
          <w:rFonts w:hint="eastAsia" w:ascii="微软雅黑" w:hAnsi="微软雅黑" w:eastAsia="微软雅黑" w:cs="微软雅黑"/>
          <w:color w:val="000000"/>
          <w:sz w:val="28"/>
          <w:szCs w:val="28"/>
        </w:rPr>
      </w:pPr>
      <w:r>
        <w:rPr>
          <w:rFonts w:hint="eastAsia" w:ascii="微软雅黑" w:hAnsi="微软雅黑" w:eastAsia="微软雅黑" w:cs="微软雅黑"/>
          <w:b/>
          <w:bCs/>
          <w:color w:val="000000" w:themeColor="text1"/>
          <w:sz w:val="28"/>
          <w:szCs w:val="28"/>
          <w14:textFill>
            <w14:solidFill>
              <w14:schemeClr w14:val="tx1"/>
            </w14:solidFill>
          </w14:textFill>
        </w:rPr>
        <w:t>八、保证金、尾款支付</w:t>
      </w:r>
    </w:p>
    <w:p w14:paraId="4736D471">
      <w:pPr>
        <w:pStyle w:val="3"/>
        <w:widowControl/>
        <w:spacing w:beforeAutospacing="0" w:afterAutospacing="0" w:line="360" w:lineRule="auto"/>
        <w:jc w:val="both"/>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xml:space="preserve">    （一）竞买人采用线上支付保证金模式，系统将冻结竞买人缴纳的竞价保证金，竞价结束后未能竞得者的竞价保证金将自动解冻并全额原路返回，冻结期间不计付利息。</w:t>
      </w:r>
    </w:p>
    <w:p w14:paraId="36AA1C77">
      <w:pPr>
        <w:pStyle w:val="3"/>
        <w:widowControl/>
        <w:spacing w:beforeAutospacing="0" w:afterAutospacing="0" w:line="360" w:lineRule="auto"/>
        <w:jc w:val="both"/>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（二）竞价成交后，原锁定的保证金将在买受人支付软件服务费</w:t>
      </w:r>
      <w:r>
        <w:rPr>
          <w:rFonts w:hint="eastAsia" w:ascii="微软雅黑" w:hAnsi="微软雅黑" w:eastAsia="微软雅黑" w:cs="微软雅黑"/>
          <w:i w:val="0"/>
          <w:iCs w:val="0"/>
          <w:caps w:val="0"/>
          <w:color w:val="000000"/>
          <w:spacing w:val="0"/>
          <w:sz w:val="28"/>
          <w:szCs w:val="28"/>
        </w:rPr>
        <w:t>（向淘宝平台支付成交价的0.5%，单个标的软件服务费金额上限为50万）</w:t>
      </w:r>
      <w:r>
        <w:rPr>
          <w:rFonts w:hint="eastAsia" w:ascii="微软雅黑" w:hAnsi="微软雅黑" w:eastAsia="微软雅黑" w:cs="微软雅黑"/>
          <w:color w:val="000000"/>
          <w:sz w:val="28"/>
          <w:szCs w:val="28"/>
        </w:rPr>
        <w:t>后的24小时内自动转入</w:t>
      </w:r>
      <w:r>
        <w:rPr>
          <w:rFonts w:hint="eastAsia" w:ascii="微软雅黑" w:hAnsi="微软雅黑" w:eastAsia="微软雅黑" w:cs="微软雅黑"/>
          <w:color w:val="000000"/>
          <w:sz w:val="28"/>
          <w:szCs w:val="28"/>
          <w:lang w:eastAsia="zh-CN"/>
        </w:rPr>
        <w:t>管理人</w:t>
      </w:r>
      <w:r>
        <w:rPr>
          <w:rFonts w:hint="eastAsia" w:ascii="微软雅黑" w:hAnsi="微软雅黑" w:eastAsia="微软雅黑" w:cs="微软雅黑"/>
          <w:color w:val="000000"/>
          <w:sz w:val="28"/>
          <w:szCs w:val="28"/>
        </w:rPr>
        <w:t>指定账户。</w:t>
      </w:r>
    </w:p>
    <w:p w14:paraId="3373CC4F">
      <w:pPr>
        <w:pStyle w:val="3"/>
        <w:widowControl/>
        <w:spacing w:beforeAutospacing="0" w:afterAutospacing="0" w:line="360" w:lineRule="auto"/>
        <w:jc w:val="both"/>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（三）竞价成交后，竞价尾款于拍卖竞价成交之日起</w:t>
      </w:r>
      <w:r>
        <w:rPr>
          <w:rFonts w:hint="eastAsia" w:ascii="微软雅黑" w:hAnsi="微软雅黑" w:eastAsia="微软雅黑" w:cs="微软雅黑"/>
          <w:b/>
          <w:bCs/>
          <w:color w:val="000000"/>
          <w:sz w:val="28"/>
          <w:szCs w:val="28"/>
          <w:lang w:val="en-US" w:eastAsia="zh-CN"/>
        </w:rPr>
        <w:t>5</w:t>
      </w:r>
      <w:r>
        <w:rPr>
          <w:rFonts w:hint="eastAsia" w:ascii="微软雅黑" w:hAnsi="微软雅黑" w:eastAsia="微软雅黑" w:cs="微软雅黑"/>
          <w:b/>
          <w:bCs/>
          <w:color w:val="000000"/>
          <w:sz w:val="28"/>
          <w:szCs w:val="28"/>
        </w:rPr>
        <w:t>个自然日</w:t>
      </w:r>
      <w:r>
        <w:rPr>
          <w:rFonts w:hint="eastAsia" w:ascii="微软雅黑" w:hAnsi="微软雅黑" w:eastAsia="微软雅黑" w:cs="微软雅黑"/>
          <w:color w:val="000000"/>
          <w:sz w:val="28"/>
          <w:szCs w:val="28"/>
        </w:rPr>
        <w:t>内通过银行汇款至</w:t>
      </w:r>
      <w:r>
        <w:rPr>
          <w:rFonts w:hint="eastAsia" w:ascii="微软雅黑" w:hAnsi="微软雅黑" w:eastAsia="微软雅黑" w:cs="微软雅黑"/>
          <w:color w:val="000000"/>
          <w:sz w:val="28"/>
          <w:szCs w:val="28"/>
          <w:lang w:eastAsia="zh-CN"/>
        </w:rPr>
        <w:t>管理人</w:t>
      </w:r>
      <w:r>
        <w:rPr>
          <w:rFonts w:hint="eastAsia" w:ascii="微软雅黑" w:hAnsi="微软雅黑" w:eastAsia="微软雅黑" w:cs="微软雅黑"/>
          <w:color w:val="000000"/>
          <w:sz w:val="28"/>
          <w:szCs w:val="28"/>
        </w:rPr>
        <w:t>指定收款账户</w:t>
      </w:r>
      <w:r>
        <w:rPr>
          <w:rFonts w:hint="eastAsia" w:ascii="微软雅黑" w:hAnsi="微软雅黑" w:eastAsia="微软雅黑" w:cs="微软雅黑"/>
          <w:b/>
          <w:bCs/>
          <w:color w:val="auto"/>
          <w:sz w:val="28"/>
          <w:szCs w:val="28"/>
        </w:rPr>
        <w:t>【账户名称：重庆创敏科技集团有限责任公司管理人，开户银行：</w:t>
      </w:r>
      <w:r>
        <w:rPr>
          <w:rFonts w:hint="eastAsia" w:ascii="微软雅黑" w:hAnsi="微软雅黑" w:eastAsia="微软雅黑" w:cs="微软雅黑"/>
          <w:b/>
          <w:bCs/>
          <w:color w:val="auto"/>
          <w:sz w:val="28"/>
          <w:szCs w:val="28"/>
          <w:lang w:val="en-US" w:eastAsia="zh-CN"/>
        </w:rPr>
        <w:t>中国邮政储蓄银行股份有限公司重庆九龙坡区支行</w:t>
      </w:r>
      <w:r>
        <w:rPr>
          <w:rFonts w:hint="eastAsia" w:ascii="微软雅黑" w:hAnsi="微软雅黑" w:eastAsia="微软雅黑" w:cs="微软雅黑"/>
          <w:b/>
          <w:bCs/>
          <w:color w:val="auto"/>
          <w:sz w:val="28"/>
          <w:szCs w:val="28"/>
        </w:rPr>
        <w:t>，账号：</w:t>
      </w:r>
      <w:r>
        <w:rPr>
          <w:rFonts w:hint="eastAsia" w:ascii="微软雅黑" w:hAnsi="微软雅黑" w:eastAsia="微软雅黑" w:cs="微软雅黑"/>
          <w:b/>
          <w:bCs/>
          <w:color w:val="auto"/>
          <w:sz w:val="28"/>
          <w:szCs w:val="28"/>
          <w:lang w:val="en-US" w:eastAsia="zh-CN"/>
        </w:rPr>
        <w:t>950018013000470010</w:t>
      </w:r>
      <w:r>
        <w:rPr>
          <w:rFonts w:hint="eastAsia" w:ascii="微软雅黑" w:hAnsi="微软雅黑" w:eastAsia="微软雅黑" w:cs="微软雅黑"/>
          <w:b/>
          <w:bCs/>
          <w:color w:val="auto"/>
          <w:sz w:val="28"/>
          <w:szCs w:val="28"/>
        </w:rPr>
        <w:t>】</w:t>
      </w:r>
      <w:r>
        <w:rPr>
          <w:rFonts w:hint="eastAsia" w:ascii="微软雅黑" w:hAnsi="微软雅黑" w:eastAsia="微软雅黑" w:cs="微软雅黑"/>
          <w:color w:val="000000"/>
          <w:sz w:val="28"/>
          <w:szCs w:val="28"/>
        </w:rPr>
        <w:t>；或在【我的拍卖】中查看已拍下的订单，完成尾款的支付；尾款支付完成后应及时联系</w:t>
      </w:r>
      <w:r>
        <w:rPr>
          <w:rFonts w:hint="eastAsia" w:ascii="微软雅黑" w:hAnsi="微软雅黑" w:eastAsia="微软雅黑" w:cs="微软雅黑"/>
          <w:color w:val="000000"/>
          <w:sz w:val="28"/>
          <w:szCs w:val="28"/>
          <w:lang w:eastAsia="zh-CN"/>
        </w:rPr>
        <w:t>管理人</w:t>
      </w:r>
      <w:r>
        <w:rPr>
          <w:rFonts w:hint="eastAsia" w:ascii="微软雅黑" w:hAnsi="微软雅黑" w:eastAsia="微软雅黑" w:cs="微软雅黑"/>
          <w:color w:val="000000"/>
          <w:sz w:val="28"/>
          <w:szCs w:val="28"/>
        </w:rPr>
        <w:t>。</w:t>
      </w:r>
    </w:p>
    <w:p w14:paraId="69CFFBD6">
      <w:pPr>
        <w:pStyle w:val="3"/>
        <w:keepNext w:val="0"/>
        <w:keepLines w:val="0"/>
        <w:pageBreakBefore w:val="0"/>
        <w:widowControl/>
        <w:kinsoku/>
        <w:wordWrap w:val="0"/>
        <w:overflowPunct/>
        <w:topLinePunct w:val="0"/>
        <w:autoSpaceDE/>
        <w:autoSpaceDN/>
        <w:bidi w:val="0"/>
        <w:adjustRightInd/>
        <w:snapToGrid/>
        <w:spacing w:beforeAutospacing="0" w:afterAutospacing="0" w:line="360" w:lineRule="auto"/>
        <w:jc w:val="both"/>
        <w:textAlignment w:val="auto"/>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四）因拍卖标的本身价值，其起拍价、保证金、竞拍成交价格相对较高的，竞买人参与竞拍，支付保证金及尾款可能会遇到当天限额无法支付的情况，请竞买人根据自身情况选择网上充值银行。各大银行充值和支付的限额情况可上网查询，网址：https://www.taobao.com/market/paimai/sf-helpcenter.php?path=sf-hc-right-content5#q1。</w:t>
      </w:r>
    </w:p>
    <w:p w14:paraId="1C62244D">
      <w:pPr>
        <w:pStyle w:val="3"/>
        <w:widowControl/>
        <w:spacing w:beforeAutospacing="0" w:afterAutospacing="0" w:line="360" w:lineRule="auto"/>
        <w:jc w:val="both"/>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（五）拍卖成交后竞买人在竞买公告规定的期限内未支付拍卖成交价款或者逾期支付拍卖成交价款或未支付软件服务费等原因导致</w:t>
      </w:r>
      <w:r>
        <w:rPr>
          <w:rFonts w:hint="eastAsia" w:ascii="微软雅黑" w:hAnsi="微软雅黑" w:eastAsia="微软雅黑" w:cs="微软雅黑"/>
          <w:color w:val="000000"/>
          <w:sz w:val="28"/>
          <w:szCs w:val="28"/>
          <w:lang w:eastAsia="zh-CN"/>
        </w:rPr>
        <w:t>管理人</w:t>
      </w:r>
      <w:r>
        <w:rPr>
          <w:rFonts w:hint="eastAsia" w:ascii="微软雅黑" w:hAnsi="微软雅黑" w:eastAsia="微软雅黑" w:cs="微软雅黑"/>
          <w:color w:val="000000"/>
          <w:sz w:val="28"/>
          <w:szCs w:val="28"/>
        </w:rPr>
        <w:t>未能按期收到竞买人交付的保证金的，均视为悔拍。拍卖成交后竞买人悔拍的，交纳的保证金不予退还，依次用于支付拍卖产生的费用、弥补重新拍卖成交价款低于原拍卖成交价款的差价等损失。保证金数额不足以弥补拍卖费用以及重新拍卖成交价款低于原拍卖成交价款的差价的，</w:t>
      </w:r>
      <w:r>
        <w:rPr>
          <w:rFonts w:hint="eastAsia" w:ascii="微软雅黑" w:hAnsi="微软雅黑" w:eastAsia="微软雅黑" w:cs="微软雅黑"/>
          <w:color w:val="000000"/>
          <w:sz w:val="28"/>
          <w:szCs w:val="28"/>
          <w:lang w:eastAsia="zh-CN"/>
        </w:rPr>
        <w:t>管理人</w:t>
      </w:r>
      <w:r>
        <w:rPr>
          <w:rFonts w:hint="eastAsia" w:ascii="微软雅黑" w:hAnsi="微软雅黑" w:eastAsia="微软雅黑" w:cs="微软雅黑"/>
          <w:color w:val="000000"/>
          <w:sz w:val="28"/>
          <w:szCs w:val="28"/>
        </w:rPr>
        <w:t>可向悔拍人继续追索。对于联合竞买的，联合竞买双方对前述费用损失和差价承担不可撤销的连带责任。悔拍后，</w:t>
      </w:r>
      <w:r>
        <w:rPr>
          <w:rFonts w:hint="eastAsia" w:ascii="微软雅黑" w:hAnsi="微软雅黑" w:eastAsia="微软雅黑" w:cs="微软雅黑"/>
          <w:color w:val="000000"/>
          <w:sz w:val="28"/>
          <w:szCs w:val="28"/>
          <w:lang w:eastAsia="zh-CN"/>
        </w:rPr>
        <w:t>管理人</w:t>
      </w:r>
      <w:r>
        <w:rPr>
          <w:rFonts w:hint="eastAsia" w:ascii="微软雅黑" w:hAnsi="微软雅黑" w:eastAsia="微软雅黑" w:cs="微软雅黑"/>
          <w:color w:val="000000"/>
          <w:sz w:val="28"/>
          <w:szCs w:val="28"/>
        </w:rPr>
        <w:t>可重新拍卖本标的，重新拍卖时，原买受人不得参加竞买。</w:t>
      </w:r>
    </w:p>
    <w:p w14:paraId="6240AA9E"/>
    <w:p w14:paraId="5DC466EF">
      <w:pPr>
        <w:pStyle w:val="3"/>
        <w:widowControl/>
        <w:spacing w:beforeAutospacing="0" w:afterAutospacing="0" w:line="360" w:lineRule="auto"/>
        <w:rPr>
          <w:rFonts w:hint="eastAsia"/>
        </w:rPr>
      </w:pPr>
      <w:r>
        <w:rPr>
          <w:rFonts w:hint="eastAsia" w:ascii="微软雅黑" w:hAnsi="微软雅黑" w:eastAsia="微软雅黑" w:cs="微软雅黑"/>
          <w:b/>
          <w:bCs/>
          <w:color w:val="000000" w:themeColor="text1"/>
          <w:sz w:val="28"/>
          <w:szCs w:val="28"/>
          <w14:textFill>
            <w14:solidFill>
              <w14:schemeClr w14:val="tx1"/>
            </w14:solidFill>
          </w14:textFill>
        </w:rPr>
        <w:t>     九、软件服务费的支付</w:t>
      </w:r>
    </w:p>
    <w:p w14:paraId="70CDCFF3">
      <w:pPr>
        <w:bidi w:val="0"/>
        <w:rPr>
          <w:rFonts w:hint="default" w:ascii="微软雅黑" w:hAnsi="微软雅黑" w:eastAsia="微软雅黑" w:cs="微软雅黑"/>
          <w:color w:val="000000"/>
          <w:sz w:val="28"/>
          <w:szCs w:val="28"/>
          <w:lang w:val="en-US" w:eastAsia="zh-CN"/>
        </w:rPr>
      </w:pPr>
      <w:r>
        <w:rPr>
          <w:rFonts w:hint="eastAsia" w:ascii="微软雅黑" w:hAnsi="微软雅黑" w:eastAsia="微软雅黑" w:cs="微软雅黑"/>
          <w:b/>
          <w:bCs/>
          <w:color w:val="000000" w:themeColor="text1"/>
          <w:sz w:val="28"/>
          <w:szCs w:val="28"/>
          <w14:textFill>
            <w14:solidFill>
              <w14:schemeClr w14:val="tx1"/>
            </w14:solidFill>
          </w14:textFill>
        </w:rPr>
        <w:t xml:space="preserve">    </w:t>
      </w:r>
      <w:r>
        <w:rPr>
          <w:rFonts w:hint="eastAsia" w:ascii="微软雅黑" w:hAnsi="微软雅黑" w:eastAsia="微软雅黑" w:cs="微软雅黑"/>
          <w:color w:val="000000"/>
          <w:sz w:val="28"/>
          <w:szCs w:val="28"/>
        </w:rPr>
        <w:t> （一）按照《阿里拍卖平台破产资产处置频道收费规则》，拍卖标的通过阿里拍卖系统网络竞价流程成交，买受人即应按照规则向淘宝网支付软件服务费。</w:t>
      </w:r>
    </w:p>
    <w:p w14:paraId="4BE3F9D7">
      <w:pPr>
        <w:pStyle w:val="3"/>
        <w:widowControl/>
        <w:spacing w:beforeAutospacing="0" w:afterAutospacing="0" w:line="360" w:lineRule="auto"/>
        <w:jc w:val="both"/>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（二）缴费方式：标的竞拍成功后，网拍平台会产生一笔待支付的软件服务费，买受人通过线上支付该待支付的费用后，保证金方才转为拍卖款支付至</w:t>
      </w:r>
      <w:r>
        <w:rPr>
          <w:rFonts w:hint="eastAsia" w:ascii="微软雅黑" w:hAnsi="微软雅黑" w:eastAsia="微软雅黑" w:cs="微软雅黑"/>
          <w:color w:val="000000"/>
          <w:sz w:val="28"/>
          <w:szCs w:val="28"/>
          <w:lang w:eastAsia="zh-CN"/>
        </w:rPr>
        <w:t>管理人</w:t>
      </w:r>
      <w:r>
        <w:rPr>
          <w:rFonts w:hint="eastAsia" w:ascii="微软雅黑" w:hAnsi="微软雅黑" w:eastAsia="微软雅黑" w:cs="微软雅黑"/>
          <w:color w:val="000000"/>
          <w:sz w:val="28"/>
          <w:szCs w:val="28"/>
        </w:rPr>
        <w:t>账户。买受人若不支付该笔软件服务费，则</w:t>
      </w:r>
      <w:r>
        <w:rPr>
          <w:rFonts w:hint="eastAsia" w:ascii="微软雅黑" w:hAnsi="微软雅黑" w:eastAsia="微软雅黑" w:cs="微软雅黑"/>
          <w:color w:val="000000"/>
          <w:sz w:val="28"/>
          <w:szCs w:val="28"/>
          <w:lang w:eastAsia="zh-CN"/>
        </w:rPr>
        <w:t>管理人</w:t>
      </w:r>
      <w:r>
        <w:rPr>
          <w:rFonts w:hint="eastAsia" w:ascii="微软雅黑" w:hAnsi="微软雅黑" w:eastAsia="微软雅黑" w:cs="微软雅黑"/>
          <w:color w:val="000000"/>
          <w:sz w:val="28"/>
          <w:szCs w:val="28"/>
        </w:rPr>
        <w:t>无法收到保证金，并视为买受人未支付相应的拍卖款，且由此导致认定买受人悔拍的法律责任及风险由买受人承担。</w:t>
      </w:r>
    </w:p>
    <w:p w14:paraId="52F93A9E">
      <w:pPr>
        <w:pStyle w:val="3"/>
        <w:widowControl/>
        <w:spacing w:beforeAutospacing="0" w:afterAutospacing="0" w:line="360" w:lineRule="auto"/>
        <w:ind w:firstLine="560" w:firstLineChars="200"/>
        <w:jc w:val="both"/>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color w:val="000000"/>
          <w:sz w:val="28"/>
          <w:szCs w:val="28"/>
        </w:rPr>
        <w:t> （</w:t>
      </w:r>
      <w:r>
        <w:rPr>
          <w:rFonts w:hint="eastAsia" w:ascii="微软雅黑" w:hAnsi="微软雅黑" w:eastAsia="微软雅黑" w:cs="微软雅黑"/>
          <w:color w:val="000000"/>
          <w:sz w:val="28"/>
          <w:szCs w:val="28"/>
          <w:lang w:val="en-US" w:eastAsia="zh-CN"/>
        </w:rPr>
        <w:t>三</w:t>
      </w:r>
      <w:r>
        <w:rPr>
          <w:rFonts w:hint="eastAsia" w:ascii="微软雅黑" w:hAnsi="微软雅黑" w:eastAsia="微软雅黑" w:cs="微软雅黑"/>
          <w:color w:val="000000"/>
          <w:sz w:val="28"/>
          <w:szCs w:val="28"/>
        </w:rPr>
        <w:t>）软件服务费付款期限为拍卖竞价成交之日起</w:t>
      </w:r>
      <w:r>
        <w:rPr>
          <w:rFonts w:hint="eastAsia" w:ascii="微软雅黑" w:hAnsi="微软雅黑" w:eastAsia="微软雅黑" w:cs="微软雅黑"/>
          <w:color w:val="000000"/>
          <w:sz w:val="28"/>
          <w:szCs w:val="28"/>
          <w:lang w:val="en-US" w:eastAsia="zh-CN"/>
        </w:rPr>
        <w:t>3</w:t>
      </w:r>
      <w:r>
        <w:rPr>
          <w:rFonts w:hint="eastAsia" w:ascii="微软雅黑" w:hAnsi="微软雅黑" w:eastAsia="微软雅黑" w:cs="微软雅黑"/>
          <w:color w:val="000000"/>
          <w:sz w:val="28"/>
          <w:szCs w:val="28"/>
        </w:rPr>
        <w:t>个自然日内。如需服务</w:t>
      </w:r>
      <w:r>
        <w:rPr>
          <w:rFonts w:hint="eastAsia" w:ascii="微软雅黑" w:hAnsi="微软雅黑" w:eastAsia="微软雅黑" w:cs="微软雅黑"/>
          <w:color w:val="000000"/>
          <w:sz w:val="28"/>
          <w:szCs w:val="28"/>
          <w:lang w:val="en-US" w:eastAsia="zh-CN"/>
        </w:rPr>
        <w:t>费</w:t>
      </w:r>
      <w:r>
        <w:rPr>
          <w:rFonts w:hint="eastAsia" w:ascii="微软雅黑" w:hAnsi="微软雅黑" w:eastAsia="微软雅黑" w:cs="微软雅黑"/>
          <w:color w:val="000000"/>
          <w:sz w:val="28"/>
          <w:szCs w:val="28"/>
        </w:rPr>
        <w:t>发票的，可在系统中查看已完成的服务费记录并点击申请开发票（具体可开发票的服务费类目和金额以系统平台为准）。</w:t>
      </w:r>
    </w:p>
    <w:p w14:paraId="41B7BE91">
      <w:pPr>
        <w:bidi w:val="0"/>
        <w:rPr>
          <w:rFonts w:hint="eastAsia"/>
          <w:lang w:val="en-US" w:eastAsia="zh-CN"/>
        </w:rPr>
      </w:pPr>
    </w:p>
    <w:p w14:paraId="19729374">
      <w:pPr>
        <w:pStyle w:val="3"/>
        <w:widowControl/>
        <w:spacing w:beforeAutospacing="0" w:afterAutospacing="0" w:line="360" w:lineRule="auto"/>
        <w:ind w:firstLine="560" w:firstLineChars="200"/>
        <w:jc w:val="both"/>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十</w:t>
      </w:r>
      <w:r>
        <w:rPr>
          <w:rFonts w:hint="eastAsia" w:ascii="微软雅黑" w:hAnsi="微软雅黑" w:eastAsia="微软雅黑" w:cs="微软雅黑"/>
          <w:b/>
          <w:bCs/>
          <w:color w:val="000000" w:themeColor="text1"/>
          <w:sz w:val="28"/>
          <w:szCs w:val="28"/>
          <w14:textFill>
            <w14:solidFill>
              <w14:schemeClr w14:val="tx1"/>
            </w14:solidFill>
          </w14:textFill>
        </w:rPr>
        <w:t>、拍品交付</w:t>
      </w:r>
    </w:p>
    <w:p w14:paraId="2663271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560" w:firstLineChars="200"/>
        <w:jc w:val="left"/>
        <w:rPr>
          <w:rFonts w:hint="eastAsia" w:ascii="微软雅黑" w:hAnsi="微软雅黑" w:eastAsia="微软雅黑" w:cs="微软雅黑"/>
          <w:b/>
          <w:bCs/>
          <w:color w:val="100BF3"/>
          <w:kern w:val="0"/>
          <w:sz w:val="28"/>
          <w:szCs w:val="28"/>
          <w:lang w:val="en-US" w:eastAsia="zh-CN" w:bidi="ar-SA"/>
        </w:rPr>
      </w:pPr>
      <w:r>
        <w:rPr>
          <w:rFonts w:hint="eastAsia" w:ascii="微软雅黑" w:hAnsi="微软雅黑" w:eastAsia="微软雅黑" w:cs="微软雅黑"/>
          <w:b/>
          <w:bCs/>
          <w:color w:val="100BF3"/>
          <w:kern w:val="0"/>
          <w:sz w:val="28"/>
          <w:szCs w:val="28"/>
          <w:lang w:val="en-US" w:eastAsia="zh-CN" w:bidi="ar-SA"/>
        </w:rPr>
        <w:t>（一）买受人应于付清全部拍卖成交款和按规定支付完软件服务费的5个自然日内（遇节假日顺延）凭付款凭证及相关身份材料到管理人指定交付地点签署拍卖成交确认文件，确认标的转让事宜。（若需要通过其他方式的，请务必提前与管理人联系，并经过管理人同意方能采取其他方式签署）。</w:t>
      </w:r>
    </w:p>
    <w:p w14:paraId="53A618F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left="0" w:right="0" w:firstLine="560" w:firstLineChars="200"/>
        <w:jc w:val="left"/>
        <w:rPr>
          <w:rFonts w:hint="eastAsia" w:ascii="微软雅黑" w:hAnsi="微软雅黑" w:eastAsia="微软雅黑" w:cs="微软雅黑"/>
          <w:b/>
          <w:bCs/>
          <w:color w:val="100BF3"/>
          <w:kern w:val="0"/>
          <w:sz w:val="28"/>
          <w:szCs w:val="28"/>
          <w:lang w:val="en-US" w:eastAsia="zh-CN" w:bidi="ar-SA"/>
        </w:rPr>
      </w:pPr>
      <w:r>
        <w:rPr>
          <w:rFonts w:hint="eastAsia" w:ascii="微软雅黑" w:hAnsi="微软雅黑" w:eastAsia="微软雅黑" w:cs="微软雅黑"/>
          <w:b/>
          <w:bCs/>
          <w:color w:val="100BF3"/>
          <w:kern w:val="0"/>
          <w:sz w:val="28"/>
          <w:szCs w:val="28"/>
          <w:lang w:val="en-US" w:eastAsia="zh-CN" w:bidi="ar-SA"/>
        </w:rPr>
        <w:t>（二）管理人将对本次拍卖标的物按照交付时实物的现状进行交付，管理人仅能提供《拍卖成交确认书》及接管到的标的</w:t>
      </w:r>
      <w:bookmarkStart w:id="2" w:name="_GoBack"/>
      <w:bookmarkEnd w:id="2"/>
      <w:r>
        <w:rPr>
          <w:rFonts w:hint="eastAsia" w:ascii="微软雅黑" w:hAnsi="微软雅黑" w:eastAsia="微软雅黑" w:cs="微软雅黑"/>
          <w:b/>
          <w:bCs/>
          <w:color w:val="100BF3"/>
          <w:kern w:val="0"/>
          <w:sz w:val="28"/>
          <w:szCs w:val="28"/>
          <w:lang w:val="en-US" w:eastAsia="zh-CN" w:bidi="ar-SA"/>
        </w:rPr>
        <w:t>相关证书，拍卖公告中涉及标的物的相关数据情况仅供参考，最终标的物的具体情况及现状以拍卖成交后移交时的情况及现状为准，法院、管理人、破产人、拍卖机构及拍卖平台对拍卖标的瑕疵不承担任何责任。</w:t>
      </w:r>
    </w:p>
    <w:p w14:paraId="3EB1AB0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20" w:lineRule="atLeast"/>
        <w:ind w:right="0" w:firstLine="560" w:firstLineChars="200"/>
        <w:jc w:val="left"/>
        <w:rPr>
          <w:rFonts w:hint="eastAsia" w:ascii="微软雅黑" w:hAnsi="微软雅黑" w:eastAsia="微软雅黑" w:cs="微软雅黑"/>
          <w:b/>
          <w:bCs/>
          <w:color w:val="100BF3"/>
          <w:kern w:val="0"/>
          <w:sz w:val="28"/>
          <w:szCs w:val="28"/>
          <w:lang w:val="en-US" w:eastAsia="zh-CN" w:bidi="ar-SA"/>
        </w:rPr>
      </w:pPr>
      <w:r>
        <w:rPr>
          <w:rFonts w:hint="eastAsia" w:ascii="微软雅黑" w:hAnsi="微软雅黑" w:eastAsia="微软雅黑" w:cs="微软雅黑"/>
          <w:b/>
          <w:bCs/>
          <w:color w:val="100BF3"/>
          <w:kern w:val="0"/>
          <w:sz w:val="28"/>
          <w:szCs w:val="28"/>
          <w:lang w:val="en-US" w:eastAsia="zh-CN" w:bidi="ar-SA"/>
        </w:rPr>
        <w:t>（三）若买受人逾期未接收，则视为买受人将受让的标的进行遗弃处理，交易过程中所支付的一切费用（包含但不限于保证金、拍卖成交尾款、软件服务费等相关全部费用）不予退还。对于买受人遗弃的标的，管理人可重新拍卖，并将其收益归属破产财产，原买受人无权向管理人主张权利。</w:t>
      </w:r>
    </w:p>
    <w:p w14:paraId="3E90B8A8">
      <w:pPr>
        <w:pStyle w:val="3"/>
        <w:widowControl/>
        <w:spacing w:beforeAutospacing="0" w:afterAutospacing="0" w:line="420" w:lineRule="atLeast"/>
        <w:ind w:firstLine="560" w:firstLineChars="200"/>
        <w:jc w:val="both"/>
        <w:rPr>
          <w:rStyle w:val="7"/>
          <w:rFonts w:hint="eastAsia" w:ascii="微软雅黑" w:hAnsi="微软雅黑" w:eastAsia="微软雅黑" w:cs="微软雅黑"/>
          <w:i w:val="0"/>
          <w:iCs w:val="0"/>
          <w:caps w:val="0"/>
          <w:color w:val="444444"/>
          <w:spacing w:val="0"/>
          <w:sz w:val="30"/>
          <w:szCs w:val="30"/>
          <w:shd w:val="clear" w:fill="FFFFFF"/>
        </w:rPr>
      </w:pPr>
      <w:r>
        <w:rPr>
          <w:rFonts w:hint="eastAsia" w:ascii="微软雅黑" w:hAnsi="微软雅黑" w:eastAsia="微软雅黑" w:cs="微软雅黑"/>
          <w:color w:val="000000"/>
          <w:sz w:val="28"/>
          <w:szCs w:val="28"/>
          <w:lang w:val="en-US" w:eastAsia="zh-CN"/>
        </w:rPr>
        <w:t>（四）若本拍卖标的存在本公告载明的情况外的担保物权、冻结等法定权利限制，经协调后竞价标的仍不能完成交割的，管理人、破产人、法院、拍卖机构及拍卖平台概不承担相关责任。</w:t>
      </w:r>
      <w:r>
        <w:rPr>
          <w:rStyle w:val="7"/>
          <w:rFonts w:ascii="微软雅黑" w:hAnsi="微软雅黑" w:eastAsia="微软雅黑" w:cs="微软雅黑"/>
          <w:i w:val="0"/>
          <w:iCs w:val="0"/>
          <w:caps w:val="0"/>
          <w:color w:val="444444"/>
          <w:spacing w:val="0"/>
          <w:sz w:val="30"/>
          <w:szCs w:val="30"/>
          <w:shd w:val="clear" w:fill="FFFFFF"/>
        </w:rPr>
        <w:t>   </w:t>
      </w:r>
      <w:r>
        <w:rPr>
          <w:rStyle w:val="7"/>
          <w:rFonts w:hint="eastAsia" w:ascii="微软雅黑" w:hAnsi="微软雅黑" w:eastAsia="微软雅黑" w:cs="微软雅黑"/>
          <w:i w:val="0"/>
          <w:iCs w:val="0"/>
          <w:caps w:val="0"/>
          <w:color w:val="444444"/>
          <w:spacing w:val="0"/>
          <w:sz w:val="30"/>
          <w:szCs w:val="30"/>
          <w:shd w:val="clear" w:fill="FFFFFF"/>
        </w:rPr>
        <w:t> </w:t>
      </w:r>
    </w:p>
    <w:p w14:paraId="4CECCE1D">
      <w:pPr>
        <w:pStyle w:val="3"/>
        <w:widowControl/>
        <w:spacing w:beforeAutospacing="0" w:afterAutospacing="0" w:line="420" w:lineRule="atLeast"/>
        <w:ind w:firstLine="600" w:firstLineChars="200"/>
        <w:jc w:val="both"/>
        <w:rPr>
          <w:rFonts w:hint="eastAsia" w:ascii="微软雅黑" w:hAnsi="微软雅黑" w:eastAsia="微软雅黑" w:cs="微软雅黑"/>
          <w:color w:val="000000"/>
          <w:sz w:val="28"/>
          <w:szCs w:val="28"/>
          <w:lang w:val="en-US" w:eastAsia="zh-CN"/>
        </w:rPr>
      </w:pPr>
      <w:r>
        <w:rPr>
          <w:rFonts w:hint="eastAsia" w:ascii="微软雅黑" w:hAnsi="微软雅黑" w:eastAsia="微软雅黑" w:cs="微软雅黑"/>
          <w:i w:val="0"/>
          <w:iCs w:val="0"/>
          <w:caps w:val="0"/>
          <w:color w:val="000000"/>
          <w:spacing w:val="0"/>
          <w:sz w:val="30"/>
          <w:szCs w:val="30"/>
          <w:shd w:val="clear" w:fill="FFFFFF"/>
        </w:rPr>
        <w:t>（五）竞买人竞价前应向相关部门及网站，对标的权属、能否过户、过户要求和流程、税费缴付的标准及起止时间以及其他需注意的事项进行咨询。因政策原因或其他原因导致不能过户的风险由竞买人自行承担。</w:t>
      </w:r>
    </w:p>
    <w:p w14:paraId="6AA3B72A">
      <w:pPr>
        <w:pStyle w:val="3"/>
        <w:widowControl/>
        <w:spacing w:beforeAutospacing="0" w:afterAutospacing="0" w:line="420" w:lineRule="atLeast"/>
        <w:ind w:firstLine="560" w:firstLineChars="200"/>
        <w:jc w:val="both"/>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lang w:val="en-US" w:eastAsia="zh-CN"/>
        </w:rPr>
        <w:t>（六）买受人自行办理权属变更手续，必要时可以请求管理人予以协助。</w:t>
      </w:r>
    </w:p>
    <w:p w14:paraId="155B8C5F">
      <w:pPr>
        <w:pStyle w:val="3"/>
        <w:widowControl/>
        <w:spacing w:beforeAutospacing="0" w:afterAutospacing="0" w:line="420" w:lineRule="atLeast"/>
        <w:ind w:firstLine="560" w:firstLineChars="200"/>
        <w:jc w:val="both"/>
        <w:rPr>
          <w:rFonts w:hint="eastAsia"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w:t>
      </w:r>
      <w:r>
        <w:rPr>
          <w:rFonts w:hint="eastAsia" w:ascii="微软雅黑" w:hAnsi="微软雅黑" w:eastAsia="微软雅黑" w:cs="微软雅黑"/>
          <w:color w:val="000000"/>
          <w:sz w:val="28"/>
          <w:szCs w:val="28"/>
          <w:lang w:val="en-US" w:eastAsia="zh-CN"/>
        </w:rPr>
        <w:t>七</w:t>
      </w:r>
      <w:r>
        <w:rPr>
          <w:rFonts w:hint="eastAsia" w:ascii="微软雅黑" w:hAnsi="微软雅黑" w:eastAsia="微软雅黑" w:cs="微软雅黑"/>
          <w:color w:val="000000"/>
          <w:sz w:val="28"/>
          <w:szCs w:val="28"/>
        </w:rPr>
        <w:t>）如本次竞价标的由于不确定因素、自然灾害等不可抗力或政策原因等其他任何情形致使竞价标的不能如期交割的，</w:t>
      </w:r>
      <w:r>
        <w:rPr>
          <w:rFonts w:hint="eastAsia" w:ascii="微软雅黑" w:hAnsi="微软雅黑" w:eastAsia="微软雅黑" w:cs="微软雅黑"/>
          <w:color w:val="000000"/>
          <w:sz w:val="28"/>
          <w:szCs w:val="28"/>
          <w:lang w:eastAsia="zh-CN"/>
        </w:rPr>
        <w:t>管理人</w:t>
      </w:r>
      <w:r>
        <w:rPr>
          <w:rFonts w:hint="eastAsia" w:ascii="微软雅黑" w:hAnsi="微软雅黑" w:eastAsia="微软雅黑" w:cs="微软雅黑"/>
          <w:color w:val="000000"/>
          <w:sz w:val="28"/>
          <w:szCs w:val="28"/>
        </w:rPr>
        <w:t>、破产人、法院、拍卖机构及拍卖平台均概不承担相关责任。</w:t>
      </w:r>
    </w:p>
    <w:p w14:paraId="1798D1D8"/>
    <w:p w14:paraId="0B988A7E">
      <w:pPr>
        <w:pStyle w:val="3"/>
        <w:widowControl/>
        <w:spacing w:beforeAutospacing="0" w:afterAutospacing="0" w:line="360" w:lineRule="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       十</w:t>
      </w: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一</w:t>
      </w:r>
      <w:r>
        <w:rPr>
          <w:rFonts w:hint="eastAsia" w:ascii="微软雅黑" w:hAnsi="微软雅黑" w:eastAsia="微软雅黑" w:cs="微软雅黑"/>
          <w:b/>
          <w:bCs/>
          <w:color w:val="000000" w:themeColor="text1"/>
          <w:sz w:val="28"/>
          <w:szCs w:val="28"/>
          <w14:textFill>
            <w14:solidFill>
              <w14:schemeClr w14:val="tx1"/>
            </w14:solidFill>
          </w14:textFill>
        </w:rPr>
        <w:t>、特别提醒</w:t>
      </w:r>
    </w:p>
    <w:p w14:paraId="5B0817F1">
      <w:pPr>
        <w:pStyle w:val="3"/>
        <w:widowControl/>
        <w:spacing w:beforeAutospacing="0" w:afterAutospacing="0" w:line="360" w:lineRule="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     （一）标的以实物现状为准，法院、</w:t>
      </w:r>
      <w:r>
        <w:rPr>
          <w:rFonts w:hint="eastAsia" w:ascii="微软雅黑" w:hAnsi="微软雅黑" w:eastAsia="微软雅黑" w:cs="微软雅黑"/>
          <w:b/>
          <w:bCs/>
          <w:color w:val="000000" w:themeColor="text1"/>
          <w:sz w:val="28"/>
          <w:szCs w:val="28"/>
          <w:lang w:eastAsia="zh-CN"/>
          <w14:textFill>
            <w14:solidFill>
              <w14:schemeClr w14:val="tx1"/>
            </w14:solidFill>
          </w14:textFill>
        </w:rPr>
        <w:t>管理人</w:t>
      </w:r>
      <w:r>
        <w:rPr>
          <w:rFonts w:hint="eastAsia" w:ascii="微软雅黑" w:hAnsi="微软雅黑" w:eastAsia="微软雅黑" w:cs="微软雅黑"/>
          <w:b/>
          <w:bCs/>
          <w:color w:val="000000" w:themeColor="text1"/>
          <w:sz w:val="28"/>
          <w:szCs w:val="28"/>
          <w14:textFill>
            <w14:solidFill>
              <w14:schemeClr w14:val="tx1"/>
            </w14:solidFill>
          </w14:textFill>
        </w:rPr>
        <w:t>、破产人、拍卖机构及拍卖平台均不承担拍卖标的瑕疵担保责任；买受人支付保证金并参与竞拍的，即代表买受人已经知晓并接受标的所有瑕疵（包括但不限于标的现状、数量，设施设备完好和能否正常使用、与《竞买公告》所列信息不符、不符合买受人需要等情况），并愿意承担其带来的后果，并以其独立判断决定自愿以现状竞买本标的；有意者请亲自实地看样，未看样的竞买人视为对拍卖标的实物现状的确认，责任自负；买受人不能因此要求减少成交金额。</w:t>
      </w:r>
    </w:p>
    <w:p w14:paraId="01BFB104">
      <w:pPr>
        <w:pStyle w:val="3"/>
        <w:widowControl/>
        <w:spacing w:beforeAutospacing="0" w:afterAutospacing="0" w:line="360" w:lineRule="auto"/>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xml:space="preserve">     （二）本次网络竞价所涉标的已知的标的属性、抵押、查封、担保等情况已公示，买受人需承担标的存在的其他权利瑕疵和风险。 </w:t>
      </w:r>
    </w:p>
    <w:p w14:paraId="49B41277">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lang w:val="en-US" w:eastAsia="zh-CN"/>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三</w:t>
      </w:r>
      <w:r>
        <w:rPr>
          <w:rFonts w:hint="eastAsia" w:ascii="微软雅黑" w:hAnsi="微软雅黑" w:eastAsia="微软雅黑" w:cs="微软雅黑"/>
          <w:color w:val="000000" w:themeColor="text1"/>
          <w:sz w:val="28"/>
          <w:szCs w:val="28"/>
          <w14:textFill>
            <w14:solidFill>
              <w14:schemeClr w14:val="tx1"/>
            </w14:solidFill>
          </w14:textFill>
        </w:rPr>
        <w:t>）因破产清算程序需要，</w:t>
      </w:r>
      <w:r>
        <w:rPr>
          <w:rFonts w:hint="eastAsia" w:ascii="微软雅黑" w:hAnsi="微软雅黑" w:eastAsia="微软雅黑" w:cs="微软雅黑"/>
          <w:color w:val="000000" w:themeColor="text1"/>
          <w:sz w:val="28"/>
          <w:szCs w:val="28"/>
          <w:lang w:eastAsia="zh-CN"/>
          <w14:textFill>
            <w14:solidFill>
              <w14:schemeClr w14:val="tx1"/>
            </w14:solidFill>
          </w14:textFill>
        </w:rPr>
        <w:t>管理人</w:t>
      </w:r>
      <w:r>
        <w:rPr>
          <w:rFonts w:hint="eastAsia" w:ascii="微软雅黑" w:hAnsi="微软雅黑" w:eastAsia="微软雅黑" w:cs="微软雅黑"/>
          <w:color w:val="000000" w:themeColor="text1"/>
          <w:sz w:val="28"/>
          <w:szCs w:val="28"/>
          <w14:textFill>
            <w14:solidFill>
              <w14:schemeClr w14:val="tx1"/>
            </w14:solidFill>
          </w14:textFill>
        </w:rPr>
        <w:t>有权在竞价开始前、竞价过程中，撤回、暂缓或中止竞价，并不承担任何责任。因网络或其他不可抗力导致竞价无法正常进行的，</w:t>
      </w:r>
      <w:r>
        <w:rPr>
          <w:rFonts w:hint="eastAsia" w:ascii="微软雅黑" w:hAnsi="微软雅黑" w:eastAsia="微软雅黑" w:cs="微软雅黑"/>
          <w:color w:val="000000" w:themeColor="text1"/>
          <w:sz w:val="28"/>
          <w:szCs w:val="28"/>
          <w:lang w:eastAsia="zh-CN"/>
          <w14:textFill>
            <w14:solidFill>
              <w14:schemeClr w14:val="tx1"/>
            </w14:solidFill>
          </w14:textFill>
        </w:rPr>
        <w:t>管理人</w:t>
      </w:r>
      <w:r>
        <w:rPr>
          <w:rFonts w:hint="eastAsia" w:ascii="微软雅黑" w:hAnsi="微软雅黑" w:eastAsia="微软雅黑" w:cs="微软雅黑"/>
          <w:color w:val="000000" w:themeColor="text1"/>
          <w:sz w:val="28"/>
          <w:szCs w:val="28"/>
          <w14:textFill>
            <w14:solidFill>
              <w14:schemeClr w14:val="tx1"/>
            </w14:solidFill>
          </w14:textFill>
        </w:rPr>
        <w:t>待以上因素消除后视情况决定重新竞价，并不承担因此造成的损失。拍卖成交后，如因破产案件需要无条件撤销本次拍卖结果的，</w:t>
      </w:r>
      <w:r>
        <w:rPr>
          <w:rFonts w:hint="eastAsia" w:ascii="微软雅黑" w:hAnsi="微软雅黑" w:eastAsia="微软雅黑" w:cs="微软雅黑"/>
          <w:color w:val="000000" w:themeColor="text1"/>
          <w:sz w:val="28"/>
          <w:szCs w:val="28"/>
          <w:lang w:eastAsia="zh-CN"/>
          <w14:textFill>
            <w14:solidFill>
              <w14:schemeClr w14:val="tx1"/>
            </w14:solidFill>
          </w14:textFill>
        </w:rPr>
        <w:t>管理人</w:t>
      </w:r>
      <w:r>
        <w:rPr>
          <w:rFonts w:hint="eastAsia" w:ascii="微软雅黑" w:hAnsi="微软雅黑" w:eastAsia="微软雅黑" w:cs="微软雅黑"/>
          <w:color w:val="000000" w:themeColor="text1"/>
          <w:sz w:val="28"/>
          <w:szCs w:val="28"/>
          <w14:textFill>
            <w14:solidFill>
              <w14:schemeClr w14:val="tx1"/>
            </w14:solidFill>
          </w14:textFill>
        </w:rPr>
        <w:t>不承担任何责任，买受人仅有权要求返还已经支付的成交价款，不计利息，且不得主张其他任何权利。</w:t>
      </w:r>
    </w:p>
    <w:p w14:paraId="6350E445">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lang w:val="en-US" w:eastAsia="zh-CN"/>
          <w14:textFill>
            <w14:solidFill>
              <w14:schemeClr w14:val="tx1"/>
            </w14:solidFill>
          </w14:textFill>
        </w:rPr>
      </w:pPr>
      <w:r>
        <w:rPr>
          <w:rFonts w:hint="eastAsia" w:ascii="微软雅黑" w:hAnsi="微软雅黑" w:eastAsia="微软雅黑" w:cs="微软雅黑"/>
          <w:color w:val="000000" w:themeColor="text1"/>
          <w:sz w:val="28"/>
          <w:szCs w:val="28"/>
          <w:lang w:val="en-US" w:eastAsia="zh-CN"/>
          <w14:textFill>
            <w14:solidFill>
              <w14:schemeClr w14:val="tx1"/>
            </w14:solidFill>
          </w14:textFill>
        </w:rPr>
        <w:t>（四）因标的为破产性质，标的成交后，管理人及破产人均不承诺开具发票。</w:t>
      </w:r>
    </w:p>
    <w:p w14:paraId="3638700A">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lang w:val="en-US" w:eastAsia="zh-CN"/>
          <w14:textFill>
            <w14:solidFill>
              <w14:schemeClr w14:val="tx1"/>
            </w14:solidFill>
          </w14:textFill>
        </w:rPr>
      </w:pPr>
      <w:r>
        <w:rPr>
          <w:rFonts w:hint="eastAsia" w:ascii="微软雅黑" w:hAnsi="微软雅黑" w:eastAsia="微软雅黑" w:cs="微软雅黑"/>
          <w:color w:val="000000" w:themeColor="text1"/>
          <w:sz w:val="28"/>
          <w:szCs w:val="28"/>
          <w:lang w:val="en-US" w:eastAsia="zh-CN"/>
          <w14:textFill>
            <w14:solidFill>
              <w14:schemeClr w14:val="tx1"/>
            </w14:solidFill>
          </w14:textFill>
        </w:rPr>
        <w:t>（五）参照法释〔2016〕18号《最高人民法院关于人民法院网络司法拍卖若干问题的规定》，竞买人成功竞得拍卖标的后，将在管理人后台生成相应《网络竞价成功确认书》，确认书中载明实际买受人姓名、网拍竞买号信息，该材料仅为竞价成功确认书，非《拍卖成交确认书》。</w:t>
      </w:r>
    </w:p>
    <w:p w14:paraId="487981CE">
      <w:pPr>
        <w:pStyle w:val="3"/>
        <w:widowControl/>
        <w:spacing w:beforeAutospacing="0" w:afterAutospacing="0" w:line="360" w:lineRule="auto"/>
        <w:rPr>
          <w:rFonts w:hint="eastAsia" w:ascii="微软雅黑" w:hAnsi="微软雅黑" w:eastAsia="微软雅黑" w:cs="微软雅黑"/>
          <w:color w:val="000000" w:themeColor="text1"/>
          <w:sz w:val="28"/>
          <w:szCs w:val="28"/>
          <w:lang w:val="en-US" w:eastAsia="zh-CN"/>
          <w14:textFill>
            <w14:solidFill>
              <w14:schemeClr w14:val="tx1"/>
            </w14:solidFill>
          </w14:textFill>
        </w:rPr>
      </w:pPr>
      <w:r>
        <w:rPr>
          <w:rFonts w:hint="eastAsia" w:ascii="微软雅黑" w:hAnsi="微软雅黑" w:eastAsia="微软雅黑" w:cs="微软雅黑"/>
          <w:color w:val="000000" w:themeColor="text1"/>
          <w:sz w:val="28"/>
          <w:szCs w:val="28"/>
          <w:lang w:val="en-US" w:eastAsia="zh-CN"/>
          <w14:textFill>
            <w14:solidFill>
              <w14:schemeClr w14:val="tx1"/>
            </w14:solidFill>
          </w14:textFill>
        </w:rPr>
        <w:t>     （六）在拍卖竞价前请务必再仔细阅读本管理人发布的《竞买公告》。</w:t>
      </w:r>
    </w:p>
    <w:p w14:paraId="17FAEF55">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p>
    <w:p w14:paraId="153E9277">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本</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竞买</w:t>
      </w:r>
      <w:r>
        <w:rPr>
          <w:rFonts w:hint="eastAsia" w:ascii="微软雅黑" w:hAnsi="微软雅黑" w:eastAsia="微软雅黑" w:cs="微软雅黑"/>
          <w:color w:val="000000" w:themeColor="text1"/>
          <w:sz w:val="28"/>
          <w:szCs w:val="28"/>
          <w14:textFill>
            <w14:solidFill>
              <w14:schemeClr w14:val="tx1"/>
            </w14:solidFill>
          </w14:textFill>
        </w:rPr>
        <w:t>公告</w:t>
      </w:r>
      <w:r>
        <w:rPr>
          <w:rFonts w:hint="eastAsia" w:ascii="微软雅黑" w:hAnsi="微软雅黑" w:eastAsia="微软雅黑" w:cs="微软雅黑"/>
          <w:color w:val="000000" w:themeColor="text1"/>
          <w:sz w:val="28"/>
          <w:szCs w:val="28"/>
          <w:lang w:eastAsia="zh-CN"/>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未尽事宜，请向</w:t>
      </w:r>
      <w:r>
        <w:rPr>
          <w:rFonts w:hint="eastAsia" w:ascii="微软雅黑" w:hAnsi="微软雅黑" w:eastAsia="微软雅黑" w:cs="微软雅黑"/>
          <w:color w:val="000000" w:themeColor="text1"/>
          <w:sz w:val="28"/>
          <w:szCs w:val="28"/>
          <w:lang w:eastAsia="zh-CN"/>
          <w14:textFill>
            <w14:solidFill>
              <w14:schemeClr w14:val="tx1"/>
            </w14:solidFill>
          </w14:textFill>
        </w:rPr>
        <w:t>管理人</w:t>
      </w:r>
      <w:r>
        <w:rPr>
          <w:rFonts w:hint="eastAsia" w:ascii="微软雅黑" w:hAnsi="微软雅黑" w:eastAsia="微软雅黑" w:cs="微软雅黑"/>
          <w:color w:val="000000" w:themeColor="text1"/>
          <w:sz w:val="28"/>
          <w:szCs w:val="28"/>
          <w14:textFill>
            <w14:solidFill>
              <w14:schemeClr w14:val="tx1"/>
            </w14:solidFill>
          </w14:textFill>
        </w:rPr>
        <w:t>咨询</w:t>
      </w:r>
    </w:p>
    <w:p w14:paraId="7A958ABB">
      <w:pPr>
        <w:pStyle w:val="3"/>
        <w:keepNext w:val="0"/>
        <w:keepLines w:val="0"/>
        <w:pageBreakBefore w:val="0"/>
        <w:widowControl/>
        <w:kinsoku/>
        <w:wordWrap w:val="0"/>
        <w:overflowPunct/>
        <w:topLinePunct w:val="0"/>
        <w:autoSpaceDE/>
        <w:autoSpaceDN/>
        <w:bidi w:val="0"/>
        <w:adjustRightInd/>
        <w:snapToGrid/>
        <w:spacing w:beforeAutospacing="0" w:afterAutospacing="0" w:line="360" w:lineRule="auto"/>
        <w:ind w:firstLine="560" w:firstLineChars="200"/>
        <w:jc w:val="both"/>
        <w:textAlignment w:val="auto"/>
        <w:rPr>
          <w:rFonts w:hint="default" w:ascii="微软雅黑" w:hAnsi="微软雅黑" w:eastAsia="微软雅黑" w:cs="微软雅黑"/>
          <w:color w:val="000000"/>
          <w:sz w:val="28"/>
          <w:szCs w:val="28"/>
          <w:lang w:val="en-US" w:eastAsia="zh-CN"/>
        </w:rPr>
      </w:pPr>
      <w:bookmarkStart w:id="0" w:name="_Hlk159835787"/>
      <w:r>
        <w:rPr>
          <w:rFonts w:hint="eastAsia" w:ascii="微软雅黑" w:hAnsi="微软雅黑" w:eastAsia="微软雅黑" w:cs="微软雅黑"/>
          <w:color w:val="000000" w:themeColor="text1"/>
          <w:sz w:val="28"/>
          <w:szCs w:val="28"/>
          <w:lang w:eastAsia="zh-CN"/>
          <w14:textFill>
            <w14:solidFill>
              <w14:schemeClr w14:val="tx1"/>
            </w14:solidFill>
          </w14:textFill>
        </w:rPr>
        <w:t>管理人</w:t>
      </w:r>
      <w:r>
        <w:rPr>
          <w:rFonts w:hint="eastAsia" w:ascii="微软雅黑" w:hAnsi="微软雅黑" w:eastAsia="微软雅黑" w:cs="微软雅黑"/>
          <w:color w:val="000000" w:themeColor="text1"/>
          <w:sz w:val="28"/>
          <w:szCs w:val="28"/>
          <w14:textFill>
            <w14:solidFill>
              <w14:schemeClr w14:val="tx1"/>
            </w14:solidFill>
          </w14:textFill>
        </w:rPr>
        <w:t>咨询电话：</w:t>
      </w:r>
      <w:bookmarkEnd w:id="0"/>
      <w:r>
        <w:rPr>
          <w:rFonts w:hint="eastAsia" w:ascii="微软雅黑" w:hAnsi="微软雅黑" w:eastAsia="微软雅黑" w:cs="微软雅黑"/>
          <w:color w:val="000000"/>
          <w:sz w:val="28"/>
          <w:szCs w:val="28"/>
          <w:lang w:val="en-US" w:eastAsia="zh-CN"/>
        </w:rPr>
        <w:t>袁老师18323501587</w:t>
      </w:r>
    </w:p>
    <w:p w14:paraId="6464D765">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重庆众兴拍卖有限公司：</w:t>
      </w:r>
      <w:r>
        <w:rPr>
          <w:rFonts w:hint="eastAsia" w:ascii="微软雅黑" w:hAnsi="微软雅黑" w:eastAsia="微软雅黑" w:cs="微软雅黑"/>
          <w:color w:val="000000"/>
          <w:sz w:val="28"/>
          <w:szCs w:val="28"/>
          <w:lang w:val="en-US" w:eastAsia="zh-CN"/>
        </w:rPr>
        <w:t>谢老师13667611656</w:t>
      </w:r>
    </w:p>
    <w:p w14:paraId="533CDD21">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淘宝技术咨询：400-822-2870 </w:t>
      </w:r>
    </w:p>
    <w:p w14:paraId="077FF183">
      <w:pPr>
        <w:pStyle w:val="3"/>
        <w:widowControl/>
        <w:spacing w:beforeAutospacing="0" w:afterAutospacing="0" w:line="360" w:lineRule="auto"/>
        <w:ind w:firstLine="560" w:firstLineChars="200"/>
        <w:rPr>
          <w:rFonts w:hint="eastAsia" w:ascii="微软雅黑" w:hAnsi="微软雅黑" w:eastAsia="微软雅黑" w:cs="微软雅黑"/>
          <w:color w:val="000000" w:themeColor="text1"/>
          <w:sz w:val="28"/>
          <w:szCs w:val="28"/>
          <w14:textFill>
            <w14:solidFill>
              <w14:schemeClr w14:val="tx1"/>
            </w14:solidFill>
          </w14:textFill>
        </w:rPr>
      </w:pPr>
    </w:p>
    <w:p w14:paraId="0321FB2C">
      <w:pPr>
        <w:bidi w:val="0"/>
        <w:jc w:val="right"/>
        <w:rPr>
          <w:rFonts w:hint="eastAsia" w:ascii="微软雅黑" w:hAnsi="微软雅黑" w:eastAsia="微软雅黑" w:cs="微软雅黑"/>
          <w:color w:val="000000" w:themeColor="text1"/>
          <w:kern w:val="0"/>
          <w:sz w:val="28"/>
          <w:szCs w:val="28"/>
          <w:lang w:val="en-US" w:eastAsia="zh-CN" w:bidi="ar-SA"/>
          <w14:textFill>
            <w14:solidFill>
              <w14:schemeClr w14:val="tx1"/>
            </w14:solidFill>
          </w14:textFill>
        </w:rPr>
      </w:pPr>
      <w:r>
        <w:rPr>
          <w:rFonts w:hint="eastAsia"/>
          <w:lang w:val="en-US" w:eastAsia="zh-CN"/>
        </w:rPr>
        <w:t xml:space="preserve">                                   </w:t>
      </w:r>
      <w:r>
        <w:rPr>
          <w:rFonts w:hint="eastAsia" w:ascii="微软雅黑" w:hAnsi="微软雅黑" w:eastAsia="微软雅黑" w:cs="微软雅黑"/>
          <w:color w:val="000000" w:themeColor="text1"/>
          <w:kern w:val="0"/>
          <w:sz w:val="28"/>
          <w:szCs w:val="28"/>
          <w:lang w:val="en-US" w:eastAsia="zh-CN" w:bidi="ar-SA"/>
          <w14:textFill>
            <w14:solidFill>
              <w14:schemeClr w14:val="tx1"/>
            </w14:solidFill>
          </w14:textFill>
        </w:rPr>
        <w:t>重庆创敏科技集团有限责任公司管理人</w:t>
      </w:r>
    </w:p>
    <w:p w14:paraId="5844D94D">
      <w:pPr>
        <w:pStyle w:val="3"/>
        <w:widowControl/>
        <w:spacing w:beforeAutospacing="0" w:afterAutospacing="0" w:line="360" w:lineRule="auto"/>
        <w:ind w:firstLine="4760" w:firstLineChars="1700"/>
        <w:jc w:val="both"/>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sz w:val="28"/>
          <w:szCs w:val="28"/>
        </w:rPr>
        <w:t>                       </w:t>
      </w:r>
      <w:bookmarkStart w:id="1" w:name="_Hlk161756150"/>
      <w:r>
        <w:rPr>
          <w:rFonts w:hint="eastAsia" w:ascii="微软雅黑" w:hAnsi="微软雅黑" w:eastAsia="微软雅黑" w:cs="微软雅黑"/>
          <w:sz w:val="28"/>
          <w:szCs w:val="28"/>
        </w:rPr>
        <w:t>二〇二</w:t>
      </w:r>
      <w:r>
        <w:rPr>
          <w:rFonts w:hint="eastAsia" w:ascii="微软雅黑" w:hAnsi="微软雅黑" w:eastAsia="微软雅黑" w:cs="微软雅黑"/>
          <w:sz w:val="28"/>
          <w:szCs w:val="28"/>
          <w:lang w:val="en-US" w:eastAsia="zh-CN"/>
        </w:rPr>
        <w:t>五</w:t>
      </w:r>
      <w:r>
        <w:rPr>
          <w:rFonts w:hint="eastAsia" w:ascii="微软雅黑" w:hAnsi="微软雅黑" w:eastAsia="微软雅黑" w:cs="微软雅黑"/>
          <w:sz w:val="28"/>
          <w:szCs w:val="28"/>
        </w:rPr>
        <w:t>年</w:t>
      </w:r>
      <w:bookmarkEnd w:id="1"/>
      <w:r>
        <w:rPr>
          <w:rFonts w:hint="eastAsia" w:ascii="微软雅黑" w:hAnsi="微软雅黑" w:eastAsia="微软雅黑" w:cs="微软雅黑"/>
          <w:sz w:val="28"/>
          <w:szCs w:val="28"/>
          <w:lang w:val="en-US" w:eastAsia="zh-CN"/>
        </w:rPr>
        <w:t>八</w:t>
      </w:r>
      <w:r>
        <w:rPr>
          <w:rFonts w:hint="eastAsia" w:ascii="微软雅黑" w:hAnsi="微软雅黑" w:eastAsia="微软雅黑" w:cs="微软雅黑"/>
          <w:sz w:val="28"/>
          <w:szCs w:val="28"/>
        </w:rPr>
        <w:t>月</w:t>
      </w:r>
      <w:r>
        <w:rPr>
          <w:rFonts w:hint="eastAsia" w:ascii="微软雅黑" w:hAnsi="微软雅黑" w:eastAsia="微软雅黑" w:cs="微软雅黑"/>
          <w:sz w:val="28"/>
          <w:szCs w:val="28"/>
          <w:lang w:val="en-US" w:eastAsia="zh-CN"/>
        </w:rPr>
        <w:t>五</w:t>
      </w:r>
      <w:r>
        <w:rPr>
          <w:rFonts w:hint="eastAsia" w:ascii="微软雅黑" w:hAnsi="微软雅黑" w:eastAsia="微软雅黑" w:cs="微软雅黑"/>
          <w:sz w:val="28"/>
          <w:szCs w:val="28"/>
        </w:rPr>
        <w:t>日</w:t>
      </w:r>
    </w:p>
    <w:sectPr>
      <w:pgSz w:w="11906" w:h="16838"/>
      <w:pgMar w:top="986" w:right="1179" w:bottom="930"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00BCA8"/>
    <w:multiLevelType w:val="singleLevel"/>
    <w:tmpl w:val="2700BCA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2NzFkNzE3YzllNmY1ZWQ1NThmZTA0MWU4ZTZiNTYifQ=="/>
  </w:docVars>
  <w:rsids>
    <w:rsidRoot w:val="00292A36"/>
    <w:rsid w:val="000D3DF0"/>
    <w:rsid w:val="00292A36"/>
    <w:rsid w:val="003D1991"/>
    <w:rsid w:val="00530DEB"/>
    <w:rsid w:val="00AE4805"/>
    <w:rsid w:val="00B63025"/>
    <w:rsid w:val="00B87023"/>
    <w:rsid w:val="00DB5340"/>
    <w:rsid w:val="01AD08E0"/>
    <w:rsid w:val="01AD5116"/>
    <w:rsid w:val="01D363CB"/>
    <w:rsid w:val="026B43EB"/>
    <w:rsid w:val="027E5B0E"/>
    <w:rsid w:val="03724869"/>
    <w:rsid w:val="03927C42"/>
    <w:rsid w:val="03CF27DA"/>
    <w:rsid w:val="03F82211"/>
    <w:rsid w:val="041D47D5"/>
    <w:rsid w:val="042E0790"/>
    <w:rsid w:val="04402174"/>
    <w:rsid w:val="0452584B"/>
    <w:rsid w:val="04960E16"/>
    <w:rsid w:val="04E816BC"/>
    <w:rsid w:val="05087233"/>
    <w:rsid w:val="053E0B8B"/>
    <w:rsid w:val="06436049"/>
    <w:rsid w:val="066F6337"/>
    <w:rsid w:val="068648B3"/>
    <w:rsid w:val="077F1302"/>
    <w:rsid w:val="07A81BCB"/>
    <w:rsid w:val="07EB318C"/>
    <w:rsid w:val="080F6C6D"/>
    <w:rsid w:val="08110A1D"/>
    <w:rsid w:val="09222F07"/>
    <w:rsid w:val="09526CCE"/>
    <w:rsid w:val="099C68A7"/>
    <w:rsid w:val="09B25C7A"/>
    <w:rsid w:val="09EF7D1E"/>
    <w:rsid w:val="0A4C64D2"/>
    <w:rsid w:val="0A760013"/>
    <w:rsid w:val="0AD57BB7"/>
    <w:rsid w:val="0B941648"/>
    <w:rsid w:val="0BB87FE9"/>
    <w:rsid w:val="0C917085"/>
    <w:rsid w:val="0D497112"/>
    <w:rsid w:val="0D564F20"/>
    <w:rsid w:val="0E24538F"/>
    <w:rsid w:val="0E6A5E0B"/>
    <w:rsid w:val="0EE24651"/>
    <w:rsid w:val="0F6C69C9"/>
    <w:rsid w:val="0FDB07CE"/>
    <w:rsid w:val="10812CAF"/>
    <w:rsid w:val="10E42958"/>
    <w:rsid w:val="124473D0"/>
    <w:rsid w:val="12476372"/>
    <w:rsid w:val="12924CF2"/>
    <w:rsid w:val="129834EB"/>
    <w:rsid w:val="13793125"/>
    <w:rsid w:val="13A35EFE"/>
    <w:rsid w:val="140D6614"/>
    <w:rsid w:val="14706BA3"/>
    <w:rsid w:val="14856472"/>
    <w:rsid w:val="149C25A5"/>
    <w:rsid w:val="15DC177C"/>
    <w:rsid w:val="1606452C"/>
    <w:rsid w:val="161F618A"/>
    <w:rsid w:val="16C35D91"/>
    <w:rsid w:val="17283764"/>
    <w:rsid w:val="17CA65CA"/>
    <w:rsid w:val="18B31B6D"/>
    <w:rsid w:val="18B86A99"/>
    <w:rsid w:val="194F6D87"/>
    <w:rsid w:val="19665575"/>
    <w:rsid w:val="198943B9"/>
    <w:rsid w:val="19AE222D"/>
    <w:rsid w:val="1A371E92"/>
    <w:rsid w:val="1A9B6333"/>
    <w:rsid w:val="1B3B1C95"/>
    <w:rsid w:val="1B402F36"/>
    <w:rsid w:val="1CCC1A9E"/>
    <w:rsid w:val="1CD76412"/>
    <w:rsid w:val="1CF269E8"/>
    <w:rsid w:val="1CFA7196"/>
    <w:rsid w:val="1D2859E8"/>
    <w:rsid w:val="1D3E4EF4"/>
    <w:rsid w:val="1E23519B"/>
    <w:rsid w:val="1E7E3C6A"/>
    <w:rsid w:val="1EE927AE"/>
    <w:rsid w:val="1F2E7E96"/>
    <w:rsid w:val="1F9C084C"/>
    <w:rsid w:val="1FA66951"/>
    <w:rsid w:val="1FDA1374"/>
    <w:rsid w:val="1FED4A5D"/>
    <w:rsid w:val="2135573C"/>
    <w:rsid w:val="21E12E8E"/>
    <w:rsid w:val="229E2B2D"/>
    <w:rsid w:val="22D65F93"/>
    <w:rsid w:val="22E35EA8"/>
    <w:rsid w:val="232E5C5F"/>
    <w:rsid w:val="233B6C6C"/>
    <w:rsid w:val="238C6E29"/>
    <w:rsid w:val="23CA5BC7"/>
    <w:rsid w:val="23F52C20"/>
    <w:rsid w:val="24A1573C"/>
    <w:rsid w:val="25284504"/>
    <w:rsid w:val="25B272E5"/>
    <w:rsid w:val="25BC1C48"/>
    <w:rsid w:val="261A1EB1"/>
    <w:rsid w:val="26924C59"/>
    <w:rsid w:val="26F471BF"/>
    <w:rsid w:val="273D57D8"/>
    <w:rsid w:val="274719E5"/>
    <w:rsid w:val="277B6C51"/>
    <w:rsid w:val="27984A0A"/>
    <w:rsid w:val="27E8279E"/>
    <w:rsid w:val="28011B94"/>
    <w:rsid w:val="281F201A"/>
    <w:rsid w:val="28983C59"/>
    <w:rsid w:val="292B6918"/>
    <w:rsid w:val="2976210D"/>
    <w:rsid w:val="29D86924"/>
    <w:rsid w:val="2A113EF2"/>
    <w:rsid w:val="2AA35184"/>
    <w:rsid w:val="2B2C528F"/>
    <w:rsid w:val="2BE710A1"/>
    <w:rsid w:val="2C71346F"/>
    <w:rsid w:val="2CEB5BCC"/>
    <w:rsid w:val="2D0214C9"/>
    <w:rsid w:val="2D675FF9"/>
    <w:rsid w:val="2D6912C6"/>
    <w:rsid w:val="2DB33930"/>
    <w:rsid w:val="2DEC59F1"/>
    <w:rsid w:val="2DF5500F"/>
    <w:rsid w:val="2E2639A9"/>
    <w:rsid w:val="2E6C016A"/>
    <w:rsid w:val="2EB80933"/>
    <w:rsid w:val="2ED03388"/>
    <w:rsid w:val="2F2462CE"/>
    <w:rsid w:val="2F633D0C"/>
    <w:rsid w:val="30FF0C3A"/>
    <w:rsid w:val="312C0D1D"/>
    <w:rsid w:val="31342342"/>
    <w:rsid w:val="31BF62E9"/>
    <w:rsid w:val="32936626"/>
    <w:rsid w:val="32A5494A"/>
    <w:rsid w:val="337F1800"/>
    <w:rsid w:val="337F2DAD"/>
    <w:rsid w:val="33B30C7E"/>
    <w:rsid w:val="33F366CF"/>
    <w:rsid w:val="347B2CCE"/>
    <w:rsid w:val="351B0470"/>
    <w:rsid w:val="35250261"/>
    <w:rsid w:val="352B0654"/>
    <w:rsid w:val="35391612"/>
    <w:rsid w:val="36272C8E"/>
    <w:rsid w:val="36A75B93"/>
    <w:rsid w:val="37515F68"/>
    <w:rsid w:val="377E4FAF"/>
    <w:rsid w:val="379A445E"/>
    <w:rsid w:val="383A69FC"/>
    <w:rsid w:val="3870241E"/>
    <w:rsid w:val="38703BC9"/>
    <w:rsid w:val="38AF6970"/>
    <w:rsid w:val="39A95418"/>
    <w:rsid w:val="3A476BFD"/>
    <w:rsid w:val="3B42570C"/>
    <w:rsid w:val="3B456E4D"/>
    <w:rsid w:val="3B6162CB"/>
    <w:rsid w:val="3B684117"/>
    <w:rsid w:val="3C3D73AE"/>
    <w:rsid w:val="3C547ECE"/>
    <w:rsid w:val="3CD75465"/>
    <w:rsid w:val="3CFF1F47"/>
    <w:rsid w:val="3D193084"/>
    <w:rsid w:val="3DE40DDA"/>
    <w:rsid w:val="3E096CD8"/>
    <w:rsid w:val="3E587436"/>
    <w:rsid w:val="3E972346"/>
    <w:rsid w:val="3EFE22F1"/>
    <w:rsid w:val="3FA6268D"/>
    <w:rsid w:val="3FDE4F78"/>
    <w:rsid w:val="3FFC78BC"/>
    <w:rsid w:val="400F146B"/>
    <w:rsid w:val="403C5A07"/>
    <w:rsid w:val="406B1E48"/>
    <w:rsid w:val="41963439"/>
    <w:rsid w:val="41B15F81"/>
    <w:rsid w:val="41BC3913"/>
    <w:rsid w:val="41E97960"/>
    <w:rsid w:val="41EA1401"/>
    <w:rsid w:val="425103BC"/>
    <w:rsid w:val="42A76A5F"/>
    <w:rsid w:val="42DF4645"/>
    <w:rsid w:val="43412E23"/>
    <w:rsid w:val="436D444D"/>
    <w:rsid w:val="43CE6D1E"/>
    <w:rsid w:val="44A16DF8"/>
    <w:rsid w:val="44C3095A"/>
    <w:rsid w:val="45046BCE"/>
    <w:rsid w:val="454B3A6E"/>
    <w:rsid w:val="45511989"/>
    <w:rsid w:val="467B6B5D"/>
    <w:rsid w:val="469A260F"/>
    <w:rsid w:val="46CC5899"/>
    <w:rsid w:val="48095F38"/>
    <w:rsid w:val="48200163"/>
    <w:rsid w:val="48F60141"/>
    <w:rsid w:val="4914434F"/>
    <w:rsid w:val="491A65E6"/>
    <w:rsid w:val="49331971"/>
    <w:rsid w:val="496438D9"/>
    <w:rsid w:val="498A7E60"/>
    <w:rsid w:val="49CD147E"/>
    <w:rsid w:val="49D871B8"/>
    <w:rsid w:val="4B4F7686"/>
    <w:rsid w:val="4BE807F1"/>
    <w:rsid w:val="4C1F0C9D"/>
    <w:rsid w:val="4C2B14ED"/>
    <w:rsid w:val="4C4A325A"/>
    <w:rsid w:val="4CAF57B3"/>
    <w:rsid w:val="4CE52F83"/>
    <w:rsid w:val="4D1137F0"/>
    <w:rsid w:val="4D907392"/>
    <w:rsid w:val="4DB60D55"/>
    <w:rsid w:val="4E710113"/>
    <w:rsid w:val="4EB33021"/>
    <w:rsid w:val="4EC15329"/>
    <w:rsid w:val="4EF322CA"/>
    <w:rsid w:val="4FAF3BB5"/>
    <w:rsid w:val="4FEB6B02"/>
    <w:rsid w:val="50554E01"/>
    <w:rsid w:val="50C90919"/>
    <w:rsid w:val="50D50245"/>
    <w:rsid w:val="50FB36C9"/>
    <w:rsid w:val="51676892"/>
    <w:rsid w:val="51990609"/>
    <w:rsid w:val="51A02811"/>
    <w:rsid w:val="51B318A1"/>
    <w:rsid w:val="52A766E1"/>
    <w:rsid w:val="530879CB"/>
    <w:rsid w:val="532C5903"/>
    <w:rsid w:val="536A624A"/>
    <w:rsid w:val="546F6837"/>
    <w:rsid w:val="554D5B69"/>
    <w:rsid w:val="554F18E1"/>
    <w:rsid w:val="559F72DD"/>
    <w:rsid w:val="56366F1E"/>
    <w:rsid w:val="56520719"/>
    <w:rsid w:val="566D415E"/>
    <w:rsid w:val="567C6D10"/>
    <w:rsid w:val="56F76347"/>
    <w:rsid w:val="571E55B1"/>
    <w:rsid w:val="572E6AA7"/>
    <w:rsid w:val="573B564B"/>
    <w:rsid w:val="57495477"/>
    <w:rsid w:val="58275C4A"/>
    <w:rsid w:val="59081A9C"/>
    <w:rsid w:val="591A2206"/>
    <w:rsid w:val="59BD32BD"/>
    <w:rsid w:val="5A3E4927"/>
    <w:rsid w:val="5AE86B5C"/>
    <w:rsid w:val="5AF15483"/>
    <w:rsid w:val="5B0F734F"/>
    <w:rsid w:val="5BA82509"/>
    <w:rsid w:val="5BE024AC"/>
    <w:rsid w:val="5D0660DC"/>
    <w:rsid w:val="5D5516EB"/>
    <w:rsid w:val="5DB965A5"/>
    <w:rsid w:val="5DEB6731"/>
    <w:rsid w:val="5DF11DAE"/>
    <w:rsid w:val="5E473E17"/>
    <w:rsid w:val="5E7D197F"/>
    <w:rsid w:val="5F37766E"/>
    <w:rsid w:val="5F531FCE"/>
    <w:rsid w:val="5F56421A"/>
    <w:rsid w:val="5F7F1015"/>
    <w:rsid w:val="600C2CBA"/>
    <w:rsid w:val="60323B97"/>
    <w:rsid w:val="6065322B"/>
    <w:rsid w:val="60723E27"/>
    <w:rsid w:val="60786190"/>
    <w:rsid w:val="60790B2E"/>
    <w:rsid w:val="60A056E7"/>
    <w:rsid w:val="60AF592A"/>
    <w:rsid w:val="61F3516C"/>
    <w:rsid w:val="6249622F"/>
    <w:rsid w:val="626C5880"/>
    <w:rsid w:val="62E76112"/>
    <w:rsid w:val="63422A85"/>
    <w:rsid w:val="636131F4"/>
    <w:rsid w:val="63660B63"/>
    <w:rsid w:val="639C10C7"/>
    <w:rsid w:val="646A4C99"/>
    <w:rsid w:val="64E076E5"/>
    <w:rsid w:val="65117B37"/>
    <w:rsid w:val="65177EEB"/>
    <w:rsid w:val="654F3237"/>
    <w:rsid w:val="654F4018"/>
    <w:rsid w:val="657874A5"/>
    <w:rsid w:val="658D4BE7"/>
    <w:rsid w:val="66990C0E"/>
    <w:rsid w:val="66CF63DE"/>
    <w:rsid w:val="66F56CBC"/>
    <w:rsid w:val="66FB7A23"/>
    <w:rsid w:val="670C7632"/>
    <w:rsid w:val="67537C7E"/>
    <w:rsid w:val="67E0207F"/>
    <w:rsid w:val="68773461"/>
    <w:rsid w:val="68E048D2"/>
    <w:rsid w:val="68EB5564"/>
    <w:rsid w:val="69052362"/>
    <w:rsid w:val="69CA7029"/>
    <w:rsid w:val="69E15F06"/>
    <w:rsid w:val="6A413ACE"/>
    <w:rsid w:val="6B1D30B9"/>
    <w:rsid w:val="6B4450F3"/>
    <w:rsid w:val="6BCA7AAC"/>
    <w:rsid w:val="6CC053C2"/>
    <w:rsid w:val="6CCF08E7"/>
    <w:rsid w:val="6CFB330E"/>
    <w:rsid w:val="6CFF1222"/>
    <w:rsid w:val="6D1104D2"/>
    <w:rsid w:val="6D317DF2"/>
    <w:rsid w:val="6D80784F"/>
    <w:rsid w:val="6D81228A"/>
    <w:rsid w:val="6E773350"/>
    <w:rsid w:val="6F0F4163"/>
    <w:rsid w:val="6F401B5A"/>
    <w:rsid w:val="6F434296"/>
    <w:rsid w:val="6FE97807"/>
    <w:rsid w:val="705D7044"/>
    <w:rsid w:val="70E92F39"/>
    <w:rsid w:val="71003D20"/>
    <w:rsid w:val="71032BC3"/>
    <w:rsid w:val="71251F73"/>
    <w:rsid w:val="71327C95"/>
    <w:rsid w:val="71493231"/>
    <w:rsid w:val="71D07109"/>
    <w:rsid w:val="72343C84"/>
    <w:rsid w:val="72384C68"/>
    <w:rsid w:val="72774D92"/>
    <w:rsid w:val="728E32B4"/>
    <w:rsid w:val="73191DEE"/>
    <w:rsid w:val="73376795"/>
    <w:rsid w:val="74822CE1"/>
    <w:rsid w:val="761D0038"/>
    <w:rsid w:val="763E6A8D"/>
    <w:rsid w:val="76564426"/>
    <w:rsid w:val="76610A50"/>
    <w:rsid w:val="76671DF5"/>
    <w:rsid w:val="769467B3"/>
    <w:rsid w:val="76EE53D5"/>
    <w:rsid w:val="77526E0C"/>
    <w:rsid w:val="77E3618D"/>
    <w:rsid w:val="77E95495"/>
    <w:rsid w:val="782D12A8"/>
    <w:rsid w:val="78746E01"/>
    <w:rsid w:val="787607DC"/>
    <w:rsid w:val="78870046"/>
    <w:rsid w:val="78F82B40"/>
    <w:rsid w:val="794640FF"/>
    <w:rsid w:val="799B612E"/>
    <w:rsid w:val="7A401675"/>
    <w:rsid w:val="7A95542D"/>
    <w:rsid w:val="7C2E06B8"/>
    <w:rsid w:val="7C3C2310"/>
    <w:rsid w:val="7C413482"/>
    <w:rsid w:val="7C733C43"/>
    <w:rsid w:val="7D9D293A"/>
    <w:rsid w:val="7DAC4DB8"/>
    <w:rsid w:val="7DE40569"/>
    <w:rsid w:val="7E064C0C"/>
    <w:rsid w:val="7E135B71"/>
    <w:rsid w:val="7E226F1F"/>
    <w:rsid w:val="7E733F1A"/>
    <w:rsid w:val="7EB55543"/>
    <w:rsid w:val="7EC00FD6"/>
    <w:rsid w:val="7ED603FB"/>
    <w:rsid w:val="7EFE5F4B"/>
    <w:rsid w:val="7F1903B6"/>
    <w:rsid w:val="7F527082"/>
    <w:rsid w:val="7F7676A4"/>
    <w:rsid w:val="7F9F6E3D"/>
    <w:rsid w:val="7FDB30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character" w:styleId="8">
    <w:name w:val="Hyperlink"/>
    <w:basedOn w:val="6"/>
    <w:qFormat/>
    <w:uiPriority w:val="0"/>
    <w:rPr>
      <w:color w:val="0000FF"/>
      <w:u w:val="single"/>
    </w:rPr>
  </w:style>
  <w:style w:type="character" w:customStyle="1" w:styleId="9">
    <w:name w:val="font01"/>
    <w:basedOn w:val="6"/>
    <w:qFormat/>
    <w:uiPriority w:val="0"/>
    <w:rPr>
      <w:rFonts w:hint="eastAsia" w:ascii="宋体" w:hAnsi="宋体" w:eastAsia="宋体" w:cs="宋体"/>
      <w:color w:val="000000"/>
      <w:sz w:val="22"/>
      <w:szCs w:val="22"/>
      <w:u w:val="none"/>
    </w:rPr>
  </w:style>
  <w:style w:type="character" w:customStyle="1" w:styleId="10">
    <w:name w:val="font21"/>
    <w:basedOn w:val="6"/>
    <w:qFormat/>
    <w:uiPriority w:val="0"/>
    <w:rPr>
      <w:rFonts w:ascii="宋体" w:hAnsi="宋体" w:eastAsia="宋体" w:cs="宋体"/>
      <w:color w:val="000000"/>
      <w:sz w:val="24"/>
      <w:szCs w:val="24"/>
      <w:u w:val="none"/>
    </w:rPr>
  </w:style>
  <w:style w:type="table" w:customStyle="1" w:styleId="1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7304</Words>
  <Characters>8034</Characters>
  <Lines>58</Lines>
  <Paragraphs>16</Paragraphs>
  <TotalTime>9</TotalTime>
  <ScaleCrop>false</ScaleCrop>
  <LinksUpToDate>false</LinksUpToDate>
  <CharactersWithSpaces>8241</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2024-09-23T08:43:00Z</dcterms:created>
  <dc:creator>Administrator</dc:creator>
  <cp:lastModifiedBy>潘建强</cp:lastModifiedBy>
  <dcterms:modified xsi:type="dcterms:W3CDTF">2025-08-05T03:19:49Z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435379654ECD4EC08AA238DB4AA9C467_13</vt:lpwstr>
  </property>
  <property fmtid="{D5CDD505-2E9C-101B-9397-08002B2CF9AE}" pid="4" name="KSOTemplateDocerSaveRecord">
    <vt:lpwstr>eyJoZGlkIjoiNmUwMDBhZmUzNDRjMjNlZTI5MTQ4YjFhNTU1NzczZGEiLCJ1c2VySWQiOiI2MTAwNDIzMjAifQ==</vt:lpwstr>
  </property>
</Properties>
</file>