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A01B74">
      <w:pPr>
        <w:pStyle w:val="2"/>
        <w:bidi w:val="0"/>
        <w:jc w:val="center"/>
        <w:rPr>
          <w:rFonts w:hint="eastAsia"/>
        </w:rPr>
      </w:pPr>
      <w:r>
        <w:rPr>
          <w:rFonts w:hint="eastAsia"/>
        </w:rPr>
        <w:t>湖南春绿农业科技有限公司破产重整投资人招募公告</w:t>
      </w:r>
    </w:p>
    <w:p w14:paraId="57C7EED4">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为维护企业营运价值，保护债权人合法权益，推动湖南春绿农业科技有限公司（以下简称“春绿公司”）重整成功，湖南春绿农业科技有限公司管理人依据《中华人民共和国企业破产法》及相关法律规定，由湖南春绿农业科技有限公司管理人面向社会公开招募重整投资人。具体事项公告如下：</w:t>
      </w:r>
    </w:p>
    <w:p w14:paraId="2D581613">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一、公司概况及重整背景</w:t>
      </w:r>
    </w:p>
    <w:p w14:paraId="35E50228">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（一）企业基本情况</w:t>
      </w:r>
    </w:p>
    <w:p w14:paraId="0B8E4704">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春绿公司成立于2011年，注册资本500万元，注册地位于</w:t>
      </w:r>
      <w:r>
        <w:rPr>
          <w:rFonts w:hint="eastAsia" w:ascii="仿宋" w:hAnsi="仿宋" w:eastAsia="仿宋" w:cs="仿宋"/>
          <w:sz w:val="32"/>
          <w:szCs w:val="32"/>
          <w:lang w:eastAsia="zh-CN"/>
        </w:rPr>
        <w:t>湖南省道县</w:t>
      </w:r>
      <w:r>
        <w:rPr>
          <w:rFonts w:hint="eastAsia" w:ascii="仿宋" w:hAnsi="仿宋" w:eastAsia="仿宋" w:cs="仿宋"/>
          <w:sz w:val="32"/>
          <w:szCs w:val="32"/>
        </w:rPr>
        <w:t>，曾获“湖南省农业产业化龙头企业”“高新技术企业”等资质。公司主营红薯等农产品的种植、深加工及销售，拥有无尘无菌车间、淀粉生产线、冷链物流等基础设施，具备年产红薯淀粉0.8万吨的生产能力。</w:t>
      </w:r>
    </w:p>
    <w:p w14:paraId="33803607">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（二）重整原因</w:t>
      </w:r>
    </w:p>
    <w:p w14:paraId="5740671A">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因经营策略失误、债务负担过重及市场环境变化，公司陷入流动性危机，资产负债率高达517.93%，负债总额约4350.6万元。2023年11月启动预重整，但债务重组及投资人引入未达预期</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通道侗族自治县人民法院于2025年1月20日作出（2023）湘1230破申4号民事裁定书，同年3月3日 作出（2025）湘1230破1号决定书指定湖南维清律师事务所担任湖南春绿农业科技有限公司管理人</w:t>
      </w:r>
      <w:r>
        <w:rPr>
          <w:rFonts w:hint="eastAsia" w:ascii="仿宋" w:hAnsi="仿宋" w:eastAsia="仿宋" w:cs="仿宋"/>
          <w:sz w:val="32"/>
          <w:szCs w:val="32"/>
        </w:rPr>
        <w:t>依法转入正式重整程序。</w:t>
      </w:r>
    </w:p>
    <w:p w14:paraId="5645E8FE">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（三）核心重整价值</w:t>
      </w:r>
    </w:p>
    <w:p w14:paraId="62C7533B">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1. 技术优势：</w:t>
      </w:r>
    </w:p>
    <w:p w14:paraId="72E1F0CC">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掌握红薯副产物高附加值提取技术（如红薯素、罗汉果苷等），中试数据显示每吨红薯渣可提取价值8万元/</w:t>
      </w:r>
      <w:r>
        <w:rPr>
          <w:rFonts w:hint="eastAsia" w:ascii="仿宋" w:hAnsi="仿宋" w:eastAsia="仿宋" w:cs="仿宋"/>
          <w:sz w:val="32"/>
          <w:szCs w:val="32"/>
          <w:lang w:val="en-US" w:eastAsia="zh-CN"/>
        </w:rPr>
        <w:t>10</w:t>
      </w:r>
      <w:r>
        <w:rPr>
          <w:rFonts w:hint="eastAsia" w:ascii="仿宋" w:hAnsi="仿宋" w:eastAsia="仿宋" w:cs="仿宋"/>
          <w:sz w:val="32"/>
          <w:szCs w:val="32"/>
        </w:rPr>
        <w:t>公斤的红薯素，具备产业化潜力。</w:t>
      </w:r>
    </w:p>
    <w:p w14:paraId="7DA89B24">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拥有专利布局策略，包括提取工艺设备实用新型专利、“天然色素-甜味剂”组合专利等。</w:t>
      </w:r>
    </w:p>
    <w:p w14:paraId="41FBE504">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2. 资产基础：</w:t>
      </w:r>
    </w:p>
    <w:p w14:paraId="70E7B98A">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微软雅黑" w:hAnsi="微软雅黑" w:eastAsia="微软雅黑" w:cs="微软雅黑"/>
          <w:sz w:val="32"/>
          <w:szCs w:val="32"/>
        </w:rPr>
        <w:t>①</w:t>
      </w:r>
      <w:r>
        <w:rPr>
          <w:rFonts w:hint="eastAsia" w:ascii="仿宋" w:hAnsi="仿宋" w:eastAsia="仿宋" w:cs="仿宋"/>
          <w:sz w:val="32"/>
          <w:szCs w:val="32"/>
        </w:rPr>
        <w:t>土地使用权11.47亩（工业出让用地，价值约30万元/亩）；</w:t>
      </w:r>
    </w:p>
    <w:p w14:paraId="6E7E175A">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微软雅黑" w:hAnsi="微软雅黑" w:eastAsia="微软雅黑" w:cs="微软雅黑"/>
          <w:sz w:val="32"/>
          <w:szCs w:val="32"/>
        </w:rPr>
        <w:t>②</w:t>
      </w:r>
      <w:r>
        <w:rPr>
          <w:rFonts w:hint="eastAsia" w:ascii="仿宋" w:hAnsi="仿宋" w:eastAsia="仿宋" w:cs="仿宋"/>
          <w:sz w:val="32"/>
          <w:szCs w:val="32"/>
        </w:rPr>
        <w:t>厂房、无菌车间及生产线设备（原值约500万元）；</w:t>
      </w:r>
    </w:p>
    <w:p w14:paraId="78D483D9">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微软雅黑" w:hAnsi="微软雅黑" w:eastAsia="微软雅黑" w:cs="微软雅黑"/>
          <w:sz w:val="32"/>
          <w:szCs w:val="32"/>
        </w:rPr>
        <w:t>③</w:t>
      </w:r>
      <w:r>
        <w:rPr>
          <w:rFonts w:hint="eastAsia" w:ascii="仿宋" w:hAnsi="仿宋" w:eastAsia="仿宋" w:cs="仿宋"/>
          <w:sz w:val="32"/>
          <w:szCs w:val="32"/>
        </w:rPr>
        <w:t>对外投资通道万佛山旅游产品开发有限公司66.67%股权。</w:t>
      </w:r>
    </w:p>
    <w:p w14:paraId="678DD8AF">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3. 市场前景：</w:t>
      </w:r>
    </w:p>
    <w:p w14:paraId="66A5464B">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红薯深加工产品（母婴米粉、运动能量胶、美妆原料等）毛利润达65%</w:t>
      </w:r>
      <w:r>
        <w:rPr>
          <w:rFonts w:hint="eastAsia" w:ascii="仿宋" w:hAnsi="仿宋" w:eastAsia="仿宋" w:cs="仿宋"/>
          <w:sz w:val="32"/>
          <w:szCs w:val="32"/>
          <w:lang w:eastAsia="zh-CN"/>
        </w:rPr>
        <w:t>～</w:t>
      </w:r>
      <w:r>
        <w:rPr>
          <w:rFonts w:hint="eastAsia" w:ascii="仿宋" w:hAnsi="仿宋" w:eastAsia="仿宋" w:cs="仿宋"/>
          <w:sz w:val="32"/>
          <w:szCs w:val="32"/>
        </w:rPr>
        <w:t>80%；</w:t>
      </w:r>
    </w:p>
    <w:p w14:paraId="6ED287D3">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功能性食品及工业淀粉市场需求旺盛，预计年营收可达1.45亿元（红薯素8000万元、罗汉果苷2000万元）。</w:t>
      </w:r>
    </w:p>
    <w:p w14:paraId="372D236C">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 xml:space="preserve">二、行业前景 </w:t>
      </w:r>
    </w:p>
    <w:p w14:paraId="2A26C7FF">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 xml:space="preserve">（一）淀粉产业 </w:t>
      </w:r>
    </w:p>
    <w:p w14:paraId="5B8C33AC">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 xml:space="preserve">食品领域：国内淀粉年消费量超 3000 万吨（2022 年数据），红薯淀粉占比约 8%，高端无添加产品缺口达 120 万吨 / 年。功能性淀粉在健康食品领域增速达 15% 以上。 </w:t>
      </w:r>
    </w:p>
    <w:p w14:paraId="0A4F0812">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 xml:space="preserve">工业领域：造纸行业年消耗淀粉超 400 万吨（2023 年工信部数据），生物可降解塑料产业推动改性淀粉需求，预计 2025 年市场规模达 50 亿元。 </w:t>
      </w:r>
    </w:p>
    <w:p w14:paraId="32DBF3DA">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 xml:space="preserve">军工航天：高纯度淀粉（≥99.9%）用于特种胶粘剂、航天食品包装，单吨价格可达普通淀粉的 20 倍（保密采购渠道）。 </w:t>
      </w:r>
    </w:p>
    <w:p w14:paraId="27754ECE">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 xml:space="preserve">（二）红薯制品市场 </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53"/>
        <w:gridCol w:w="1866"/>
        <w:gridCol w:w="1463"/>
        <w:gridCol w:w="3140"/>
      </w:tblGrid>
      <w:tr w14:paraId="1899C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3" w:type="dxa"/>
          </w:tcPr>
          <w:p w14:paraId="22192A9F">
            <w:pPr>
              <w:rPr>
                <w:sz w:val="28"/>
                <w:szCs w:val="28"/>
              </w:rPr>
            </w:pPr>
            <w:r>
              <w:rPr>
                <w:sz w:val="28"/>
                <w:szCs w:val="28"/>
              </w:rPr>
              <w:t xml:space="preserve">产品类别  </w:t>
            </w:r>
          </w:p>
        </w:tc>
        <w:tc>
          <w:tcPr>
            <w:tcW w:w="1866" w:type="dxa"/>
          </w:tcPr>
          <w:p w14:paraId="2FA73DD6">
            <w:pPr>
              <w:rPr>
                <w:sz w:val="28"/>
                <w:szCs w:val="28"/>
              </w:rPr>
            </w:pPr>
            <w:r>
              <w:rPr>
                <w:sz w:val="28"/>
                <w:szCs w:val="28"/>
              </w:rPr>
              <w:t>规模（亿元）</w:t>
            </w:r>
          </w:p>
        </w:tc>
        <w:tc>
          <w:tcPr>
            <w:tcW w:w="1463" w:type="dxa"/>
          </w:tcPr>
          <w:p w14:paraId="17B94B80">
            <w:pPr>
              <w:rPr>
                <w:sz w:val="28"/>
                <w:szCs w:val="28"/>
              </w:rPr>
            </w:pPr>
            <w:r>
              <w:rPr>
                <w:sz w:val="28"/>
                <w:szCs w:val="28"/>
              </w:rPr>
              <w:t xml:space="preserve">年增长率 </w:t>
            </w:r>
          </w:p>
        </w:tc>
        <w:tc>
          <w:tcPr>
            <w:tcW w:w="3140" w:type="dxa"/>
          </w:tcPr>
          <w:p w14:paraId="0E2C10E2">
            <w:pPr>
              <w:rPr>
                <w:sz w:val="28"/>
                <w:szCs w:val="28"/>
              </w:rPr>
            </w:pPr>
            <w:r>
              <w:rPr>
                <w:sz w:val="28"/>
                <w:szCs w:val="28"/>
              </w:rPr>
              <w:t xml:space="preserve"> 竞争痛点  </w:t>
            </w:r>
          </w:p>
        </w:tc>
      </w:tr>
      <w:tr w14:paraId="5D6B1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3" w:type="dxa"/>
          </w:tcPr>
          <w:p w14:paraId="49F6EE41">
            <w:pPr>
              <w:rPr>
                <w:sz w:val="28"/>
                <w:szCs w:val="28"/>
              </w:rPr>
            </w:pPr>
            <w:r>
              <w:rPr>
                <w:sz w:val="28"/>
                <w:szCs w:val="28"/>
              </w:rPr>
              <w:t xml:space="preserve">传统粉丝/粉条 </w:t>
            </w:r>
          </w:p>
        </w:tc>
        <w:tc>
          <w:tcPr>
            <w:tcW w:w="1866" w:type="dxa"/>
          </w:tcPr>
          <w:p w14:paraId="1BDD8D29">
            <w:pPr>
              <w:rPr>
                <w:sz w:val="28"/>
                <w:szCs w:val="28"/>
              </w:rPr>
            </w:pPr>
            <w:r>
              <w:rPr>
                <w:rFonts w:hint="eastAsia"/>
                <w:sz w:val="28"/>
                <w:szCs w:val="28"/>
              </w:rPr>
              <w:t>180</w:t>
            </w:r>
          </w:p>
        </w:tc>
        <w:tc>
          <w:tcPr>
            <w:tcW w:w="1463" w:type="dxa"/>
          </w:tcPr>
          <w:p w14:paraId="5B39D9CB">
            <w:pPr>
              <w:rPr>
                <w:sz w:val="28"/>
                <w:szCs w:val="28"/>
              </w:rPr>
            </w:pPr>
            <w:r>
              <w:rPr>
                <w:rFonts w:hint="eastAsia"/>
                <w:sz w:val="28"/>
                <w:szCs w:val="28"/>
              </w:rPr>
              <w:t>4%</w:t>
            </w:r>
          </w:p>
        </w:tc>
        <w:tc>
          <w:tcPr>
            <w:tcW w:w="3140" w:type="dxa"/>
          </w:tcPr>
          <w:p w14:paraId="1033FAE7">
            <w:pPr>
              <w:rPr>
                <w:sz w:val="28"/>
                <w:szCs w:val="28"/>
              </w:rPr>
            </w:pPr>
            <w:r>
              <w:rPr>
                <w:rFonts w:hint="eastAsia"/>
                <w:sz w:val="28"/>
                <w:szCs w:val="28"/>
              </w:rPr>
              <w:t>低价劣质品充斥市场</w:t>
            </w:r>
          </w:p>
        </w:tc>
      </w:tr>
      <w:tr w14:paraId="5D970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3" w:type="dxa"/>
          </w:tcPr>
          <w:p w14:paraId="1A5AC743">
            <w:pPr>
              <w:rPr>
                <w:sz w:val="28"/>
                <w:szCs w:val="28"/>
              </w:rPr>
            </w:pPr>
            <w:r>
              <w:rPr>
                <w:sz w:val="28"/>
                <w:szCs w:val="28"/>
              </w:rPr>
              <w:t xml:space="preserve">方便粉丝 </w:t>
            </w:r>
          </w:p>
        </w:tc>
        <w:tc>
          <w:tcPr>
            <w:tcW w:w="1866" w:type="dxa"/>
          </w:tcPr>
          <w:p w14:paraId="3D656D62">
            <w:pPr>
              <w:rPr>
                <w:sz w:val="28"/>
                <w:szCs w:val="28"/>
              </w:rPr>
            </w:pPr>
            <w:r>
              <w:rPr>
                <w:rFonts w:hint="eastAsia"/>
                <w:sz w:val="28"/>
                <w:szCs w:val="28"/>
              </w:rPr>
              <w:t>85</w:t>
            </w:r>
          </w:p>
        </w:tc>
        <w:tc>
          <w:tcPr>
            <w:tcW w:w="1463" w:type="dxa"/>
          </w:tcPr>
          <w:p w14:paraId="388AAF3D">
            <w:pPr>
              <w:rPr>
                <w:sz w:val="28"/>
                <w:szCs w:val="28"/>
              </w:rPr>
            </w:pPr>
            <w:r>
              <w:rPr>
                <w:rFonts w:hint="eastAsia"/>
                <w:sz w:val="28"/>
                <w:szCs w:val="28"/>
              </w:rPr>
              <w:t>12%</w:t>
            </w:r>
          </w:p>
        </w:tc>
        <w:tc>
          <w:tcPr>
            <w:tcW w:w="3140" w:type="dxa"/>
          </w:tcPr>
          <w:p w14:paraId="2D2926CE">
            <w:pPr>
              <w:rPr>
                <w:sz w:val="28"/>
                <w:szCs w:val="28"/>
              </w:rPr>
            </w:pPr>
            <w:r>
              <w:rPr>
                <w:rFonts w:hint="eastAsia"/>
                <w:sz w:val="28"/>
                <w:szCs w:val="28"/>
              </w:rPr>
              <w:t>添加剂滥用舆情风险</w:t>
            </w:r>
          </w:p>
        </w:tc>
      </w:tr>
      <w:tr w14:paraId="452E7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3" w:type="dxa"/>
          </w:tcPr>
          <w:p w14:paraId="28504546">
            <w:pPr>
              <w:rPr>
                <w:sz w:val="28"/>
                <w:szCs w:val="28"/>
              </w:rPr>
            </w:pPr>
            <w:r>
              <w:rPr>
                <w:sz w:val="28"/>
                <w:szCs w:val="28"/>
              </w:rPr>
              <w:t xml:space="preserve">红薯烘焙食品 </w:t>
            </w:r>
          </w:p>
        </w:tc>
        <w:tc>
          <w:tcPr>
            <w:tcW w:w="1866" w:type="dxa"/>
          </w:tcPr>
          <w:p w14:paraId="7CFB23C6">
            <w:pPr>
              <w:rPr>
                <w:sz w:val="28"/>
                <w:szCs w:val="28"/>
              </w:rPr>
            </w:pPr>
            <w:r>
              <w:rPr>
                <w:rFonts w:hint="eastAsia"/>
                <w:sz w:val="28"/>
                <w:szCs w:val="28"/>
              </w:rPr>
              <w:t>35</w:t>
            </w:r>
          </w:p>
        </w:tc>
        <w:tc>
          <w:tcPr>
            <w:tcW w:w="1463" w:type="dxa"/>
          </w:tcPr>
          <w:p w14:paraId="73C97018">
            <w:pPr>
              <w:rPr>
                <w:sz w:val="28"/>
                <w:szCs w:val="28"/>
              </w:rPr>
            </w:pPr>
            <w:r>
              <w:rPr>
                <w:rFonts w:hint="eastAsia"/>
                <w:sz w:val="28"/>
                <w:szCs w:val="28"/>
              </w:rPr>
              <w:t>18%</w:t>
            </w:r>
          </w:p>
        </w:tc>
        <w:tc>
          <w:tcPr>
            <w:tcW w:w="3140" w:type="dxa"/>
          </w:tcPr>
          <w:p w14:paraId="4FF096CC">
            <w:pPr>
              <w:rPr>
                <w:sz w:val="28"/>
                <w:szCs w:val="28"/>
              </w:rPr>
            </w:pPr>
            <w:r>
              <w:rPr>
                <w:rFonts w:hint="eastAsia"/>
                <w:sz w:val="28"/>
                <w:szCs w:val="28"/>
              </w:rPr>
              <w:t>口感改良技术瓶颈</w:t>
            </w:r>
          </w:p>
        </w:tc>
      </w:tr>
      <w:tr w14:paraId="049FB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3" w:type="dxa"/>
          </w:tcPr>
          <w:p w14:paraId="4B586B15">
            <w:pPr>
              <w:rPr>
                <w:sz w:val="28"/>
                <w:szCs w:val="28"/>
              </w:rPr>
            </w:pPr>
            <w:r>
              <w:rPr>
                <w:sz w:val="28"/>
                <w:szCs w:val="28"/>
              </w:rPr>
              <w:t xml:space="preserve">功能提取物 </w:t>
            </w:r>
          </w:p>
        </w:tc>
        <w:tc>
          <w:tcPr>
            <w:tcW w:w="1866" w:type="dxa"/>
          </w:tcPr>
          <w:p w14:paraId="358F006F">
            <w:pPr>
              <w:rPr>
                <w:sz w:val="28"/>
                <w:szCs w:val="28"/>
              </w:rPr>
            </w:pPr>
            <w:r>
              <w:rPr>
                <w:sz w:val="28"/>
                <w:szCs w:val="28"/>
              </w:rPr>
              <w:t>50</w:t>
            </w:r>
          </w:p>
        </w:tc>
        <w:tc>
          <w:tcPr>
            <w:tcW w:w="1463" w:type="dxa"/>
          </w:tcPr>
          <w:p w14:paraId="489A9EBB">
            <w:pPr>
              <w:rPr>
                <w:sz w:val="28"/>
                <w:szCs w:val="28"/>
              </w:rPr>
            </w:pPr>
            <w:r>
              <w:rPr>
                <w:sz w:val="28"/>
                <w:szCs w:val="28"/>
              </w:rPr>
              <w:t>4.5%</w:t>
            </w:r>
          </w:p>
        </w:tc>
        <w:tc>
          <w:tcPr>
            <w:tcW w:w="3140" w:type="dxa"/>
          </w:tcPr>
          <w:p w14:paraId="771637F2">
            <w:pPr>
              <w:rPr>
                <w:sz w:val="28"/>
                <w:szCs w:val="28"/>
              </w:rPr>
            </w:pPr>
            <w:r>
              <w:rPr>
                <w:rFonts w:hint="eastAsia"/>
                <w:sz w:val="28"/>
                <w:szCs w:val="28"/>
              </w:rPr>
              <w:t>国内产业优化率不足5%</w:t>
            </w:r>
          </w:p>
        </w:tc>
      </w:tr>
    </w:tbl>
    <w:p w14:paraId="034D9C9B">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b/>
          <w:bCs/>
          <w:sz w:val="32"/>
          <w:szCs w:val="32"/>
        </w:rPr>
      </w:pPr>
      <w:r>
        <w:rPr>
          <w:rFonts w:hint="eastAsia" w:ascii="仿宋" w:hAnsi="仿宋" w:eastAsia="仿宋" w:cs="仿宋"/>
          <w:sz w:val="32"/>
          <w:szCs w:val="32"/>
          <w:lang w:val="en-US" w:eastAsia="zh-CN"/>
        </w:rPr>
        <w:t>三</w:t>
      </w:r>
      <w:r>
        <w:rPr>
          <w:rFonts w:hint="eastAsia" w:ascii="仿宋" w:hAnsi="仿宋" w:eastAsia="仿宋" w:cs="仿宋"/>
          <w:b/>
          <w:bCs/>
          <w:sz w:val="32"/>
          <w:szCs w:val="32"/>
        </w:rPr>
        <w:t>、招募目的及要求</w:t>
      </w:r>
    </w:p>
    <w:p w14:paraId="25EF1A28">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（一）招募目的</w:t>
      </w:r>
    </w:p>
    <w:p w14:paraId="5BD697F3">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通过引入战略投资人，优化债务结构、注入资金及管理资源，推动春绿公司实现技术转化、产能升级和市场拓展，恢复持续经营能力。</w:t>
      </w:r>
    </w:p>
    <w:p w14:paraId="5B175F85">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（二）投资人资格</w:t>
      </w:r>
    </w:p>
    <w:p w14:paraId="75F424CC">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1. 具备充足资金实力和良好信誉，可提供不低于3000万元的投资能力证明；</w:t>
      </w:r>
    </w:p>
    <w:p w14:paraId="797593C5">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2. 优先考虑农业科技、食品加工、生物医药等领域企业或产业基金；</w:t>
      </w:r>
    </w:p>
    <w:p w14:paraId="50C8339E">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3. 承诺遵守破产重整程序，尊重债权人权益，支持乡村振兴及地方经济发展。</w:t>
      </w:r>
    </w:p>
    <w:p w14:paraId="0DC3FE93">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四</w:t>
      </w:r>
      <w:r>
        <w:rPr>
          <w:rFonts w:hint="eastAsia" w:ascii="仿宋" w:hAnsi="仿宋" w:eastAsia="仿宋" w:cs="仿宋"/>
          <w:b/>
          <w:bCs/>
          <w:sz w:val="32"/>
          <w:szCs w:val="32"/>
        </w:rPr>
        <w:t>、投资方式及权益保障</w:t>
      </w:r>
    </w:p>
    <w:p w14:paraId="7F7C5A2B">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1.投资模式：可采取股权收购、</w:t>
      </w:r>
      <w:r>
        <w:rPr>
          <w:rFonts w:hint="eastAsia" w:ascii="仿宋" w:hAnsi="仿宋" w:eastAsia="仿宋" w:cs="仿宋"/>
          <w:sz w:val="32"/>
          <w:szCs w:val="32"/>
          <w:lang w:val="en-US" w:eastAsia="zh-CN"/>
        </w:rPr>
        <w:t>债权融资、股权融资和债权融资结合</w:t>
      </w:r>
      <w:r>
        <w:rPr>
          <w:rFonts w:hint="eastAsia" w:ascii="仿宋" w:hAnsi="仿宋" w:eastAsia="仿宋" w:cs="仿宋"/>
          <w:sz w:val="32"/>
          <w:szCs w:val="32"/>
        </w:rPr>
        <w:t>等灵活方式。</w:t>
      </w:r>
    </w:p>
    <w:p w14:paraId="3BF3226F">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2. 权益保障：</w:t>
      </w:r>
    </w:p>
    <w:p w14:paraId="24F09CD1">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投资人可优先承接公司核心资产（土地、专利、生产线）；</w:t>
      </w:r>
    </w:p>
    <w:p w14:paraId="5017D42E">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享受地方政府对农业龙头企业的政策支持（税收减免、贴息贷款等）；</w:t>
      </w:r>
    </w:p>
    <w:p w14:paraId="50092B4B">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通过技术转化实现高附加值产品快速变现，投资回收期预计3年内。</w:t>
      </w:r>
    </w:p>
    <w:p w14:paraId="4F746A85">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五</w:t>
      </w:r>
      <w:r>
        <w:rPr>
          <w:rFonts w:hint="eastAsia" w:ascii="仿宋" w:hAnsi="仿宋" w:eastAsia="仿宋" w:cs="仿宋"/>
          <w:b/>
          <w:bCs/>
          <w:sz w:val="32"/>
          <w:szCs w:val="32"/>
        </w:rPr>
        <w:t>、报名及尽职调查</w:t>
      </w:r>
    </w:p>
    <w:p w14:paraId="666A4F95">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1. 报名时间：即日起至2025年</w:t>
      </w:r>
      <w:r>
        <w:rPr>
          <w:rFonts w:hint="eastAsia" w:ascii="仿宋" w:hAnsi="仿宋" w:eastAsia="仿宋" w:cs="仿宋"/>
          <w:sz w:val="32"/>
          <w:szCs w:val="32"/>
          <w:lang w:val="en-US" w:eastAsia="zh-CN"/>
        </w:rPr>
        <w:t>11</w:t>
      </w:r>
      <w:bookmarkStart w:id="0" w:name="_GoBack"/>
      <w:bookmarkEnd w:id="0"/>
      <w:r>
        <w:rPr>
          <w:rFonts w:hint="eastAsia" w:ascii="仿宋" w:hAnsi="仿宋" w:eastAsia="仿宋" w:cs="仿宋"/>
          <w:sz w:val="32"/>
          <w:szCs w:val="32"/>
        </w:rPr>
        <w:t>月</w:t>
      </w:r>
      <w:r>
        <w:rPr>
          <w:rFonts w:hint="eastAsia" w:ascii="仿宋" w:hAnsi="仿宋" w:eastAsia="仿宋" w:cs="仿宋"/>
          <w:sz w:val="32"/>
          <w:szCs w:val="32"/>
          <w:lang w:val="en-US" w:eastAsia="zh-CN"/>
        </w:rPr>
        <w:t>30</w:t>
      </w:r>
      <w:r>
        <w:rPr>
          <w:rFonts w:hint="eastAsia" w:ascii="仿宋" w:hAnsi="仿宋" w:eastAsia="仿宋" w:cs="仿宋"/>
          <w:sz w:val="32"/>
          <w:szCs w:val="32"/>
        </w:rPr>
        <w:t>日。</w:t>
      </w:r>
    </w:p>
    <w:p w14:paraId="16D1C8F5">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2. 提交材料：</w:t>
      </w:r>
    </w:p>
    <w:p w14:paraId="0D3B29A7">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微软雅黑" w:hAnsi="微软雅黑" w:eastAsia="微软雅黑" w:cs="微软雅黑"/>
          <w:sz w:val="32"/>
          <w:szCs w:val="32"/>
        </w:rPr>
        <w:t>①</w:t>
      </w:r>
      <w:r>
        <w:rPr>
          <w:rFonts w:hint="eastAsia" w:ascii="仿宋" w:hAnsi="仿宋" w:eastAsia="仿宋" w:cs="仿宋"/>
          <w:sz w:val="32"/>
          <w:szCs w:val="32"/>
        </w:rPr>
        <w:t>投资人主体资格证明、资信证明及投资意向书；</w:t>
      </w:r>
    </w:p>
    <w:p w14:paraId="61511B6C">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微软雅黑" w:hAnsi="微软雅黑" w:eastAsia="微软雅黑" w:cs="微软雅黑"/>
          <w:sz w:val="32"/>
          <w:szCs w:val="32"/>
        </w:rPr>
        <w:t>②</w:t>
      </w:r>
      <w:r>
        <w:rPr>
          <w:rFonts w:hint="eastAsia" w:ascii="仿宋" w:hAnsi="仿宋" w:eastAsia="仿宋" w:cs="仿宋"/>
          <w:sz w:val="32"/>
          <w:szCs w:val="32"/>
        </w:rPr>
        <w:t>初步重整方案（包括投资金额、债务处理计划、经营规划等）。</w:t>
      </w:r>
    </w:p>
    <w:p w14:paraId="7E9493BC">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3. 尽职调查：管理人将配合意向投资人开展实地考察及资料核查。</w:t>
      </w:r>
    </w:p>
    <w:p w14:paraId="1E6C1E1C">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六</w:t>
      </w:r>
      <w:r>
        <w:rPr>
          <w:rFonts w:hint="eastAsia" w:ascii="仿宋" w:hAnsi="仿宋" w:eastAsia="仿宋" w:cs="仿宋"/>
          <w:b/>
          <w:bCs/>
          <w:sz w:val="32"/>
          <w:szCs w:val="32"/>
        </w:rPr>
        <w:t>、遴选及重整计划</w:t>
      </w:r>
    </w:p>
    <w:p w14:paraId="52BCCC37">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1. 管理人将根据投资方案可行性、资金实力、社会效益等综合遴选投资人；</w:t>
      </w:r>
    </w:p>
    <w:p w14:paraId="595683D7">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2. 中选投资人需配合制定重整计划草案，提交债权人会议表决及法院批准。</w:t>
      </w:r>
    </w:p>
    <w:p w14:paraId="511E7B61">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七</w:t>
      </w:r>
      <w:r>
        <w:rPr>
          <w:rFonts w:hint="eastAsia" w:ascii="仿宋" w:hAnsi="仿宋" w:eastAsia="仿宋" w:cs="仿宋"/>
          <w:b/>
          <w:bCs/>
          <w:sz w:val="32"/>
          <w:szCs w:val="32"/>
        </w:rPr>
        <w:t xml:space="preserve">、其他事项 </w:t>
      </w:r>
    </w:p>
    <w:p w14:paraId="7C2F1646">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1、本次招募投资人的最终解释权归春绿公司管理人所有。</w:t>
      </w:r>
    </w:p>
    <w:p w14:paraId="4D0D8DFF">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2、投资人应自行承担参与本次重整投资所产生的全部费用，无论投资结果如何，春绿公司及管理人不承担任何费用。</w:t>
      </w:r>
    </w:p>
    <w:p w14:paraId="5C4C88AC">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联系方式</w:t>
      </w:r>
    </w:p>
    <w:p w14:paraId="6B7EC859">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湖南春绿农业科技有限公司管理人</w:t>
      </w:r>
    </w:p>
    <w:p w14:paraId="2F320C83">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地址：</w:t>
      </w:r>
      <w:r>
        <w:rPr>
          <w:rFonts w:hint="eastAsia" w:ascii="仿宋" w:hAnsi="仿宋" w:eastAsia="仿宋" w:cs="仿宋"/>
          <w:sz w:val="32"/>
          <w:szCs w:val="32"/>
          <w:lang w:val="en-US" w:eastAsia="zh-CN"/>
        </w:rPr>
        <w:t xml:space="preserve">怀化市鹤城区迎丰东路656号汽车东站三楼  </w:t>
      </w:r>
    </w:p>
    <w:p w14:paraId="020F2F25">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湖南维清律师事务所</w:t>
      </w:r>
    </w:p>
    <w:p w14:paraId="2A23F223">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联系人：朱世友</w:t>
      </w:r>
      <w:r>
        <w:rPr>
          <w:rFonts w:hint="eastAsia" w:ascii="仿宋" w:hAnsi="仿宋" w:eastAsia="仿宋" w:cs="仿宋"/>
          <w:sz w:val="32"/>
          <w:szCs w:val="32"/>
          <w:lang w:val="en-US" w:eastAsia="zh-CN"/>
        </w:rPr>
        <w:t xml:space="preserve">     田俐莎</w:t>
      </w:r>
    </w:p>
    <w:p w14:paraId="7370C5CD">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电话：07</w:t>
      </w:r>
      <w:r>
        <w:rPr>
          <w:rFonts w:hint="eastAsia" w:ascii="仿宋" w:hAnsi="仿宋" w:eastAsia="仿宋" w:cs="仿宋"/>
          <w:sz w:val="32"/>
          <w:szCs w:val="32"/>
          <w:lang w:val="en-US" w:eastAsia="zh-CN"/>
        </w:rPr>
        <w:t>45</w:t>
      </w:r>
      <w:r>
        <w:rPr>
          <w:rFonts w:hint="eastAsia" w:ascii="仿宋" w:hAnsi="仿宋" w:eastAsia="仿宋" w:cs="仿宋"/>
          <w:sz w:val="32"/>
          <w:szCs w:val="32"/>
        </w:rPr>
        <w:t>-</w:t>
      </w:r>
      <w:r>
        <w:rPr>
          <w:rFonts w:hint="eastAsia" w:ascii="仿宋" w:hAnsi="仿宋" w:eastAsia="仿宋" w:cs="仿宋"/>
          <w:sz w:val="32"/>
          <w:szCs w:val="32"/>
          <w:lang w:val="en-US" w:eastAsia="zh-CN"/>
        </w:rPr>
        <w:t>2311035  13307457126 15367570808</w:t>
      </w:r>
    </w:p>
    <w:p w14:paraId="581DFC72">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邮箱：</w:t>
      </w:r>
      <w:r>
        <w:rPr>
          <w:rFonts w:hint="eastAsia" w:ascii="仿宋" w:hAnsi="仿宋" w:eastAsia="仿宋" w:cs="仿宋"/>
          <w:sz w:val="32"/>
          <w:szCs w:val="32"/>
          <w:lang w:val="en-US" w:eastAsia="zh-CN"/>
        </w:rPr>
        <w:t>hn173com</w:t>
      </w:r>
      <w:r>
        <w:rPr>
          <w:rFonts w:hint="eastAsia" w:ascii="仿宋" w:hAnsi="仿宋" w:eastAsia="仿宋" w:cs="仿宋"/>
          <w:sz w:val="32"/>
          <w:szCs w:val="32"/>
        </w:rPr>
        <w:t>@</w:t>
      </w:r>
      <w:r>
        <w:rPr>
          <w:rFonts w:hint="eastAsia" w:ascii="仿宋" w:hAnsi="仿宋" w:eastAsia="仿宋" w:cs="仿宋"/>
          <w:sz w:val="32"/>
          <w:szCs w:val="32"/>
          <w:lang w:val="en-US" w:eastAsia="zh-CN"/>
        </w:rPr>
        <w:t>163</w:t>
      </w:r>
      <w:r>
        <w:rPr>
          <w:rFonts w:hint="eastAsia" w:ascii="仿宋" w:hAnsi="仿宋" w:eastAsia="仿宋" w:cs="仿宋"/>
          <w:sz w:val="32"/>
          <w:szCs w:val="32"/>
        </w:rPr>
        <w:t>.com</w:t>
      </w:r>
    </w:p>
    <w:p w14:paraId="11821BE6">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right"/>
        <w:textAlignment w:val="auto"/>
        <w:rPr>
          <w:rFonts w:hint="eastAsia" w:ascii="仿宋" w:hAnsi="仿宋" w:eastAsia="仿宋" w:cs="仿宋"/>
          <w:sz w:val="32"/>
          <w:szCs w:val="32"/>
        </w:rPr>
      </w:pPr>
      <w:r>
        <w:rPr>
          <w:rFonts w:hint="eastAsia" w:ascii="仿宋" w:hAnsi="仿宋" w:eastAsia="仿宋" w:cs="仿宋"/>
          <w:sz w:val="32"/>
          <w:szCs w:val="32"/>
        </w:rPr>
        <w:t>湖南春绿农业科技有限公司管理人</w:t>
      </w:r>
    </w:p>
    <w:p w14:paraId="29872830">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right"/>
        <w:textAlignment w:val="auto"/>
        <w:rPr>
          <w:rFonts w:hint="eastAsia" w:ascii="仿宋" w:hAnsi="仿宋" w:eastAsia="仿宋" w:cs="仿宋"/>
          <w:sz w:val="32"/>
          <w:szCs w:val="32"/>
        </w:rPr>
      </w:pPr>
      <w:r>
        <w:rPr>
          <w:rFonts w:hint="eastAsia" w:ascii="仿宋" w:hAnsi="仿宋" w:eastAsia="仿宋" w:cs="仿宋"/>
          <w:sz w:val="32"/>
          <w:szCs w:val="32"/>
        </w:rPr>
        <w:t>2025年</w:t>
      </w:r>
      <w:r>
        <w:rPr>
          <w:rFonts w:hint="eastAsia" w:ascii="仿宋" w:hAnsi="仿宋" w:eastAsia="仿宋" w:cs="仿宋"/>
          <w:sz w:val="32"/>
          <w:szCs w:val="32"/>
          <w:lang w:val="en-US" w:eastAsia="zh-CN"/>
        </w:rPr>
        <w:t>7</w:t>
      </w:r>
      <w:r>
        <w:rPr>
          <w:rFonts w:hint="eastAsia" w:ascii="仿宋" w:hAnsi="仿宋" w:eastAsia="仿宋" w:cs="仿宋"/>
          <w:sz w:val="32"/>
          <w:szCs w:val="32"/>
        </w:rPr>
        <w:t>月</w:t>
      </w:r>
      <w:r>
        <w:rPr>
          <w:rFonts w:hint="eastAsia" w:ascii="仿宋" w:hAnsi="仿宋" w:eastAsia="仿宋" w:cs="仿宋"/>
          <w:sz w:val="32"/>
          <w:szCs w:val="32"/>
          <w:lang w:val="en-US" w:eastAsia="zh-CN"/>
        </w:rPr>
        <w:t>25</w:t>
      </w:r>
      <w:r>
        <w:rPr>
          <w:rFonts w:hint="eastAsia" w:ascii="仿宋" w:hAnsi="仿宋" w:eastAsia="仿宋" w:cs="仿宋"/>
          <w:sz w:val="32"/>
          <w:szCs w:val="32"/>
        </w:rPr>
        <w:t>日</w:t>
      </w:r>
    </w:p>
    <w:p w14:paraId="7338AF8F">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right"/>
        <w:textAlignment w:val="auto"/>
        <w:rPr>
          <w:rFonts w:hint="eastAsia" w:ascii="仿宋" w:hAnsi="仿宋" w:eastAsia="仿宋" w:cs="仿宋"/>
          <w:sz w:val="32"/>
          <w:szCs w:val="32"/>
        </w:rPr>
      </w:pPr>
    </w:p>
    <w:p w14:paraId="124D9636">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right"/>
        <w:textAlignment w:val="auto"/>
        <w:rPr>
          <w:rFonts w:hint="eastAsia" w:ascii="仿宋" w:hAnsi="仿宋" w:eastAsia="仿宋" w:cs="仿宋"/>
          <w:sz w:val="32"/>
          <w:szCs w:val="32"/>
        </w:rPr>
      </w:pPr>
    </w:p>
    <w:p w14:paraId="7FC562F7">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right"/>
        <w:textAlignment w:val="auto"/>
        <w:rPr>
          <w:rFonts w:hint="eastAsia" w:ascii="仿宋" w:hAnsi="仿宋" w:eastAsia="仿宋" w:cs="仿宋"/>
          <w:sz w:val="32"/>
          <w:szCs w:val="32"/>
        </w:rPr>
      </w:pPr>
    </w:p>
    <w:p w14:paraId="3B4D0E34">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right"/>
        <w:textAlignment w:val="auto"/>
        <w:rPr>
          <w:rFonts w:hint="eastAsia" w:ascii="仿宋" w:hAnsi="仿宋" w:eastAsia="仿宋" w:cs="仿宋"/>
          <w:sz w:val="32"/>
          <w:szCs w:val="32"/>
        </w:rPr>
      </w:pPr>
    </w:p>
    <w:p w14:paraId="55EABFE7">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right"/>
        <w:textAlignment w:val="auto"/>
        <w:rPr>
          <w:rFonts w:hint="eastAsia" w:ascii="仿宋" w:hAnsi="仿宋" w:eastAsia="仿宋" w:cs="仿宋"/>
          <w:sz w:val="32"/>
          <w:szCs w:val="32"/>
        </w:rPr>
      </w:pPr>
    </w:p>
    <w:p w14:paraId="35DD24C7">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right"/>
        <w:textAlignment w:val="auto"/>
        <w:rPr>
          <w:rFonts w:hint="eastAsia" w:ascii="仿宋" w:hAnsi="仿宋" w:eastAsia="仿宋" w:cs="仿宋"/>
          <w:sz w:val="32"/>
          <w:szCs w:val="32"/>
        </w:rPr>
      </w:pPr>
    </w:p>
    <w:p w14:paraId="67F6AF15">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right"/>
        <w:textAlignment w:val="auto"/>
        <w:rPr>
          <w:rFonts w:hint="eastAsia" w:ascii="仿宋" w:hAnsi="仿宋" w:eastAsia="仿宋" w:cs="仿宋"/>
          <w:sz w:val="32"/>
          <w:szCs w:val="32"/>
        </w:rPr>
      </w:pPr>
    </w:p>
    <w:p w14:paraId="7FF74DBB">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附件：</w:t>
      </w:r>
    </w:p>
    <w:p w14:paraId="7B2114B3">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1. 春绿公司资产清单及债权表；</w:t>
      </w:r>
    </w:p>
    <w:p w14:paraId="3BD793FA">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2. 红薯素、罗汉果苷等产品技术可行性报告；</w:t>
      </w:r>
    </w:p>
    <w:p w14:paraId="4490255D">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 xml:space="preserve">3. </w:t>
      </w:r>
      <w:r>
        <w:rPr>
          <w:rFonts w:hint="eastAsia" w:ascii="仿宋" w:hAnsi="仿宋" w:eastAsia="仿宋" w:cs="仿宋"/>
          <w:sz w:val="32"/>
          <w:szCs w:val="32"/>
          <w:lang w:eastAsia="zh-CN"/>
        </w:rPr>
        <w:t>通道侗族自治县</w:t>
      </w:r>
      <w:r>
        <w:rPr>
          <w:rFonts w:hint="eastAsia" w:ascii="仿宋" w:hAnsi="仿宋" w:eastAsia="仿宋" w:cs="仿宋"/>
          <w:sz w:val="32"/>
          <w:szCs w:val="32"/>
        </w:rPr>
        <w:t>农业扶持政策摘要。</w:t>
      </w:r>
    </w:p>
    <w:p w14:paraId="7D2FD5EF">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特别声明：本公告解释权归管理人所有，欢迎社会各界积极参与，助力企业重生！</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29C8FB">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8A7864">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B8A7864">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D13AC7"/>
    <w:rsid w:val="074E2925"/>
    <w:rsid w:val="2FD13AC7"/>
    <w:rsid w:val="30AE1C6C"/>
    <w:rsid w:val="342F211F"/>
    <w:rsid w:val="36EE7787"/>
    <w:rsid w:val="3DD4297E"/>
    <w:rsid w:val="452847AC"/>
    <w:rsid w:val="47F45E92"/>
    <w:rsid w:val="51414544"/>
    <w:rsid w:val="531E509E"/>
    <w:rsid w:val="58951D01"/>
    <w:rsid w:val="5BDA600F"/>
    <w:rsid w:val="61E15E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1810</Words>
  <Characters>1989</Characters>
  <Lines>0</Lines>
  <Paragraphs>0</Paragraphs>
  <TotalTime>22</TotalTime>
  <ScaleCrop>false</ScaleCrop>
  <LinksUpToDate>false</LinksUpToDate>
  <CharactersWithSpaces>2051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2025-03-25T14:39:00Z</dcterms:created>
  <dc:creator>朱世友律师</dc:creator>
  <cp:lastModifiedBy>朱世友律师</cp:lastModifiedBy>
  <dcterms:modified xsi:type="dcterms:W3CDTF">2025-08-25T04:21:06Z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238D862399E74CEABF4F424EF7A70A3F_13</vt:lpwstr>
  </property>
  <property fmtid="{D5CDD505-2E9C-101B-9397-08002B2CF9AE}" pid="4" name="KSOTemplateDocerSaveRecord">
    <vt:lpwstr>eyJoZGlkIjoiYjRiZGYzMmU5YjZhNDczMTc5OWRlYzRhYzRmODA4NTkiLCJ1c2VySWQiOiIxMzUwNjE4NjEifQ==</vt:lpwstr>
  </property>
</Properties>
</file>