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FFD558">
      <w:pPr>
        <w:spacing w:line="301" w:lineRule="auto"/>
        <w:rPr>
          <w:rFonts w:ascii="Arial"/>
          <w:sz w:val="21"/>
        </w:rPr>
      </w:pPr>
    </w:p>
    <w:p w14:paraId="54043272">
      <w:pPr>
        <w:spacing w:before="143" w:line="263" w:lineRule="auto"/>
        <w:ind w:left="3436" w:hanging="3430"/>
        <w:outlineLvl w:val="0"/>
        <w:rPr>
          <w:rFonts w:ascii="宋体" w:hAnsi="宋体" w:eastAsia="宋体" w:cs="宋体"/>
          <w:sz w:val="51"/>
          <w:szCs w:val="51"/>
        </w:rPr>
      </w:pPr>
      <w:r>
        <w:rPr>
          <w:rFonts w:ascii="宋体" w:hAnsi="宋体" w:eastAsia="宋体" w:cs="宋体"/>
          <w:b/>
          <w:bCs/>
          <w:spacing w:val="-34"/>
          <w:sz w:val="44"/>
          <w:szCs w:val="44"/>
        </w:rPr>
        <w:t>福</w:t>
      </w:r>
      <w:r>
        <w:rPr>
          <w:rFonts w:ascii="宋体" w:hAnsi="宋体" w:eastAsia="宋体" w:cs="宋体"/>
          <w:spacing w:val="78"/>
          <w:sz w:val="44"/>
          <w:szCs w:val="44"/>
        </w:rPr>
        <w:t xml:space="preserve"> </w:t>
      </w:r>
      <w:r>
        <w:rPr>
          <w:rFonts w:ascii="宋体" w:hAnsi="宋体" w:eastAsia="宋体" w:cs="宋体"/>
          <w:b/>
          <w:bCs/>
          <w:spacing w:val="-34"/>
          <w:sz w:val="44"/>
          <w:szCs w:val="44"/>
        </w:rPr>
        <w:t>建</w:t>
      </w:r>
      <w:r>
        <w:rPr>
          <w:rFonts w:ascii="宋体" w:hAnsi="宋体" w:eastAsia="宋体" w:cs="宋体"/>
          <w:spacing w:val="75"/>
          <w:sz w:val="44"/>
          <w:szCs w:val="44"/>
        </w:rPr>
        <w:t xml:space="preserve"> </w:t>
      </w:r>
      <w:r>
        <w:rPr>
          <w:rFonts w:ascii="宋体" w:hAnsi="宋体" w:eastAsia="宋体" w:cs="宋体"/>
          <w:b/>
          <w:bCs/>
          <w:spacing w:val="-34"/>
          <w:sz w:val="44"/>
          <w:szCs w:val="44"/>
        </w:rPr>
        <w:t>省</w:t>
      </w:r>
      <w:r>
        <w:rPr>
          <w:rFonts w:ascii="宋体" w:hAnsi="宋体" w:eastAsia="宋体" w:cs="宋体"/>
          <w:spacing w:val="71"/>
          <w:sz w:val="44"/>
          <w:szCs w:val="44"/>
        </w:rPr>
        <w:t xml:space="preserve"> </w:t>
      </w:r>
      <w:r>
        <w:rPr>
          <w:rFonts w:ascii="宋体" w:hAnsi="宋体" w:eastAsia="宋体" w:cs="宋体"/>
          <w:b/>
          <w:bCs/>
          <w:spacing w:val="-34"/>
          <w:sz w:val="44"/>
          <w:szCs w:val="44"/>
        </w:rPr>
        <w:t>泉</w:t>
      </w:r>
      <w:r>
        <w:rPr>
          <w:rFonts w:ascii="宋体" w:hAnsi="宋体" w:eastAsia="宋体" w:cs="宋体"/>
          <w:spacing w:val="70"/>
          <w:sz w:val="44"/>
          <w:szCs w:val="44"/>
        </w:rPr>
        <w:t xml:space="preserve"> </w:t>
      </w:r>
      <w:r>
        <w:rPr>
          <w:rFonts w:ascii="宋体" w:hAnsi="宋体" w:eastAsia="宋体" w:cs="宋体"/>
          <w:b/>
          <w:bCs/>
          <w:spacing w:val="-34"/>
          <w:sz w:val="44"/>
          <w:szCs w:val="44"/>
        </w:rPr>
        <w:t>州</w:t>
      </w:r>
      <w:r>
        <w:rPr>
          <w:rFonts w:ascii="宋体" w:hAnsi="宋体" w:eastAsia="宋体" w:cs="宋体"/>
          <w:spacing w:val="80"/>
          <w:sz w:val="44"/>
          <w:szCs w:val="44"/>
        </w:rPr>
        <w:t xml:space="preserve"> </w:t>
      </w:r>
      <w:r>
        <w:rPr>
          <w:rFonts w:ascii="宋体" w:hAnsi="宋体" w:eastAsia="宋体" w:cs="宋体"/>
          <w:b/>
          <w:bCs/>
          <w:spacing w:val="-34"/>
          <w:sz w:val="44"/>
          <w:szCs w:val="44"/>
        </w:rPr>
        <w:t>市</w:t>
      </w:r>
      <w:r>
        <w:rPr>
          <w:rFonts w:ascii="宋体" w:hAnsi="宋体" w:eastAsia="宋体" w:cs="宋体"/>
          <w:spacing w:val="71"/>
          <w:sz w:val="44"/>
          <w:szCs w:val="44"/>
        </w:rPr>
        <w:t xml:space="preserve"> </w:t>
      </w:r>
      <w:r>
        <w:rPr>
          <w:rFonts w:ascii="宋体" w:hAnsi="宋体" w:eastAsia="宋体" w:cs="宋体"/>
          <w:b/>
          <w:bCs/>
          <w:spacing w:val="-34"/>
          <w:sz w:val="44"/>
          <w:szCs w:val="44"/>
        </w:rPr>
        <w:t>泉</w:t>
      </w:r>
      <w:r>
        <w:rPr>
          <w:rFonts w:ascii="宋体" w:hAnsi="宋体" w:eastAsia="宋体" w:cs="宋体"/>
          <w:spacing w:val="66"/>
          <w:sz w:val="44"/>
          <w:szCs w:val="44"/>
        </w:rPr>
        <w:t xml:space="preserve"> </w:t>
      </w:r>
      <w:r>
        <w:rPr>
          <w:rFonts w:ascii="宋体" w:hAnsi="宋体" w:eastAsia="宋体" w:cs="宋体"/>
          <w:b/>
          <w:bCs/>
          <w:spacing w:val="-33"/>
          <w:sz w:val="44"/>
          <w:szCs w:val="44"/>
        </w:rPr>
        <w:t>港</w:t>
      </w:r>
      <w:r>
        <w:rPr>
          <w:rFonts w:ascii="宋体" w:hAnsi="宋体" w:eastAsia="宋体" w:cs="宋体"/>
          <w:spacing w:val="101"/>
          <w:sz w:val="44"/>
          <w:szCs w:val="44"/>
        </w:rPr>
        <w:t xml:space="preserve"> </w:t>
      </w:r>
      <w:r>
        <w:rPr>
          <w:rFonts w:ascii="宋体" w:hAnsi="宋体" w:eastAsia="宋体" w:cs="宋体"/>
          <w:b/>
          <w:bCs/>
          <w:spacing w:val="-33"/>
          <w:sz w:val="44"/>
          <w:szCs w:val="44"/>
        </w:rPr>
        <w:t>区</w:t>
      </w:r>
      <w:r>
        <w:rPr>
          <w:rFonts w:ascii="宋体" w:hAnsi="宋体" w:eastAsia="宋体" w:cs="宋体"/>
          <w:spacing w:val="71"/>
          <w:sz w:val="44"/>
          <w:szCs w:val="44"/>
        </w:rPr>
        <w:t xml:space="preserve"> </w:t>
      </w:r>
      <w:r>
        <w:rPr>
          <w:rFonts w:ascii="宋体" w:hAnsi="宋体" w:eastAsia="宋体" w:cs="宋体"/>
          <w:b/>
          <w:bCs/>
          <w:spacing w:val="-33"/>
          <w:sz w:val="44"/>
          <w:szCs w:val="44"/>
        </w:rPr>
        <w:t>人</w:t>
      </w:r>
      <w:r>
        <w:rPr>
          <w:rFonts w:ascii="宋体" w:hAnsi="宋体" w:eastAsia="宋体" w:cs="宋体"/>
          <w:spacing w:val="111"/>
          <w:sz w:val="44"/>
          <w:szCs w:val="44"/>
        </w:rPr>
        <w:t xml:space="preserve"> </w:t>
      </w:r>
      <w:r>
        <w:rPr>
          <w:rFonts w:ascii="宋体" w:hAnsi="宋体" w:eastAsia="宋体" w:cs="宋体"/>
          <w:b/>
          <w:bCs/>
          <w:spacing w:val="-33"/>
          <w:sz w:val="44"/>
          <w:szCs w:val="44"/>
        </w:rPr>
        <w:t>民</w:t>
      </w:r>
      <w:r>
        <w:rPr>
          <w:rFonts w:ascii="宋体" w:hAnsi="宋体" w:eastAsia="宋体" w:cs="宋体"/>
          <w:spacing w:val="70"/>
          <w:sz w:val="44"/>
          <w:szCs w:val="44"/>
        </w:rPr>
        <w:t xml:space="preserve"> </w:t>
      </w:r>
      <w:r>
        <w:rPr>
          <w:rFonts w:ascii="宋体" w:hAnsi="宋体" w:eastAsia="宋体" w:cs="宋体"/>
          <w:b/>
          <w:bCs/>
          <w:spacing w:val="-33"/>
          <w:sz w:val="44"/>
          <w:szCs w:val="44"/>
        </w:rPr>
        <w:t>法</w:t>
      </w:r>
      <w:r>
        <w:rPr>
          <w:rFonts w:ascii="宋体" w:hAnsi="宋体" w:eastAsia="宋体" w:cs="宋体"/>
          <w:spacing w:val="97"/>
          <w:sz w:val="44"/>
          <w:szCs w:val="44"/>
        </w:rPr>
        <w:t xml:space="preserve"> </w:t>
      </w:r>
      <w:r>
        <w:rPr>
          <w:rFonts w:ascii="宋体" w:hAnsi="宋体" w:eastAsia="宋体" w:cs="宋体"/>
          <w:b/>
          <w:bCs/>
          <w:spacing w:val="-26"/>
          <w:sz w:val="44"/>
          <w:szCs w:val="44"/>
        </w:rPr>
        <w:t>院</w:t>
      </w:r>
      <w:r>
        <w:rPr>
          <w:rFonts w:ascii="宋体" w:hAnsi="宋体" w:eastAsia="宋体" w:cs="宋体"/>
          <w:sz w:val="44"/>
          <w:szCs w:val="44"/>
        </w:rPr>
        <w:t xml:space="preserve"> </w:t>
      </w:r>
      <w:r>
        <w:rPr>
          <w:rFonts w:ascii="宋体" w:hAnsi="宋体" w:eastAsia="宋体" w:cs="宋体"/>
          <w:b/>
          <w:bCs/>
          <w:spacing w:val="-24"/>
          <w:sz w:val="51"/>
          <w:szCs w:val="51"/>
        </w:rPr>
        <w:t>公</w:t>
      </w:r>
      <w:r>
        <w:rPr>
          <w:rFonts w:ascii="宋体" w:hAnsi="宋体" w:eastAsia="宋体" w:cs="宋体"/>
          <w:spacing w:val="28"/>
          <w:sz w:val="51"/>
          <w:szCs w:val="51"/>
        </w:rPr>
        <w:t xml:space="preserve">  </w:t>
      </w:r>
      <w:r>
        <w:rPr>
          <w:rFonts w:ascii="宋体" w:hAnsi="宋体" w:eastAsia="宋体" w:cs="宋体"/>
          <w:b/>
          <w:bCs/>
          <w:spacing w:val="-24"/>
          <w:sz w:val="51"/>
          <w:szCs w:val="51"/>
        </w:rPr>
        <w:t>告</w:t>
      </w:r>
    </w:p>
    <w:p w14:paraId="21D4B78F">
      <w:pPr>
        <w:spacing w:line="253" w:lineRule="auto"/>
        <w:rPr>
          <w:rFonts w:ascii="Arial"/>
          <w:sz w:val="21"/>
        </w:rPr>
      </w:pPr>
    </w:p>
    <w:p w14:paraId="4A005EA3">
      <w:pPr>
        <w:spacing w:line="253" w:lineRule="auto"/>
        <w:rPr>
          <w:rFonts w:ascii="Arial"/>
          <w:sz w:val="21"/>
        </w:rPr>
      </w:pPr>
    </w:p>
    <w:p w14:paraId="5B8B3DCA">
      <w:pPr>
        <w:spacing w:line="254" w:lineRule="auto"/>
        <w:rPr>
          <w:rFonts w:ascii="Arial"/>
          <w:sz w:val="21"/>
        </w:rPr>
      </w:pPr>
    </w:p>
    <w:p w14:paraId="7D9687DC">
      <w:pPr>
        <w:pStyle w:val="2"/>
        <w:spacing w:before="95" w:line="224" w:lineRule="auto"/>
        <w:ind w:left="5489"/>
      </w:pPr>
      <w:r>
        <w:rPr>
          <w:spacing w:val="28"/>
        </w:rPr>
        <w:t>(2025)闽0505破14号</w:t>
      </w:r>
    </w:p>
    <w:p w14:paraId="45AD1ACA">
      <w:pPr>
        <w:pStyle w:val="2"/>
        <w:spacing w:before="291" w:line="383" w:lineRule="auto"/>
        <w:ind w:right="368" w:firstLine="590"/>
        <w:jc w:val="both"/>
      </w:pPr>
      <w:r>
        <w:rPr>
          <w:spacing w:val="10"/>
        </w:rPr>
        <w:t>福建省泉州市泉港区人民法院根据刘新雄的申请，于2025年7</w:t>
      </w:r>
      <w:r>
        <w:rPr>
          <w:spacing w:val="1"/>
        </w:rPr>
        <w:t xml:space="preserve"> </w:t>
      </w:r>
      <w:r>
        <w:rPr>
          <w:spacing w:val="4"/>
        </w:rPr>
        <w:t>月24日裁定受理泉州百优设计有限公司破产清算</w:t>
      </w:r>
      <w:r>
        <w:rPr>
          <w:spacing w:val="3"/>
        </w:rPr>
        <w:t>一案，后于2025年</w:t>
      </w:r>
      <w:r>
        <w:t xml:space="preserve"> </w:t>
      </w:r>
      <w:r>
        <w:rPr>
          <w:spacing w:val="14"/>
        </w:rPr>
        <w:t>7月25日依法立案受理此案。2025年7月</w:t>
      </w:r>
      <w:r>
        <w:rPr>
          <w:spacing w:val="13"/>
        </w:rPr>
        <w:t>18日，福建省泉州市中级</w:t>
      </w:r>
      <w:r>
        <w:t xml:space="preserve"> </w:t>
      </w:r>
      <w:r>
        <w:rPr>
          <w:spacing w:val="6"/>
        </w:rPr>
        <w:t>人民法院司法鉴定管理处摇号选定福建瀛莱</w:t>
      </w:r>
      <w:r>
        <w:rPr>
          <w:spacing w:val="5"/>
        </w:rPr>
        <w:t>律师事务所为(2025)闽</w:t>
      </w:r>
      <w:r>
        <w:t xml:space="preserve"> </w:t>
      </w:r>
      <w:r>
        <w:rPr>
          <w:spacing w:val="5"/>
        </w:rPr>
        <w:t>0505破申10号案件的管理人。根据《最高人民法院关于推进破产案</w:t>
      </w:r>
      <w:r>
        <w:rPr>
          <w:spacing w:val="1"/>
        </w:rPr>
        <w:t xml:space="preserve"> 件依法高效审理的意见》,本案适用快速审理方式。本案由审判员蔡</w:t>
      </w:r>
      <w:r>
        <w:rPr>
          <w:spacing w:val="4"/>
        </w:rPr>
        <w:t xml:space="preserve"> </w:t>
      </w:r>
      <w:r>
        <w:rPr>
          <w:spacing w:val="-4"/>
        </w:rPr>
        <w:t>兴凤担任审判长，与审判员庄一虹、审判员林育群组成合</w:t>
      </w:r>
      <w:r>
        <w:rPr>
          <w:spacing w:val="-5"/>
        </w:rPr>
        <w:t>议庭进行审</w:t>
      </w:r>
      <w:r>
        <w:t xml:space="preserve"> </w:t>
      </w:r>
      <w:r>
        <w:rPr>
          <w:spacing w:val="-1"/>
        </w:rPr>
        <w:t>理，书记员庄珊。</w:t>
      </w:r>
    </w:p>
    <w:p w14:paraId="3DC618ED">
      <w:pPr>
        <w:pStyle w:val="2"/>
        <w:spacing w:before="17" w:line="395" w:lineRule="auto"/>
        <w:ind w:right="224" w:firstLine="599"/>
        <w:jc w:val="both"/>
      </w:pPr>
      <w:r>
        <w:rPr>
          <w:spacing w:val="20"/>
        </w:rPr>
        <w:t>你(你单位)应于2025年9月22日前，向泉州百优设计有限公</w:t>
      </w:r>
      <w:r>
        <w:rPr>
          <w:spacing w:val="14"/>
        </w:rPr>
        <w:t xml:space="preserve"> </w:t>
      </w:r>
      <w:r>
        <w:rPr>
          <w:spacing w:val="-4"/>
        </w:rPr>
        <w:t>司管理人〔通讯地址：福建省泉州市丰泽区云鹿</w:t>
      </w:r>
      <w:r>
        <w:rPr>
          <w:spacing w:val="-5"/>
        </w:rPr>
        <w:t>路海逸国际公寓五层</w:t>
      </w:r>
      <w:r>
        <w:t xml:space="preserve">  </w:t>
      </w:r>
      <w:r>
        <w:rPr>
          <w:spacing w:val="-3"/>
        </w:rPr>
        <w:t>福建瀛莱律师事务所；邮政编码：362000;联系</w:t>
      </w:r>
      <w:r>
        <w:rPr>
          <w:spacing w:val="-4"/>
        </w:rPr>
        <w:t>人：周辅春、朱森林；</w:t>
      </w:r>
    </w:p>
    <w:p w14:paraId="2DE48241">
      <w:pPr>
        <w:pStyle w:val="2"/>
        <w:spacing w:before="2" w:line="220" w:lineRule="auto"/>
      </w:pPr>
      <w:r>
        <w:rPr>
          <w:spacing w:val="13"/>
        </w:rPr>
        <w:t>联系电话：13959997779(周)、189</w:t>
      </w:r>
      <w:r>
        <w:rPr>
          <w:spacing w:val="12"/>
        </w:rPr>
        <w:t>05952078(朱)〕申报债权，书</w:t>
      </w:r>
    </w:p>
    <w:p w14:paraId="120339E4">
      <w:pPr>
        <w:pStyle w:val="2"/>
        <w:spacing w:before="272" w:line="220" w:lineRule="auto"/>
      </w:pPr>
      <w:r>
        <w:rPr>
          <w:spacing w:val="-3"/>
        </w:rPr>
        <w:t>面说明债权数额、有无财产担保及是否属于连带债权，并提供相关证</w:t>
      </w:r>
    </w:p>
    <w:p w14:paraId="2842A125">
      <w:pPr>
        <w:pStyle w:val="2"/>
        <w:spacing w:before="273" w:line="219" w:lineRule="auto"/>
      </w:pPr>
      <w:r>
        <w:rPr>
          <w:spacing w:val="-2"/>
        </w:rPr>
        <w:t>据材料。未在上述期限内申报债权的，可以在破产财产最后分配前补</w:t>
      </w:r>
    </w:p>
    <w:p w14:paraId="10EC7441">
      <w:pPr>
        <w:pStyle w:val="2"/>
        <w:spacing w:before="278" w:line="221" w:lineRule="auto"/>
      </w:pPr>
      <w:r>
        <w:rPr>
          <w:spacing w:val="7"/>
        </w:rPr>
        <w:t>充申报，但此前已进行的分配不再对你(你单位)补充分配，为审查</w:t>
      </w:r>
    </w:p>
    <w:p w14:paraId="61F84B2E">
      <w:pPr>
        <w:pStyle w:val="2"/>
        <w:spacing w:before="273" w:line="221" w:lineRule="auto"/>
        <w:sectPr>
          <w:pgSz w:w="11900" w:h="16840"/>
          <w:pgMar w:top="1431" w:right="1240" w:bottom="0" w:left="1700" w:header="0" w:footer="0" w:gutter="0"/>
          <w:cols w:space="720" w:num="1"/>
        </w:sectPr>
      </w:pPr>
      <w:r>
        <w:rPr>
          <w:spacing w:val="8"/>
        </w:rPr>
        <w:t>和确认补充申报债权所产生的费用，由你(你单位)承担。未依法申</w:t>
      </w:r>
    </w:p>
    <w:p w14:paraId="104C7546">
      <w:pPr>
        <w:pStyle w:val="2"/>
        <w:spacing w:before="278" w:line="221" w:lineRule="auto"/>
        <w:rPr>
          <w:spacing w:val="7"/>
        </w:rPr>
      </w:pPr>
    </w:p>
    <w:p w14:paraId="7EF7215B">
      <w:pPr>
        <w:pStyle w:val="2"/>
        <w:spacing w:before="17" w:line="395" w:lineRule="auto"/>
        <w:ind w:right="224"/>
        <w:jc w:val="both"/>
        <w:rPr>
          <w:spacing w:val="-4"/>
        </w:rPr>
      </w:pPr>
      <w:r>
        <w:rPr>
          <w:spacing w:val="-4"/>
        </w:rPr>
        <w:t>报债权的，不得依照《中华人民共和国企业破产法》规定的程序行使权利 。</w:t>
      </w:r>
    </w:p>
    <w:p w14:paraId="3308A22B">
      <w:pPr>
        <w:pStyle w:val="2"/>
        <w:spacing w:before="17" w:line="395" w:lineRule="auto"/>
        <w:ind w:right="224" w:firstLine="599"/>
        <w:jc w:val="both"/>
        <w:rPr>
          <w:spacing w:val="-4"/>
        </w:rPr>
      </w:pPr>
      <w:r>
        <w:rPr>
          <w:spacing w:val="-4"/>
        </w:rPr>
        <w:t>第一次债权人会议定于2025年9月25日下午15时00分在福建 省泉州市泉港区人民法院审判楼三楼会议室召开。会议其他事项管理人将另行通知。依法申报债权的债权人为债权人会议的成员，有权参加债权人会议。参加会议的债权人系法人或其他组织的，应提交营业执照、法定代表人或负责人身份证明书，债权人系自然人的，应提交个人身份证明。债权人如委托代理人出席会议，应提交特别授权委托书、委托代理人的身份证件或律师执业证，委托代理人是律师的还应提交律师事务所的指派函。</w:t>
      </w:r>
    </w:p>
    <w:p w14:paraId="6C248607">
      <w:pPr>
        <w:pStyle w:val="2"/>
        <w:spacing w:before="17" w:line="395" w:lineRule="auto"/>
        <w:ind w:right="224" w:firstLine="599"/>
        <w:jc w:val="both"/>
        <w:rPr>
          <w:spacing w:val="-4"/>
        </w:rPr>
      </w:pPr>
      <w:r>
        <w:rPr>
          <w:spacing w:val="-4"/>
        </w:rPr>
        <w:t>泉州百优设计有限公司的债务人或者财产持有人应当向泉州百优设计有限公司管理人清偿债务或交付财产。泉州百优设计有限公司的股东、实际控制人、董事、监事等执行机构或者决策机构的成员以及其他法律、法规规定的清算义务人应配合泉州百优设计有限公司管理人进行清算，否则应依法承担相应的法律责任。</w:t>
      </w:r>
    </w:p>
    <w:p w14:paraId="1206109D">
      <w:pPr>
        <w:pStyle w:val="2"/>
        <w:spacing w:before="17" w:line="395" w:lineRule="auto"/>
        <w:ind w:right="224" w:firstLine="599"/>
        <w:jc w:val="both"/>
        <w:rPr>
          <w:spacing w:val="-4"/>
        </w:rPr>
      </w:pPr>
      <w:r>
        <w:rPr>
          <w:spacing w:val="-4"/>
        </w:rPr>
        <w:t>特此公告</w:t>
      </w:r>
    </w:p>
    <w:p w14:paraId="78CAF8BA">
      <w:pPr>
        <w:spacing w:line="257" w:lineRule="auto"/>
        <w:rPr>
          <w:rFonts w:ascii="Arial"/>
          <w:sz w:val="21"/>
        </w:rPr>
      </w:pPr>
    </w:p>
    <w:p w14:paraId="67585F36">
      <w:pPr>
        <w:spacing w:line="257" w:lineRule="auto"/>
        <w:rPr>
          <w:rFonts w:ascii="Arial"/>
          <w:sz w:val="21"/>
        </w:rPr>
      </w:pPr>
    </w:p>
    <w:p w14:paraId="759F44B3">
      <w:pPr>
        <w:spacing w:line="258" w:lineRule="auto"/>
        <w:rPr>
          <w:rFonts w:ascii="Arial"/>
          <w:sz w:val="21"/>
        </w:rPr>
      </w:pPr>
      <w:bookmarkStart w:id="0" w:name="_GoBack"/>
      <w:bookmarkEnd w:id="0"/>
    </w:p>
    <w:p w14:paraId="098A00BE">
      <w:pPr>
        <w:spacing w:line="258" w:lineRule="auto"/>
        <w:rPr>
          <w:rFonts w:ascii="Arial"/>
          <w:sz w:val="21"/>
        </w:rPr>
      </w:pPr>
    </w:p>
    <w:p w14:paraId="6CEE8A16">
      <w:pPr>
        <w:pStyle w:val="2"/>
        <w:spacing w:before="88" w:line="222" w:lineRule="auto"/>
        <w:ind w:right="22"/>
        <w:jc w:val="right"/>
        <w:rPr>
          <w:sz w:val="27"/>
          <w:szCs w:val="27"/>
        </w:rPr>
      </w:pPr>
      <w:r>
        <w:rPr>
          <w:spacing w:val="4"/>
          <w:sz w:val="27"/>
          <w:szCs w:val="27"/>
        </w:rPr>
        <w:t>二○二五年七月二十五日</w:t>
      </w:r>
    </w:p>
    <w:sectPr>
      <w:pgSz w:w="11900" w:h="16840"/>
      <w:pgMar w:top="1417" w:right="1531" w:bottom="1417" w:left="153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46852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9"/>
      <w:szCs w:val="29"/>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853</Words>
  <Characters>921</Characters>
  <TotalTime>2</TotalTime>
  <ScaleCrop>false</ScaleCrop>
  <LinksUpToDate>false</LinksUpToDate>
  <CharactersWithSpaces>960</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2025-08-29T16:42:00Z</dcterms:created>
  <dc:creator>黄丽梅</dc:creator>
  <cp:lastModifiedBy>瀛莱黄丽梅律师</cp:lastModifiedBy>
  <dcterms:modified xsi:type="dcterms:W3CDTF">2025-08-29T08:45:41Z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2025-08-29T16:42:34Z</vt:filetime>
  </property>
  <property fmtid="{D5CDD505-2E9C-101B-9397-08002B2CF9AE}" pid="4" name="UsrData">
    <vt:lpwstr>68b167f85bb1d3001f1dfbb9wl</vt:lpwstr>
  </property>
  <property fmtid="{D5CDD505-2E9C-101B-9397-08002B2CF9AE}" pid="5" name="KSOTemplateDocerSaveRecord">
    <vt:lpwstr>eyJoZGlkIjoiNzM5MjBkMmUxZjEwYWE4OWNjMWNkN2FhNzc5OTIwZmMiLCJ1c2VySWQiOiI0MjUxMjA0NzQifQ==</vt:lpwstr>
  </property>
  <property fmtid="{D5CDD505-2E9C-101B-9397-08002B2CF9AE}" pid="6" name="KSOProductBuildVer">
    <vt:lpwstr>2052-12.1.0.21915</vt:lpwstr>
  </property>
  <property fmtid="{D5CDD505-2E9C-101B-9397-08002B2CF9AE}" pid="7" name="ICV">
    <vt:lpwstr>0AB99B5356804979987A8FEB8BDCD100_13</vt:lpwstr>
  </property>
</Properties>
</file>