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E9557A">
      <w:pPr>
        <w:pStyle w:val="2"/>
        <w:jc w:val="center"/>
        <w:rPr>
          <w:rFonts w:hint="eastAsia" w:ascii="仿宋_GB2312" w:hAnsi="仿宋_GB2312" w:eastAsia="仿宋_GB2312" w:cs="仿宋_GB2312"/>
          <w:sz w:val="48"/>
          <w:szCs w:val="48"/>
        </w:rPr>
      </w:pPr>
      <w:bookmarkStart w:id="0" w:name="生产厂区资产租赁合同"/>
    </w:p>
    <w:p w14:paraId="060515D2">
      <w:pPr>
        <w:pStyle w:val="2"/>
        <w:jc w:val="center"/>
        <w:rPr>
          <w:rFonts w:hint="default" w:ascii="仿宋_GB2312" w:hAnsi="仿宋_GB2312" w:eastAsia="仿宋_GB2312" w:cs="仿宋_GB2312"/>
          <w:sz w:val="48"/>
          <w:szCs w:val="48"/>
          <w:lang w:val="en-US" w:eastAsia="zh-CN"/>
        </w:rPr>
      </w:pPr>
      <w:r>
        <w:rPr>
          <w:rFonts w:hint="eastAsia" w:ascii="仿宋_GB2312" w:hAnsi="仿宋_GB2312" w:eastAsia="仿宋_GB2312" w:cs="仿宋_GB2312"/>
          <w:sz w:val="48"/>
          <w:szCs w:val="48"/>
          <w:lang w:val="en-US" w:eastAsia="zh-CN"/>
        </w:rPr>
        <w:t>安徽省华安外经建（集团）有限公司</w:t>
      </w:r>
    </w:p>
    <w:p w14:paraId="1E02E769">
      <w:pPr>
        <w:pStyle w:val="2"/>
        <w:jc w:val="center"/>
        <w:rPr>
          <w:rFonts w:hint="eastAsia" w:ascii="仿宋_GB2312" w:hAnsi="仿宋_GB2312" w:eastAsia="仿宋_GB2312" w:cs="仿宋_GB2312"/>
          <w:sz w:val="48"/>
          <w:szCs w:val="48"/>
        </w:rPr>
      </w:pPr>
    </w:p>
    <w:p w14:paraId="27370A42">
      <w:pPr>
        <w:pStyle w:val="2"/>
        <w:jc w:val="center"/>
        <w:rPr>
          <w:rFonts w:hint="eastAsia" w:ascii="仿宋_GB2312" w:hAnsi="仿宋_GB2312" w:eastAsia="仿宋_GB2312" w:cs="仿宋_GB2312"/>
          <w:sz w:val="48"/>
          <w:szCs w:val="48"/>
        </w:rPr>
      </w:pPr>
      <w:r>
        <w:rPr>
          <w:rFonts w:hint="eastAsia" w:ascii="仿宋_GB2312" w:hAnsi="仿宋_GB2312" w:eastAsia="仿宋_GB2312" w:cs="仿宋_GB2312"/>
          <w:sz w:val="48"/>
          <w:szCs w:val="48"/>
        </w:rPr>
        <w:t>垂钓中心资产租赁合同</w:t>
      </w:r>
    </w:p>
    <w:p w14:paraId="51D31D6C">
      <w:pPr>
        <w:pStyle w:val="29"/>
        <w:jc w:val="center"/>
        <w:rPr>
          <w:rFonts w:hint="eastAsia"/>
        </w:rPr>
      </w:pPr>
    </w:p>
    <w:p w14:paraId="4F7E1702">
      <w:pPr>
        <w:pStyle w:val="29"/>
        <w:jc w:val="center"/>
        <w:rPr>
          <w:rFonts w:hint="eastAsia"/>
        </w:rPr>
      </w:pPr>
    </w:p>
    <w:p w14:paraId="7AFE11C6">
      <w:pPr>
        <w:pStyle w:val="29"/>
        <w:jc w:val="center"/>
        <w:rPr>
          <w:rFonts w:hint="eastAsia"/>
        </w:rPr>
      </w:pPr>
    </w:p>
    <w:p w14:paraId="149FE992">
      <w:pPr>
        <w:pStyle w:val="29"/>
        <w:jc w:val="center"/>
        <w:rPr>
          <w:rFonts w:hint="eastAsia"/>
          <w:lang w:eastAsia="zh-CN"/>
        </w:rPr>
      </w:pPr>
      <w:r>
        <w:rPr>
          <w:rFonts w:hint="eastAsia"/>
          <w:lang w:eastAsia="zh-CN"/>
        </w:rPr>
        <w:t>、</w:t>
      </w:r>
    </w:p>
    <w:p w14:paraId="37A51D86">
      <w:pPr>
        <w:pStyle w:val="29"/>
        <w:jc w:val="center"/>
        <w:rPr>
          <w:rFonts w:hint="eastAsia"/>
          <w:sz w:val="36"/>
          <w:szCs w:val="36"/>
          <w:lang w:eastAsia="zh-CN"/>
        </w:rPr>
      </w:pPr>
    </w:p>
    <w:p w14:paraId="72F085ED">
      <w:pPr>
        <w:pStyle w:val="29"/>
        <w:jc w:val="center"/>
        <w:rPr>
          <w:rFonts w:hint="eastAsia"/>
          <w:sz w:val="36"/>
          <w:szCs w:val="36"/>
          <w:lang w:eastAsia="zh-CN"/>
        </w:rPr>
      </w:pPr>
    </w:p>
    <w:p w14:paraId="37EAB434">
      <w:pPr>
        <w:pStyle w:val="29"/>
        <w:jc w:val="center"/>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xml:space="preserve">签订时间: </w:t>
      </w:r>
      <w:r>
        <w:rPr>
          <w:rFonts w:hint="eastAsia" w:ascii="仿宋_GB2312" w:hAnsi="仿宋_GB2312" w:eastAsia="仿宋_GB2312" w:cs="仿宋_GB2312"/>
          <w:sz w:val="36"/>
          <w:szCs w:val="36"/>
          <w:lang w:val="en-US" w:eastAsia="zh-CN"/>
        </w:rPr>
        <w:t xml:space="preserve"> </w:t>
      </w:r>
      <w:r>
        <w:rPr>
          <w:rFonts w:hint="eastAsia" w:ascii="仿宋_GB2312" w:hAnsi="仿宋_GB2312" w:eastAsia="仿宋_GB2312" w:cs="仿宋_GB2312"/>
          <w:sz w:val="36"/>
          <w:szCs w:val="36"/>
        </w:rPr>
        <w:t xml:space="preserve">年 </w:t>
      </w:r>
      <w:r>
        <w:rPr>
          <w:rFonts w:hint="eastAsia" w:ascii="仿宋_GB2312" w:hAnsi="仿宋_GB2312" w:eastAsia="仿宋_GB2312" w:cs="仿宋_GB2312"/>
          <w:sz w:val="36"/>
          <w:szCs w:val="36"/>
          <w:lang w:val="en-US" w:eastAsia="zh-CN"/>
        </w:rPr>
        <w:t xml:space="preserve"> </w:t>
      </w:r>
      <w:r>
        <w:rPr>
          <w:rFonts w:hint="eastAsia" w:ascii="仿宋_GB2312" w:hAnsi="仿宋_GB2312" w:eastAsia="仿宋_GB2312" w:cs="仿宋_GB2312"/>
          <w:sz w:val="36"/>
          <w:szCs w:val="36"/>
        </w:rPr>
        <w:t>月</w:t>
      </w:r>
      <w:r>
        <w:rPr>
          <w:rFonts w:hint="eastAsia" w:ascii="仿宋_GB2312" w:hAnsi="仿宋_GB2312" w:eastAsia="仿宋_GB2312" w:cs="仿宋_GB2312"/>
          <w:sz w:val="36"/>
          <w:szCs w:val="36"/>
          <w:lang w:val="en-US" w:eastAsia="zh-CN"/>
        </w:rPr>
        <w:t xml:space="preserve"> </w:t>
      </w:r>
      <w:r>
        <w:rPr>
          <w:rFonts w:hint="eastAsia" w:ascii="仿宋_GB2312" w:hAnsi="仿宋_GB2312" w:eastAsia="仿宋_GB2312" w:cs="仿宋_GB2312"/>
          <w:sz w:val="36"/>
          <w:szCs w:val="36"/>
        </w:rPr>
        <w:t xml:space="preserve"> 日</w:t>
      </w:r>
    </w:p>
    <w:p w14:paraId="38294BBB">
      <w:pPr>
        <w:pStyle w:val="29"/>
        <w:ind w:firstLine="2520" w:firstLineChars="700"/>
        <w:jc w:val="both"/>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rPr>
        <w:t>签订地点:</w:t>
      </w:r>
      <w:r>
        <w:rPr>
          <w:rFonts w:hint="eastAsia" w:ascii="仿宋_GB2312" w:hAnsi="仿宋_GB2312" w:eastAsia="仿宋_GB2312" w:cs="仿宋_GB2312"/>
          <w:sz w:val="36"/>
          <w:szCs w:val="36"/>
          <w:lang w:val="en-US" w:eastAsia="zh-CN"/>
        </w:rPr>
        <w:t xml:space="preserve"> 合肥市包河区</w:t>
      </w:r>
    </w:p>
    <w:bookmarkEnd w:id="0"/>
    <w:p w14:paraId="7921B303">
      <w:pPr>
        <w:pStyle w:val="2"/>
        <w:jc w:val="center"/>
        <w:rPr>
          <w:rFonts w:hint="eastAsia"/>
        </w:rPr>
      </w:pPr>
      <w:bookmarkStart w:id="1" w:name="光大造船公司建成区租赁合同"/>
    </w:p>
    <w:p w14:paraId="7A4C82FC">
      <w:pPr>
        <w:pStyle w:val="2"/>
        <w:jc w:val="center"/>
        <w:rPr>
          <w:rFonts w:hint="eastAsia"/>
        </w:rPr>
      </w:pPr>
    </w:p>
    <w:p w14:paraId="244C6781">
      <w:pPr>
        <w:pStyle w:val="3"/>
        <w:rPr>
          <w:rFonts w:hint="eastAsia"/>
        </w:rPr>
      </w:pPr>
    </w:p>
    <w:p w14:paraId="2D0889BA">
      <w:pPr>
        <w:pStyle w:val="2"/>
        <w:jc w:val="center"/>
      </w:pPr>
      <w:r>
        <w:rPr>
          <w:rFonts w:hint="eastAsia"/>
        </w:rPr>
        <w:t>金孔雀度假村“垂钓中心”资产租赁合同</w:t>
      </w:r>
    </w:p>
    <w:p w14:paraId="4035EF73">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p>
    <w:p w14:paraId="138A11D8">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出租方（以下简称甲方）：</w:t>
      </w:r>
    </w:p>
    <w:p w14:paraId="3031C76D">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住所地：</w:t>
      </w:r>
    </w:p>
    <w:p w14:paraId="1EEB172C">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法定代表人：</w:t>
      </w:r>
    </w:p>
    <w:p w14:paraId="456F92B7">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联系电话：</w:t>
      </w:r>
    </w:p>
    <w:p w14:paraId="5EF94F50">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p>
    <w:p w14:paraId="42EC40FA">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承租人（以下简称乙方）：</w:t>
      </w:r>
    </w:p>
    <w:p w14:paraId="04E1F0FF">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住所地：</w:t>
      </w:r>
    </w:p>
    <w:p w14:paraId="7B1510B8">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法定代表人：</w:t>
      </w:r>
    </w:p>
    <w:p w14:paraId="312C2A3C">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联系电话：</w:t>
      </w:r>
    </w:p>
    <w:p w14:paraId="4F861590">
      <w:pPr>
        <w:pStyle w:val="3"/>
        <w:pageBreakBefore w:val="0"/>
        <w:widowControl/>
        <w:kinsoku/>
        <w:wordWrap/>
        <w:overflowPunct/>
        <w:topLinePunct w:val="0"/>
        <w:autoSpaceDE/>
        <w:autoSpaceDN/>
        <w:bidi w:val="0"/>
        <w:adjustRightInd/>
        <w:snapToGrid/>
        <w:spacing w:before="0" w:after="0" w:line="440" w:lineRule="exact"/>
        <w:textAlignment w:val="auto"/>
        <w:rPr>
          <w:rFonts w:hint="eastAsia" w:ascii="仿宋_GB2312" w:hAnsi="仿宋_GB2312" w:eastAsia="仿宋_GB2312" w:cs="仿宋_GB2312"/>
          <w:sz w:val="24"/>
          <w:szCs w:val="24"/>
        </w:rPr>
      </w:pPr>
    </w:p>
    <w:p w14:paraId="47D91D8B">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rPr>
        <w:t>甲方系破产重整企业，并经</w:t>
      </w:r>
      <w:r>
        <w:rPr>
          <w:rFonts w:hint="eastAsia" w:ascii="仿宋_GB2312" w:hAnsi="仿宋_GB2312" w:eastAsia="仿宋_GB2312" w:cs="仿宋_GB2312"/>
          <w:sz w:val="24"/>
          <w:szCs w:val="24"/>
          <w:lang w:val="en-US" w:eastAsia="zh-CN"/>
        </w:rPr>
        <w:t>合肥市</w:t>
      </w:r>
      <w:r>
        <w:rPr>
          <w:rFonts w:hint="eastAsia" w:ascii="仿宋_GB2312" w:hAnsi="仿宋_GB2312" w:eastAsia="仿宋_GB2312" w:cs="仿宋_GB2312"/>
          <w:sz w:val="24"/>
          <w:szCs w:val="24"/>
        </w:rPr>
        <w:t>中级人民法</w:t>
      </w:r>
      <w:r>
        <w:rPr>
          <w:rFonts w:hint="eastAsia" w:ascii="仿宋_GB2312" w:hAnsi="仿宋_GB2312" w:eastAsia="仿宋_GB2312" w:cs="仿宋_GB2312"/>
          <w:sz w:val="24"/>
          <w:szCs w:val="24"/>
          <w:highlight w:val="none"/>
        </w:rPr>
        <w:t>院依法指定</w:t>
      </w:r>
      <w:r>
        <w:rPr>
          <w:rFonts w:hint="eastAsia" w:ascii="仿宋_GB2312" w:hAnsi="仿宋_GB2312" w:eastAsia="仿宋_GB2312" w:cs="仿宋_GB2312"/>
          <w:sz w:val="24"/>
          <w:szCs w:val="24"/>
          <w:highlight w:val="none"/>
          <w:lang w:val="en-US" w:eastAsia="zh-CN"/>
        </w:rPr>
        <w:t>安徽省华安外经建设（集团）有限公司清算组</w:t>
      </w:r>
      <w:r>
        <w:rPr>
          <w:rFonts w:hint="eastAsia" w:ascii="仿宋_GB2312" w:hAnsi="仿宋_GB2312" w:eastAsia="仿宋_GB2312" w:cs="仿宋_GB2312"/>
          <w:sz w:val="24"/>
          <w:szCs w:val="24"/>
          <w:highlight w:val="none"/>
        </w:rPr>
        <w:t>担任甲方管理人。</w:t>
      </w:r>
      <w:r>
        <w:rPr>
          <w:rFonts w:hint="eastAsia" w:ascii="仿宋_GB2312" w:hAnsi="仿宋_GB2312" w:eastAsia="仿宋_GB2312" w:cs="仿宋_GB2312"/>
          <w:sz w:val="24"/>
          <w:szCs w:val="24"/>
          <w:highlight w:val="none"/>
          <w:lang w:eastAsia="zh-CN"/>
        </w:rPr>
        <w:t>合肥市</w:t>
      </w:r>
      <w:r>
        <w:rPr>
          <w:rFonts w:hint="eastAsia" w:ascii="仿宋_GB2312" w:hAnsi="仿宋_GB2312" w:eastAsia="仿宋_GB2312" w:cs="仿宋_GB2312"/>
          <w:sz w:val="24"/>
          <w:szCs w:val="24"/>
          <w:highlight w:val="none"/>
        </w:rPr>
        <w:t>中级人民法院于202</w:t>
      </w:r>
      <w:r>
        <w:rPr>
          <w:rFonts w:hint="eastAsia" w:ascii="仿宋_GB2312" w:hAnsi="仿宋_GB2312" w:eastAsia="仿宋_GB2312" w:cs="仿宋_GB2312"/>
          <w:sz w:val="24"/>
          <w:szCs w:val="24"/>
          <w:highlight w:val="none"/>
          <w:lang w:val="en-US" w:eastAsia="zh-CN"/>
        </w:rPr>
        <w:t>2</w:t>
      </w:r>
      <w:r>
        <w:rPr>
          <w:rFonts w:hint="eastAsia" w:ascii="仿宋_GB2312" w:hAnsi="仿宋_GB2312" w:eastAsia="仿宋_GB2312" w:cs="仿宋_GB2312"/>
          <w:sz w:val="24"/>
          <w:szCs w:val="24"/>
          <w:highlight w:val="none"/>
        </w:rPr>
        <w:t>年</w:t>
      </w:r>
      <w:r>
        <w:rPr>
          <w:rFonts w:hint="eastAsia" w:ascii="仿宋_GB2312" w:hAnsi="仿宋_GB2312" w:eastAsia="仿宋_GB2312" w:cs="仿宋_GB2312"/>
          <w:sz w:val="24"/>
          <w:szCs w:val="24"/>
          <w:highlight w:val="none"/>
          <w:lang w:val="en-US" w:eastAsia="zh-CN"/>
        </w:rPr>
        <w:t>11</w:t>
      </w:r>
      <w:r>
        <w:rPr>
          <w:rFonts w:hint="eastAsia" w:ascii="仿宋_GB2312" w:hAnsi="仿宋_GB2312" w:eastAsia="仿宋_GB2312" w:cs="仿宋_GB2312"/>
          <w:sz w:val="24"/>
          <w:szCs w:val="24"/>
          <w:highlight w:val="none"/>
        </w:rPr>
        <w:t>月</w:t>
      </w:r>
      <w:r>
        <w:rPr>
          <w:rFonts w:hint="eastAsia" w:ascii="仿宋_GB2312" w:hAnsi="仿宋_GB2312" w:eastAsia="仿宋_GB2312" w:cs="仿宋_GB2312"/>
          <w:sz w:val="24"/>
          <w:szCs w:val="24"/>
          <w:highlight w:val="none"/>
          <w:lang w:val="en-US" w:eastAsia="zh-CN"/>
        </w:rPr>
        <w:t>30</w:t>
      </w:r>
      <w:r>
        <w:rPr>
          <w:rFonts w:hint="eastAsia" w:ascii="仿宋_GB2312" w:hAnsi="仿宋_GB2312" w:eastAsia="仿宋_GB2312" w:cs="仿宋_GB2312"/>
          <w:sz w:val="24"/>
          <w:szCs w:val="24"/>
          <w:highlight w:val="none"/>
        </w:rPr>
        <w:t>日裁定批准《</w:t>
      </w:r>
      <w:r>
        <w:rPr>
          <w:rFonts w:hint="eastAsia" w:ascii="仿宋_GB2312" w:hAnsi="仿宋_GB2312" w:eastAsia="仿宋_GB2312" w:cs="仿宋_GB2312"/>
          <w:sz w:val="24"/>
          <w:szCs w:val="24"/>
          <w:highlight w:val="none"/>
          <w:lang w:val="en-US" w:eastAsia="zh-CN"/>
        </w:rPr>
        <w:t>安徽省华安外经建设（集团）有限公司等12家企业</w:t>
      </w:r>
      <w:r>
        <w:rPr>
          <w:rFonts w:hint="eastAsia" w:ascii="仿宋_GB2312" w:hAnsi="仿宋_GB2312" w:eastAsia="仿宋_GB2312" w:cs="仿宋_GB2312"/>
          <w:sz w:val="24"/>
          <w:szCs w:val="24"/>
          <w:highlight w:val="none"/>
        </w:rPr>
        <w:t>重整计划》。依据该重整计划，公司依法存续，管理人依法履行监管职责，监管期限为</w:t>
      </w:r>
      <w:r>
        <w:rPr>
          <w:rFonts w:hint="eastAsia" w:ascii="仿宋_GB2312" w:hAnsi="仿宋_GB2312" w:eastAsia="仿宋_GB2312" w:cs="仿宋_GB2312"/>
          <w:sz w:val="24"/>
          <w:szCs w:val="24"/>
          <w:highlight w:val="none"/>
          <w:lang w:val="en-US" w:eastAsia="zh-CN"/>
        </w:rPr>
        <w:t>五</w:t>
      </w:r>
      <w:r>
        <w:rPr>
          <w:rFonts w:hint="eastAsia" w:ascii="仿宋_GB2312" w:hAnsi="仿宋_GB2312" w:eastAsia="仿宋_GB2312" w:cs="仿宋_GB2312"/>
          <w:sz w:val="24"/>
          <w:szCs w:val="24"/>
          <w:highlight w:val="none"/>
        </w:rPr>
        <w:t>年。根据《中华人民共和国民法典》、《中华人民共和国破产法》等相关法律法规规定，甲、乙双方在自愿、平等、公平和诚实信用的基础上，就乙方自愿承租甲方</w:t>
      </w:r>
      <w:r>
        <w:rPr>
          <w:rFonts w:hint="eastAsia" w:ascii="仿宋_GB2312" w:hAnsi="仿宋_GB2312" w:eastAsia="仿宋_GB2312" w:cs="仿宋_GB2312"/>
          <w:sz w:val="24"/>
          <w:szCs w:val="24"/>
          <w:highlight w:val="none"/>
          <w:lang w:val="en-US" w:eastAsia="zh-CN"/>
        </w:rPr>
        <w:t>垂钓中心地块及</w:t>
      </w:r>
      <w:r>
        <w:rPr>
          <w:rFonts w:hint="eastAsia" w:ascii="仿宋_GB2312" w:hAnsi="仿宋_GB2312" w:eastAsia="仿宋_GB2312" w:cs="仿宋_GB2312"/>
          <w:sz w:val="24"/>
          <w:szCs w:val="24"/>
          <w:highlight w:val="none"/>
        </w:rPr>
        <w:t>已建成区的建筑物、构筑物及附属设施、设备等固定资产和无形资产（以下简称“租赁标的”），双方经协商一致，订立本合同（下称“本合同”）</w:t>
      </w:r>
    </w:p>
    <w:bookmarkEnd w:id="1"/>
    <w:p w14:paraId="65D73239">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highlight w:val="none"/>
        </w:rPr>
      </w:pPr>
      <w:bookmarkStart w:id="2" w:name="第一条-租赁物基本情况"/>
    </w:p>
    <w:p w14:paraId="5F51138A">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第一条 租赁物基本情况</w:t>
      </w:r>
    </w:p>
    <w:p w14:paraId="14D18514">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1.1甲方出租给乙方的租赁标的位于</w:t>
      </w:r>
      <w:r>
        <w:rPr>
          <w:rFonts w:hint="eastAsia" w:ascii="仿宋_GB2312" w:hAnsi="仿宋_GB2312" w:eastAsia="仿宋_GB2312" w:cs="仿宋_GB2312"/>
          <w:sz w:val="24"/>
          <w:szCs w:val="24"/>
          <w:highlight w:val="none"/>
          <w:lang w:val="en-US" w:eastAsia="zh-CN"/>
        </w:rPr>
        <w:t>合肥市庐江县汤池镇金汤湖水库北侧金孔雀毒度假村范围内“垂钓中心”</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val="en-US" w:eastAsia="zh-CN"/>
        </w:rPr>
        <w:t>占地</w:t>
      </w:r>
      <w:r>
        <w:rPr>
          <w:rFonts w:hint="eastAsia" w:ascii="仿宋_GB2312" w:hAnsi="仿宋_GB2312" w:eastAsia="仿宋_GB2312" w:cs="仿宋_GB2312"/>
          <w:sz w:val="24"/>
          <w:szCs w:val="24"/>
          <w:highlight w:val="none"/>
        </w:rPr>
        <w:t>面积约为</w:t>
      </w:r>
      <w:r>
        <w:rPr>
          <w:rFonts w:hint="eastAsia" w:ascii="仿宋_GB2312" w:hAnsi="仿宋_GB2312" w:eastAsia="仿宋_GB2312" w:cs="仿宋_GB2312"/>
          <w:sz w:val="24"/>
          <w:szCs w:val="24"/>
          <w:highlight w:val="none"/>
          <w:lang w:val="en-US" w:eastAsia="zh-CN"/>
        </w:rPr>
        <w:t>积4.8万</w:t>
      </w:r>
      <w:r>
        <w:rPr>
          <w:rFonts w:hint="eastAsia" w:ascii="仿宋_GB2312" w:hAnsi="仿宋_GB2312" w:eastAsia="仿宋_GB2312" w:cs="仿宋_GB2312"/>
          <w:sz w:val="24"/>
          <w:szCs w:val="24"/>
          <w:highlight w:val="none"/>
        </w:rPr>
        <w:t>平方米。</w:t>
      </w:r>
    </w:p>
    <w:p w14:paraId="7E96C073">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r>
        <w:rPr>
          <w:rFonts w:hint="eastAsia" w:ascii="仿宋_GB2312" w:hAnsi="仿宋_GB2312" w:eastAsia="仿宋_GB2312" w:cs="仿宋_GB2312"/>
          <w:sz w:val="24"/>
          <w:szCs w:val="24"/>
          <w:lang w:val="en-US" w:eastAsia="zh-CN"/>
        </w:rPr>
        <w:t>建筑物、附属物及</w:t>
      </w:r>
      <w:r>
        <w:rPr>
          <w:rFonts w:hint="eastAsia" w:ascii="仿宋_GB2312" w:hAnsi="仿宋_GB2312" w:eastAsia="仿宋_GB2312" w:cs="仿宋_GB2312"/>
          <w:sz w:val="24"/>
          <w:szCs w:val="24"/>
        </w:rPr>
        <w:t>其他资产具体情况：</w:t>
      </w:r>
      <w:r>
        <w:rPr>
          <w:rFonts w:hint="eastAsia" w:ascii="仿宋_GB2312" w:hAnsi="仿宋_GB2312" w:eastAsia="仿宋_GB2312" w:cs="仿宋_GB2312"/>
          <w:sz w:val="24"/>
          <w:szCs w:val="24"/>
          <w:lang w:val="en-US" w:eastAsia="zh-CN"/>
        </w:rPr>
        <w:t>活动板房、鱼塘、草坪、长廊等。</w:t>
      </w:r>
    </w:p>
    <w:p w14:paraId="634FC45E">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1.3租赁标的土地权属：</w:t>
      </w:r>
      <w:r>
        <w:rPr>
          <w:rFonts w:hint="eastAsia" w:ascii="仿宋_GB2312" w:hAnsi="仿宋_GB2312" w:eastAsia="仿宋_GB2312" w:cs="仿宋_GB2312"/>
          <w:sz w:val="24"/>
          <w:szCs w:val="24"/>
          <w:lang w:val="en-US" w:eastAsia="zh-CN"/>
        </w:rPr>
        <w:t>集团公司</w:t>
      </w:r>
      <w:r>
        <w:rPr>
          <w:rFonts w:hint="eastAsia" w:ascii="仿宋_GB2312" w:hAnsi="仿宋_GB2312" w:eastAsia="仿宋_GB2312" w:cs="仿宋_GB2312"/>
          <w:sz w:val="24"/>
          <w:szCs w:val="24"/>
        </w:rPr>
        <w:t>与</w:t>
      </w:r>
      <w:r>
        <w:rPr>
          <w:rFonts w:hint="eastAsia" w:ascii="仿宋_GB2312" w:hAnsi="仿宋_GB2312" w:eastAsia="仿宋_GB2312" w:cs="仿宋_GB2312"/>
          <w:sz w:val="24"/>
          <w:szCs w:val="24"/>
          <w:lang w:val="en-US" w:eastAsia="zh-CN"/>
        </w:rPr>
        <w:t>庐江县舒庐干渠管理所</w:t>
      </w:r>
      <w:r>
        <w:rPr>
          <w:rFonts w:hint="eastAsia" w:ascii="仿宋_GB2312" w:hAnsi="仿宋_GB2312" w:eastAsia="仿宋_GB2312" w:cs="仿宋_GB2312"/>
          <w:sz w:val="24"/>
          <w:szCs w:val="24"/>
        </w:rPr>
        <w:t>签订的土地使用权租赁合同，租期三十年，自</w:t>
      </w:r>
      <w:r>
        <w:rPr>
          <w:rFonts w:hint="eastAsia" w:ascii="仿宋_GB2312" w:hAnsi="仿宋_GB2312" w:eastAsia="仿宋_GB2312" w:cs="仿宋_GB2312"/>
          <w:sz w:val="24"/>
          <w:szCs w:val="24"/>
          <w:lang w:val="en-US" w:eastAsia="zh-CN"/>
        </w:rPr>
        <w:t>2004</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月1日起至20</w:t>
      </w:r>
      <w:r>
        <w:rPr>
          <w:rFonts w:hint="eastAsia" w:ascii="仿宋_GB2312" w:hAnsi="仿宋_GB2312" w:eastAsia="仿宋_GB2312" w:cs="仿宋_GB2312"/>
          <w:sz w:val="24"/>
          <w:szCs w:val="24"/>
          <w:lang w:val="en-US" w:eastAsia="zh-CN"/>
        </w:rPr>
        <w:t>34</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月1日止，未办理不动产权证。</w:t>
      </w:r>
      <w:bookmarkStart w:id="12" w:name="_GoBack"/>
      <w:bookmarkEnd w:id="12"/>
    </w:p>
    <w:bookmarkEnd w:id="2"/>
    <w:p w14:paraId="7B8A19F1">
      <w:pPr>
        <w:pStyle w:val="2"/>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bookmarkStart w:id="3" w:name="特别说明"/>
      <w:r>
        <w:rPr>
          <w:rFonts w:hint="eastAsia" w:ascii="仿宋_GB2312" w:hAnsi="仿宋_GB2312" w:eastAsia="仿宋_GB2312" w:cs="仿宋_GB2312"/>
          <w:sz w:val="24"/>
          <w:szCs w:val="24"/>
        </w:rPr>
        <w:t>1.4特别说明：</w:t>
      </w:r>
    </w:p>
    <w:p w14:paraId="62843F65">
      <w:pPr>
        <w:pStyle w:val="3"/>
        <w:pageBreakBefore w:val="0"/>
        <w:widowControl/>
        <w:numPr>
          <w:ilvl w:val="0"/>
          <w:numId w:val="1"/>
        </w:numPr>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乙方声明，甲方对上述资产的现状</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重整背景、转租情况</w:t>
      </w:r>
      <w:r>
        <w:rPr>
          <w:rFonts w:hint="eastAsia" w:ascii="仿宋_GB2312" w:hAnsi="仿宋_GB2312" w:eastAsia="仿宋_GB2312" w:cs="仿宋_GB2312"/>
          <w:sz w:val="24"/>
          <w:szCs w:val="24"/>
        </w:rPr>
        <w:t>及可能引发的乙方商业投资的风险均已向乙方释明。乙方依然决定自担商业风险，投标竞争甲方的资产的整租权。如果可能存在的商业风险在乙方竞争整租权成功后确实发生，乙方除要求甲方根据租赁合同约定的时间减实际承租时间，计算退还已经缴纳的租金及保证金外，不得向甲方及其管理人额外索赔。</w:t>
      </w:r>
    </w:p>
    <w:bookmarkEnd w:id="3"/>
    <w:p w14:paraId="795EB078">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4" w:name="第二条-经营用途"/>
    </w:p>
    <w:p w14:paraId="73255B39">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第二条 经营用途</w:t>
      </w:r>
    </w:p>
    <w:p w14:paraId="25FAE847">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乙方承诺并保证承租的场地和设备主要用于</w:t>
      </w:r>
      <w:r>
        <w:rPr>
          <w:rFonts w:hint="eastAsia" w:ascii="仿宋_GB2312" w:hAnsi="仿宋_GB2312" w:eastAsia="仿宋_GB2312" w:cs="仿宋_GB2312"/>
          <w:sz w:val="24"/>
          <w:szCs w:val="24"/>
          <w:lang w:val="en-US" w:eastAsia="zh-CN"/>
        </w:rPr>
        <w:t>垂钓、养殖</w:t>
      </w:r>
      <w:r>
        <w:rPr>
          <w:rFonts w:hint="eastAsia" w:ascii="仿宋_GB2312" w:hAnsi="仿宋_GB2312" w:eastAsia="仿宋_GB2312" w:cs="仿宋_GB2312"/>
          <w:sz w:val="24"/>
          <w:szCs w:val="24"/>
        </w:rPr>
        <w:t>等传统业务，或者经主管部门核准的其他业务。</w:t>
      </w:r>
    </w:p>
    <w:bookmarkEnd w:id="4"/>
    <w:p w14:paraId="4A853164">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5" w:name="第三条-租赁期限租金保证金及支付方式"/>
    </w:p>
    <w:p w14:paraId="0424C53A">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第三条 租赁期限、租金、保证金及支付方式</w:t>
      </w:r>
    </w:p>
    <w:p w14:paraId="769EAEB8">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3.1本合同租赁期限为</w:t>
      </w:r>
      <w:r>
        <w:rPr>
          <w:rFonts w:hint="eastAsia" w:ascii="仿宋_GB2312" w:hAnsi="仿宋_GB2312" w:eastAsia="仿宋_GB2312" w:cs="仿宋_GB2312"/>
          <w:sz w:val="24"/>
          <w:szCs w:val="24"/>
          <w:lang w:val="en-US" w:eastAsia="zh-CN"/>
        </w:rPr>
        <w:t>五</w:t>
      </w:r>
      <w:r>
        <w:rPr>
          <w:rFonts w:hint="eastAsia" w:ascii="仿宋_GB2312" w:hAnsi="仿宋_GB2312" w:eastAsia="仿宋_GB2312" w:cs="仿宋_GB2312"/>
          <w:sz w:val="24"/>
          <w:szCs w:val="24"/>
        </w:rPr>
        <w:t>年，自2025年__月__日起计算租金，至202</w:t>
      </w: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rPr>
        <w:t>年__月__日止。</w:t>
      </w:r>
    </w:p>
    <w:p w14:paraId="0544F070">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3.2租金支付时间及方式：租金按年交付。乙方应于本合同签订三日内，向甲方一次性支付首年租金，金额为人民币____元。自第二年起，乙方应在下一年度开始前提前一个月支付下一年度租金。</w:t>
      </w:r>
    </w:p>
    <w:p w14:paraId="79B631BC">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3.3押金支付时间及方式：本合同签订当日，乙方为竞争甲方生产厂区整租权向甲方缴纳的意向整租人保证金人民币壹佰万元（￥</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万元）自动转为租赁合同的履约保证金；同时缴纳资产租赁押金</w:t>
      </w:r>
      <w:r>
        <w:rPr>
          <w:rFonts w:hint="eastAsia" w:ascii="仿宋_GB2312" w:hAnsi="仿宋_GB2312" w:eastAsia="仿宋_GB2312" w:cs="仿宋_GB2312"/>
          <w:sz w:val="24"/>
          <w:szCs w:val="24"/>
          <w:lang w:val="en-US" w:eastAsia="zh-CN"/>
        </w:rPr>
        <w:t>40</w:t>
      </w:r>
      <w:r>
        <w:rPr>
          <w:rFonts w:hint="eastAsia" w:ascii="仿宋_GB2312" w:hAnsi="仿宋_GB2312" w:eastAsia="仿宋_GB2312" w:cs="仿宋_GB2312"/>
          <w:sz w:val="24"/>
          <w:szCs w:val="24"/>
        </w:rPr>
        <w:t>万元，可以支付现金也可以履约银行保函的方式提供，银行保函有效时间至租赁期满后半年，并注明见索即付。</w:t>
      </w:r>
    </w:p>
    <w:p w14:paraId="3C8BFA0E">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期满，甲乙双方对租赁标的进行验收并办理交接手续，甲方确认租赁标的完好且乙方将租赁标的交还甲方之日起七个月内，甲方将租赁保证金和资产押金（或银行履约保函）无息返还给乙方。如果乙方中途擅自退租，甲方将不予退还租赁保证金；资产押金在资产交接无损害后退还，如果有损害，据实赔偿。</w:t>
      </w:r>
    </w:p>
    <w:p w14:paraId="4D0EA201">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3.4租金及保证金由乙方向甲方指定的以下账户转账支付：</w:t>
      </w:r>
    </w:p>
    <w:p w14:paraId="5424C32C">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u w:val="single"/>
          <w:lang w:val="en-US" w:eastAsia="zh-CN"/>
        </w:rPr>
        <w:t>账户名称：安徽省外经建设（集团）有限公司</w:t>
      </w:r>
    </w:p>
    <w:p w14:paraId="68E21054">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u w:val="single"/>
          <w:lang w:val="en-US" w:eastAsia="zh-CN"/>
        </w:rPr>
        <w:t>开户行：中国银行合肥绩溪路支行</w:t>
      </w:r>
    </w:p>
    <w:p w14:paraId="2DE141EA">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u w:val="single"/>
          <w:lang w:val="en-US" w:eastAsia="zh-CN"/>
        </w:rPr>
        <w:t>账号：179704634046。</w:t>
      </w:r>
    </w:p>
    <w:p w14:paraId="1FB97B5B">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3.5为充分保障乙方恢复设施设备，甲方同意给予乙方</w:t>
      </w: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0日的免租期用于对甲方生产厂区内设施设备、建筑物、构筑物等资产的检修、</w:t>
      </w:r>
      <w:r>
        <w:rPr>
          <w:rFonts w:hint="eastAsia" w:ascii="仿宋_GB2312" w:hAnsi="仿宋_GB2312" w:eastAsia="仿宋_GB2312" w:cs="仿宋_GB2312"/>
          <w:sz w:val="24"/>
          <w:szCs w:val="24"/>
          <w:lang w:val="en-US" w:eastAsia="zh-CN"/>
        </w:rPr>
        <w:t>提升改造</w:t>
      </w:r>
      <w:r>
        <w:rPr>
          <w:rFonts w:hint="eastAsia" w:ascii="仿宋_GB2312" w:hAnsi="仿宋_GB2312" w:eastAsia="仿宋_GB2312" w:cs="仿宋_GB2312"/>
          <w:sz w:val="24"/>
          <w:szCs w:val="24"/>
        </w:rPr>
        <w:t>工作。自乙方缴纳一年租金当日即可进场开始进行前述准备工作，但应自行承担产生的费用，包括但不限于</w:t>
      </w:r>
      <w:r>
        <w:rPr>
          <w:rFonts w:hint="eastAsia" w:ascii="仿宋_GB2312" w:hAnsi="仿宋_GB2312" w:eastAsia="仿宋_GB2312" w:cs="仿宋_GB2312"/>
          <w:sz w:val="24"/>
          <w:szCs w:val="24"/>
          <w:lang w:val="en-US" w:eastAsia="zh-CN"/>
        </w:rPr>
        <w:t>提升改造费用、</w:t>
      </w:r>
      <w:r>
        <w:rPr>
          <w:rFonts w:hint="eastAsia" w:ascii="仿宋_GB2312" w:hAnsi="仿宋_GB2312" w:eastAsia="仿宋_GB2312" w:cs="仿宋_GB2312"/>
          <w:sz w:val="24"/>
          <w:szCs w:val="24"/>
        </w:rPr>
        <w:t>设施设备检修费、构筑物加固的加固费等。</w:t>
      </w:r>
    </w:p>
    <w:p w14:paraId="3565F15D">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3.6租赁合同到期，乙方须在租赁期限届满三个月前以书面方式通知甲方是否续租。如甲方在前述期限前未收到乙方书面续租通知，则视为</w:t>
      </w:r>
    </w:p>
    <w:p w14:paraId="752D331E">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放弃续租和优先承租权，本合同自初始租赁期限届满之日终止。如甲方在前述期限前接到续约通知的，则双方应就续约条件进行协商，如果双方未能就续约条件达成一致，则本合同自初始租赁期限届满之日终止；如果双方就续约条件达成一致，续约后的租赁期限应从初始租赁期限届满的次日开始计算。</w:t>
      </w:r>
    </w:p>
    <w:bookmarkEnd w:id="5"/>
    <w:p w14:paraId="685A4EE7">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6" w:name="第四条-生产保障"/>
    </w:p>
    <w:p w14:paraId="17FDDD16">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第四条 生产保障</w:t>
      </w:r>
    </w:p>
    <w:p w14:paraId="5BEA0B11">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本协议的履行过程中，承租范围内的消防安全责任、所有人身及财产安全责任由乙方全面承担，与甲方无关。由于乙方（含其雇佣人员）原因导致事故发生（无论是否发生在租赁场所内），给甲方、乙方自身或其他人造成人身伤害或财产损失的，由乙方承担一切民事、行政、刑事法律责任。</w:t>
      </w:r>
    </w:p>
    <w:p w14:paraId="760108EC">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4.2如遇不可抗力导致乙方停工停产等状况发生，甲乙双方应进行充分协商，以减少或避免损失为第一原则，给与对方必要的帮助与救济。</w:t>
      </w:r>
    </w:p>
    <w:bookmarkEnd w:id="6"/>
    <w:p w14:paraId="72A47FC0">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7" w:name="第五条-双方权利与义务"/>
    </w:p>
    <w:p w14:paraId="0D59270F">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第五条 双方权利与义务</w:t>
      </w:r>
    </w:p>
    <w:p w14:paraId="4C5D3361">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sz w:val="24"/>
          <w:szCs w:val="24"/>
        </w:rPr>
        <w:t>（1）甲方的权利与义务</w:t>
      </w:r>
    </w:p>
    <w:p w14:paraId="364B75D8">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5.1甲方有权依本合同约定向乙方收取租金；若乙方延迟支付租金，每日应当按照未支付的租金的千分之三向甲方支付滞纳金，申方可直接从履约保证金中扣除。</w:t>
      </w:r>
    </w:p>
    <w:p w14:paraId="32B1B60F">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5.2甲方董事会及三年监管期内的管理人应在自身能力范围之内积极配合乙方进行日常生产工作的开展和经营。</w:t>
      </w:r>
    </w:p>
    <w:p w14:paraId="2445D5A2">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5.3若遇到超过甲方及监管期内的管理人协助能力之外的事项，甲方或者监管期内的管理人应积极召开</w:t>
      </w:r>
      <w:r>
        <w:rPr>
          <w:rFonts w:hint="eastAsia" w:ascii="仿宋_GB2312" w:hAnsi="仿宋_GB2312" w:eastAsia="仿宋_GB2312" w:cs="仿宋_GB2312"/>
          <w:sz w:val="24"/>
          <w:szCs w:val="24"/>
          <w:lang w:val="en-US" w:eastAsia="zh-CN"/>
        </w:rPr>
        <w:t>会议</w:t>
      </w:r>
      <w:r>
        <w:rPr>
          <w:rFonts w:hint="eastAsia" w:ascii="仿宋_GB2312" w:hAnsi="仿宋_GB2312" w:eastAsia="仿宋_GB2312" w:cs="仿宋_GB2312"/>
          <w:sz w:val="24"/>
          <w:szCs w:val="24"/>
        </w:rPr>
        <w:t>，对与乙方达成的相关解决方案进行表决。</w:t>
      </w:r>
    </w:p>
    <w:p w14:paraId="20387AE9">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（2）乙方的权利与义务：</w:t>
      </w:r>
    </w:p>
    <w:p w14:paraId="22DCA6EA">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 xml:space="preserve"> 乙方应按期支付租金并承担各项费用；如有特殊情形，乙方应当向甲方出具书面函件告知，具体内容另行协商。</w:t>
      </w:r>
    </w:p>
    <w:p w14:paraId="3C7C4BB8">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 xml:space="preserve"> 租赁期间，乙方应当合理使用场地内的各类设备设施以及建筑物、构筑物等，不得随意改变用途，如有需要应当提前</w:t>
      </w:r>
      <w:r>
        <w:rPr>
          <w:rFonts w:hint="eastAsia" w:ascii="仿宋_GB2312" w:hAnsi="仿宋_GB2312" w:eastAsia="仿宋_GB2312" w:cs="仿宋_GB2312"/>
          <w:sz w:val="24"/>
          <w:szCs w:val="24"/>
          <w:lang w:val="en-US" w:eastAsia="zh-CN"/>
        </w:rPr>
        <w:t>15</w:t>
      </w:r>
      <w:r>
        <w:rPr>
          <w:rFonts w:hint="eastAsia" w:ascii="仿宋_GB2312" w:hAnsi="仿宋_GB2312" w:eastAsia="仿宋_GB2312" w:cs="仿宋_GB2312"/>
          <w:sz w:val="24"/>
          <w:szCs w:val="24"/>
        </w:rPr>
        <w:t>日向甲方出具书面申请。如因乙方擅自改变该生产厂区的建筑物、构筑物的布局平面及立体结构，改变相应的功能区的用途等，致使</w:t>
      </w:r>
      <w:r>
        <w:rPr>
          <w:rFonts w:hint="eastAsia" w:ascii="仿宋_GB2312" w:hAnsi="仿宋_GB2312" w:eastAsia="仿宋_GB2312" w:cs="仿宋_GB2312"/>
          <w:sz w:val="24"/>
          <w:szCs w:val="24"/>
          <w:lang w:val="en-US" w:eastAsia="zh-CN"/>
        </w:rPr>
        <w:t>资产价值或使用功能</w:t>
      </w:r>
      <w:r>
        <w:rPr>
          <w:rFonts w:hint="eastAsia" w:ascii="仿宋_GB2312" w:hAnsi="仿宋_GB2312" w:eastAsia="仿宋_GB2312" w:cs="仿宋_GB2312"/>
          <w:sz w:val="24"/>
          <w:szCs w:val="24"/>
        </w:rPr>
        <w:t>受到损害的，甲方有权要求乙方恢复原状并赔偿损失。</w:t>
      </w:r>
    </w:p>
    <w:p w14:paraId="211358A3">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 乙方在租赁期内应配合甲方、政府主管部门、防汛部门等对生产厂区及租赁资产的定期和不定期的现场查看和检查。</w:t>
      </w:r>
    </w:p>
    <w:p w14:paraId="5B16E1DF">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 xml:space="preserve"> 租赁期间内由乙方负责</w:t>
      </w:r>
      <w:r>
        <w:rPr>
          <w:rFonts w:hint="eastAsia" w:ascii="仿宋_GB2312" w:hAnsi="仿宋_GB2312" w:eastAsia="仿宋_GB2312" w:cs="仿宋_GB2312"/>
          <w:sz w:val="24"/>
          <w:szCs w:val="24"/>
          <w:lang w:val="en-US" w:eastAsia="zh-CN"/>
        </w:rPr>
        <w:t>水库</w:t>
      </w:r>
      <w:r>
        <w:rPr>
          <w:rFonts w:hint="eastAsia" w:ascii="仿宋_GB2312" w:hAnsi="仿宋_GB2312" w:eastAsia="仿宋_GB2312" w:cs="仿宋_GB2312"/>
          <w:sz w:val="24"/>
          <w:szCs w:val="24"/>
        </w:rPr>
        <w:t>的防汛防洪工作，包括制作防洪应急预案，对厂区设施设备进行拆除转移高处的预案等，费用自理。</w:t>
      </w:r>
    </w:p>
    <w:p w14:paraId="380D528E">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 xml:space="preserve"> 在租赁期间，乙方的生产经营活动必须遵守国家的法律法规及各项规章制度。应按照政府部门核定的经营范围经营，接受政府有关部门监督，自觉向政府有关部门缴纳管理费用、税费等。</w:t>
      </w:r>
    </w:p>
    <w:p w14:paraId="2C43ACD7">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 xml:space="preserve"> 为促进就业及解决职工安置问题，在乙方租赁期间，乙方应当在同等条件下优先聘请甲方公司职工。</w:t>
      </w:r>
    </w:p>
    <w:bookmarkEnd w:id="7"/>
    <w:p w14:paraId="21C017F9">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8" w:name="第六条-租赁场地设备的交还"/>
    </w:p>
    <w:p w14:paraId="785802CD">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第六条 租赁场地、设备的交还</w:t>
      </w:r>
    </w:p>
    <w:p w14:paraId="1E26818D">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租赁期满后，乙方搬离前，需提前30日向甲方提交搬离物品清单、搬运方式等，待甲方审查后方可搬离。乙方在承租期间投入的独立资产或对机器设备进行维修、改造升级等，租赁期满后的权属及搬离办法双方专项约定，详见补充协议。如乙方拒不交还的，甲方有权采取必要措施予以收回，由此造成的损失由乙方承担。</w:t>
      </w:r>
    </w:p>
    <w:p w14:paraId="4C07DE5D">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对已经与场地形成附和的资产，非因甲方原因导致的合同解除或期限届满，所有权归甲方所有。</w:t>
      </w:r>
    </w:p>
    <w:bookmarkEnd w:id="8"/>
    <w:p w14:paraId="1E547430">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9" w:name="第七条-违约责任"/>
    </w:p>
    <w:p w14:paraId="025C5CF3">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第七条 违约责任</w:t>
      </w:r>
    </w:p>
    <w:p w14:paraId="64DD7D91">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7.1 租赁期满后，乙方逾期未能搬场搬离或者未能全部搬离的，则自逾期搬离的次日起，甲方有权继续收取租金，在押金中予以扣减，押金不足扣减的，甲方有权另行主张。</w:t>
      </w:r>
    </w:p>
    <w:p w14:paraId="1B8C0311">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7.2乙方在租赁期间应及时支付各期年租金，逾期支付超过十五日，甲方有权解除《租赁合同》，并由乙方按该期年租金的 </w:t>
      </w:r>
      <m:oMath>
        <m:r>
          <m:rPr/>
          <w:rPr>
            <w:rFonts w:hint="eastAsia" w:ascii="DejaVu Math TeX Gyre" w:hAnsi="DejaVu Math TeX Gyre" w:eastAsia="仿宋_GB2312" w:cs="仿宋_GB2312"/>
            <w:sz w:val="24"/>
            <w:szCs w:val="24"/>
          </w:rPr>
          <m:t>20</m:t>
        </m:r>
        <m:r>
          <m:rPr>
            <m:sty m:val="p"/>
          </m:rPr>
          <w:rPr>
            <w:rFonts w:hint="eastAsia" w:ascii="DejaVu Math TeX Gyre" w:hAnsi="DejaVu Math TeX Gyre" w:eastAsia="仿宋_GB2312" w:cs="仿宋_GB2312"/>
            <w:sz w:val="24"/>
            <w:szCs w:val="24"/>
          </w:rPr>
          <m:t>%</m:t>
        </m:r>
      </m:oMath>
      <w:r>
        <w:rPr>
          <w:rFonts w:hint="eastAsia" w:ascii="仿宋_GB2312" w:hAnsi="仿宋_GB2312" w:eastAsia="仿宋_GB2312" w:cs="仿宋_GB2312"/>
          <w:sz w:val="24"/>
          <w:szCs w:val="24"/>
        </w:rPr>
        <w:t xml:space="preserve"> 承担违约金。</w:t>
      </w:r>
    </w:p>
    <w:bookmarkEnd w:id="9"/>
    <w:p w14:paraId="3775622F">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10" w:name="第八条争议的处理"/>
    </w:p>
    <w:p w14:paraId="04802033">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第八条争议的处理</w:t>
      </w:r>
    </w:p>
    <w:p w14:paraId="206CD87E">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争议的处理本协议在履行过程中发生的争议，由双方当事人协商解决或有关部门调解；协商或调解不成的，依法向</w:t>
      </w:r>
      <w:r>
        <w:rPr>
          <w:rFonts w:hint="eastAsia" w:ascii="仿宋_GB2312" w:hAnsi="仿宋_GB2312" w:eastAsia="仿宋_GB2312" w:cs="仿宋_GB2312"/>
          <w:sz w:val="24"/>
          <w:szCs w:val="24"/>
          <w:lang w:val="en-US" w:eastAsia="zh-CN"/>
        </w:rPr>
        <w:t>甲方所在地人民法院诉讼解决</w:t>
      </w:r>
      <w:r>
        <w:rPr>
          <w:rFonts w:hint="eastAsia" w:ascii="仿宋_GB2312" w:hAnsi="仿宋_GB2312" w:eastAsia="仿宋_GB2312" w:cs="仿宋_GB2312"/>
          <w:sz w:val="24"/>
          <w:szCs w:val="24"/>
        </w:rPr>
        <w:t>。</w:t>
      </w:r>
    </w:p>
    <w:bookmarkEnd w:id="10"/>
    <w:p w14:paraId="0E4DC1CB">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eastAsia" w:ascii="仿宋_GB2312" w:hAnsi="仿宋_GB2312" w:eastAsia="仿宋_GB2312" w:cs="仿宋_GB2312"/>
          <w:b/>
          <w:bCs/>
          <w:sz w:val="24"/>
          <w:szCs w:val="24"/>
        </w:rPr>
      </w:pPr>
      <w:bookmarkStart w:id="11" w:name="第九条其他约定"/>
    </w:p>
    <w:p w14:paraId="33654067">
      <w:pPr>
        <w:pStyle w:val="2"/>
        <w:pageBreakBefore w:val="0"/>
        <w:widowControl/>
        <w:kinsoku/>
        <w:wordWrap/>
        <w:overflowPunct/>
        <w:topLinePunct w:val="0"/>
        <w:autoSpaceDE/>
        <w:autoSpaceDN/>
        <w:bidi w:val="0"/>
        <w:adjustRightInd/>
        <w:snapToGrid/>
        <w:spacing w:before="0" w:after="0" w:line="440" w:lineRule="exact"/>
        <w:ind w:firstLine="482" w:firstLineChars="200"/>
        <w:textAlignment w:val="auto"/>
        <w:rPr>
          <w:rFonts w:hint="default" w:eastAsia="仿宋_GB2312"/>
          <w:lang w:val="en-US" w:eastAsia="zh-CN"/>
        </w:rPr>
      </w:pPr>
      <w:r>
        <w:rPr>
          <w:rFonts w:hint="eastAsia" w:ascii="仿宋_GB2312" w:hAnsi="仿宋_GB2312" w:eastAsia="仿宋_GB2312" w:cs="仿宋_GB2312"/>
          <w:b/>
          <w:bCs/>
          <w:sz w:val="24"/>
          <w:szCs w:val="24"/>
        </w:rPr>
        <w:t>第九条其他约定</w:t>
      </w:r>
    </w:p>
    <w:p w14:paraId="086C9F0F">
      <w:pPr>
        <w:pStyle w:val="29"/>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本合同签订前，</w:t>
      </w:r>
      <w:r>
        <w:rPr>
          <w:rFonts w:hint="eastAsia" w:ascii="仿宋_GB2312" w:hAnsi="仿宋_GB2312" w:eastAsia="仿宋_GB2312" w:cs="仿宋_GB2312"/>
          <w:sz w:val="24"/>
          <w:szCs w:val="24"/>
          <w:lang w:val="en-US" w:eastAsia="zh-CN"/>
        </w:rPr>
        <w:t>乙</w:t>
      </w:r>
      <w:r>
        <w:rPr>
          <w:rFonts w:hint="eastAsia" w:ascii="仿宋_GB2312" w:hAnsi="仿宋_GB2312" w:eastAsia="仿宋_GB2312" w:cs="仿宋_GB2312"/>
          <w:sz w:val="24"/>
          <w:szCs w:val="24"/>
        </w:rPr>
        <w:t>方已通过《金孔雀度假村“垂钓中心”招租公告》</w:t>
      </w:r>
      <w:r>
        <w:rPr>
          <w:rFonts w:hint="eastAsia" w:ascii="仿宋_GB2312" w:hAnsi="仿宋_GB2312" w:eastAsia="仿宋_GB2312" w:cs="仿宋_GB2312"/>
          <w:sz w:val="24"/>
          <w:szCs w:val="24"/>
          <w:lang w:val="en-US" w:eastAsia="zh-CN"/>
        </w:rPr>
        <w:t>内容及调查程序知悉甲</w:t>
      </w:r>
      <w:r>
        <w:rPr>
          <w:rFonts w:hint="eastAsia" w:ascii="仿宋_GB2312" w:hAnsi="仿宋_GB2312" w:eastAsia="仿宋_GB2312" w:cs="仿宋_GB2312"/>
          <w:sz w:val="24"/>
          <w:szCs w:val="24"/>
        </w:rPr>
        <w:t>方租赁标的物的产权、规划用途等详细情形，乙方已明确知悉但以上情况不影响乙方正常经营，在此情形下甲乙双方经充分沟通协商签订本合同。</w:t>
      </w:r>
    </w:p>
    <w:p w14:paraId="4BCE2300">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本合同未尽事宜，双方可签订补充协议，补充协议与本合同具有同等效力。本合同一式肆份，甲乙双方各执壹份，报送至</w:t>
      </w:r>
      <w:r>
        <w:rPr>
          <w:rFonts w:hint="eastAsia" w:ascii="仿宋_GB2312" w:hAnsi="仿宋_GB2312" w:eastAsia="仿宋_GB2312" w:cs="仿宋_GB2312"/>
          <w:sz w:val="24"/>
          <w:szCs w:val="24"/>
          <w:lang w:eastAsia="zh-CN"/>
        </w:rPr>
        <w:t>合肥市</w:t>
      </w:r>
      <w:r>
        <w:rPr>
          <w:rFonts w:hint="eastAsia" w:ascii="仿宋_GB2312" w:hAnsi="仿宋_GB2312" w:eastAsia="仿宋_GB2312" w:cs="仿宋_GB2312"/>
          <w:sz w:val="24"/>
          <w:szCs w:val="24"/>
        </w:rPr>
        <w:t>中级人民法院、相关政府部门备案一份自双方签字盖章之日起生效。</w:t>
      </w:r>
    </w:p>
    <w:p w14:paraId="524863F1">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合同附件：招租公告</w:t>
      </w:r>
    </w:p>
    <w:p w14:paraId="434F1E57">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p>
    <w:p w14:paraId="1D21B04A">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p>
    <w:p w14:paraId="4B35865B">
      <w:pPr>
        <w:pStyle w:val="3"/>
        <w:pageBreakBefore w:val="0"/>
        <w:widowControl/>
        <w:kinsoku/>
        <w:wordWrap/>
        <w:overflowPunct/>
        <w:topLinePunct w:val="0"/>
        <w:autoSpaceDE/>
        <w:autoSpaceDN/>
        <w:bidi w:val="0"/>
        <w:adjustRightInd/>
        <w:snapToGrid/>
        <w:spacing w:before="0" w:after="0"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甲方（盖章）：</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乙方（盖章）：</w:t>
      </w:r>
    </w:p>
    <w:p w14:paraId="51864F90">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p>
    <w:p w14:paraId="2876C323">
      <w:pPr>
        <w:pStyle w:val="3"/>
        <w:pageBreakBefore w:val="0"/>
        <w:widowControl/>
        <w:kinsoku/>
        <w:wordWrap/>
        <w:overflowPunct/>
        <w:topLinePunct w:val="0"/>
        <w:autoSpaceDE/>
        <w:autoSpaceDN/>
        <w:bidi w:val="0"/>
        <w:adjustRightInd/>
        <w:snapToGrid/>
        <w:spacing w:before="0" w:after="0" w:line="44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签订日期：</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签订日期：</w:t>
      </w:r>
    </w:p>
    <w:p w14:paraId="61B59433">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p>
    <w:p w14:paraId="53D035B4">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p>
    <w:p w14:paraId="64AAB3A5">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default" w:ascii="仿宋_GB2312" w:hAnsi="仿宋_GB2312" w:eastAsia="仿宋_GB2312" w:cs="仿宋_GB2312"/>
          <w:sz w:val="24"/>
          <w:szCs w:val="24"/>
          <w:highlight w:val="none"/>
          <w:lang w:val="en-US" w:eastAsia="zh-CN" w:bidi="ar-SA"/>
        </w:rPr>
      </w:pPr>
      <w:r>
        <w:rPr>
          <w:rFonts w:hint="eastAsia" w:ascii="仿宋_GB2312" w:hAnsi="仿宋_GB2312" w:eastAsia="仿宋_GB2312" w:cs="仿宋_GB2312"/>
          <w:sz w:val="24"/>
          <w:szCs w:val="24"/>
          <w:highlight w:val="none"/>
          <w:lang w:val="en-US" w:eastAsia="zh-CN" w:bidi="ar-SA"/>
        </w:rPr>
        <w:t>鉴证方（签章）：庐江县舒庐干渠管理所</w:t>
      </w:r>
    </w:p>
    <w:p w14:paraId="0A2CB45D">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lang w:val="en-US" w:eastAsia="zh-CN"/>
        </w:rPr>
      </w:pPr>
    </w:p>
    <w:p w14:paraId="0AFE72A9">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签订日期：</w:t>
      </w:r>
    </w:p>
    <w:p w14:paraId="4014CB70">
      <w:pPr>
        <w:pStyle w:val="3"/>
        <w:pageBreakBefore w:val="0"/>
        <w:widowControl/>
        <w:kinsoku/>
        <w:wordWrap/>
        <w:overflowPunct/>
        <w:topLinePunct w:val="0"/>
        <w:autoSpaceDE/>
        <w:autoSpaceDN/>
        <w:bidi w:val="0"/>
        <w:adjustRightInd/>
        <w:snapToGrid/>
        <w:spacing w:before="0" w:after="0" w:line="440" w:lineRule="exact"/>
        <w:ind w:firstLine="480" w:firstLineChars="200"/>
        <w:textAlignment w:val="auto"/>
        <w:rPr>
          <w:rFonts w:hint="eastAsia" w:ascii="仿宋_GB2312" w:hAnsi="仿宋_GB2312" w:eastAsia="仿宋_GB2312" w:cs="仿宋_GB2312"/>
          <w:sz w:val="24"/>
          <w:szCs w:val="24"/>
        </w:rPr>
      </w:pPr>
    </w:p>
    <w:p w14:paraId="6DA75601">
      <w:pPr>
        <w:pStyle w:val="3"/>
        <w:pageBreakBefore w:val="0"/>
        <w:widowControl/>
        <w:kinsoku/>
        <w:wordWrap/>
        <w:overflowPunct/>
        <w:topLinePunct w:val="0"/>
        <w:autoSpaceDE/>
        <w:autoSpaceDN/>
        <w:bidi w:val="0"/>
        <w:adjustRightInd/>
        <w:snapToGrid/>
        <w:spacing w:before="0" w:after="0" w:line="440" w:lineRule="exact"/>
        <w:textAlignment w:val="auto"/>
        <w:rPr>
          <w:rFonts w:hint="eastAsia" w:ascii="仿宋_GB2312" w:hAnsi="仿宋_GB2312" w:eastAsia="仿宋_GB2312" w:cs="仿宋_GB2312"/>
          <w:sz w:val="24"/>
          <w:szCs w:val="24"/>
        </w:rPr>
      </w:pPr>
    </w:p>
    <w:bookmarkEnd w:id="11"/>
    <w:sectPr>
      <w:footerReference r:id="rId4" w:type="default"/>
      <w:footnotePr>
        <w:numRestart w:val="eachSect"/>
      </w:footnote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ptos">
    <w:altName w:val="Helvetica Neue"/>
    <w:panose1 w:val="00000000000000000000"/>
    <w:charset w:val="00"/>
    <w:family w:val="swiss"/>
    <w:pitch w:val="default"/>
    <w:sig w:usb0="00000000" w:usb1="00000000" w:usb2="00000000"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Aptos Display">
    <w:altName w:val="Helvetica Neue"/>
    <w:panose1 w:val="00000000000000000000"/>
    <w:charset w:val="00"/>
    <w:family w:val="swiss"/>
    <w:pitch w:val="default"/>
    <w:sig w:usb0="00000000" w:usb1="00000000" w:usb2="00000000" w:usb3="00000000" w:csb0="0000019F" w:csb1="00000000"/>
  </w:font>
  <w:font w:name="等线 Light">
    <w:altName w:val="汉仪中等线KW"/>
    <w:panose1 w:val="02010600030101010101"/>
    <w:charset w:val="86"/>
    <w:family w:val="auto"/>
    <w:pitch w:val="default"/>
    <w:sig w:usb0="00000000" w:usb1="00000000" w:usb2="00000016" w:usb3="00000000" w:csb0="0004000F" w:csb1="00000000"/>
  </w:font>
  <w:font w:name="Consolas">
    <w:altName w:val="苹方-简"/>
    <w:panose1 w:val="020B0609020204030204"/>
    <w:charset w:val="00"/>
    <w:family w:val="modern"/>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等线 Light">
    <w:altName w:val="汉仪中等线KW"/>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黑体">
    <w:altName w:val="汉仪中黑KW"/>
    <w:panose1 w:val="00000000000000000000"/>
    <w:charset w:val="00"/>
    <w:family w:val="auto"/>
    <w:pitch w:val="default"/>
    <w:sig w:usb0="00000000" w:usb1="00000000" w:usb2="00000000" w:usb3="00000000" w:csb0="00000000" w:csb1="00000000"/>
  </w:font>
  <w:font w:name="MS Mincho">
    <w:altName w:val="Hiragino Sans"/>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Hiragino Sans">
    <w:panose1 w:val="020B0700000000000000"/>
    <w:charset w:val="80"/>
    <w:family w:val="auto"/>
    <w:pitch w:val="default"/>
    <w:sig w:usb0="800002CF" w:usb1="6AC7FCFC" w:usb2="00000012" w:usb3="00000000" w:csb0="0002000D"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8FA42">
    <w:pPr>
      <w:pStyle w:val="16"/>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4E805ABF">
                <w:pPr>
                  <w:pStyle w:val="16"/>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FF120B"/>
    <w:multiLevelType w:val="singleLevel"/>
    <w:tmpl w:val="F2FF120B"/>
    <w:lvl w:ilvl="0" w:tentative="0">
      <w:start w:val="1"/>
      <w:numFmt w:val="upp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hdrShapeDefaults>
    <o:shapelayout v:ext="edit">
      <o:idmap v:ext="edit" data="2"/>
    </o:shapelayout>
  </w:hdrShapeDefaults>
  <w:footnotePr>
    <w:numRestart w:val="eachSect"/>
    <w:footnote w:id="0"/>
    <w:footnote w:id="1"/>
  </w:footnotePr>
  <w:compat>
    <w:balanceSingleByteDoubleByteWidth/>
    <w:doNotExpandShiftReturn/>
    <w:adjustLineHeightInTable/>
    <w:doNotWrapTextWithPunct/>
    <w:doNotUseEastAsianBreakRules/>
    <w:useFELayout/>
    <w:doNotUseIndentAsNumberingTabStop/>
    <w:compatSetting w:name="compatibilityMode" w:uri="http://schemas.microsoft.com/office/word" w:val="12"/>
  </w:compat>
  <w:rsids>
    <w:rsidRoot w:val="005D233A"/>
    <w:rsid w:val="00085980"/>
    <w:rsid w:val="00297854"/>
    <w:rsid w:val="002F2FBF"/>
    <w:rsid w:val="003421D2"/>
    <w:rsid w:val="005D233A"/>
    <w:rsid w:val="005E4580"/>
    <w:rsid w:val="006E3379"/>
    <w:rsid w:val="00B223CB"/>
    <w:rsid w:val="00C71066"/>
    <w:rsid w:val="00D00EB3"/>
    <w:rsid w:val="3F57B125"/>
    <w:rsid w:val="67AB9DA7"/>
    <w:rsid w:val="6BDE71A8"/>
    <w:rsid w:val="773CD67B"/>
    <w:rsid w:val="7E7EC304"/>
    <w:rsid w:val="B6EBF323"/>
    <w:rsid w:val="EBF92C04"/>
    <w:rsid w:val="EF79E3D8"/>
    <w:rsid w:val="FDBF48E9"/>
    <w:rsid w:val="FFEFA4B1"/>
    <w:rsid w:val="FFFE2C45"/>
    <w:rsid w:val="FFFEF7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4"/>
      <w:szCs w:val="24"/>
      <w:lang w:val="en-US" w:eastAsia="en-US" w:bidi="ar-SA"/>
    </w:rPr>
  </w:style>
  <w:style w:type="paragraph" w:styleId="2">
    <w:name w:val="heading 1"/>
    <w:basedOn w:val="1"/>
    <w:next w:val="3"/>
    <w:link w:val="36"/>
    <w:qFormat/>
    <w:uiPriority w:val="9"/>
    <w:pPr>
      <w:keepNext/>
      <w:keepLines/>
      <w:spacing w:before="360" w:after="80"/>
      <w:outlineLvl w:val="0"/>
    </w:pPr>
    <w:rPr>
      <w:rFonts w:asciiTheme="majorHAnsi" w:hAnsiTheme="majorHAnsi" w:eastAsiaTheme="majorEastAsia" w:cstheme="majorBidi"/>
      <w:color w:val="000000" w:themeColor="text1"/>
      <w:sz w:val="40"/>
      <w:szCs w:val="40"/>
    </w:rPr>
  </w:style>
  <w:style w:type="paragraph" w:styleId="4">
    <w:name w:val="heading 2"/>
    <w:basedOn w:val="1"/>
    <w:next w:val="3"/>
    <w:link w:val="37"/>
    <w:semiHidden/>
    <w:unhideWhenUsed/>
    <w:qFormat/>
    <w:uiPriority w:val="9"/>
    <w:pPr>
      <w:keepNext/>
      <w:keepLines/>
      <w:spacing w:before="160" w:after="80"/>
      <w:outlineLvl w:val="1"/>
    </w:pPr>
    <w:rPr>
      <w:rFonts w:asciiTheme="majorHAnsi" w:hAnsiTheme="majorHAnsi" w:eastAsiaTheme="majorEastAsia" w:cstheme="majorBidi"/>
      <w:color w:val="000000" w:themeColor="text1"/>
      <w:sz w:val="32"/>
      <w:szCs w:val="32"/>
    </w:rPr>
  </w:style>
  <w:style w:type="paragraph" w:styleId="5">
    <w:name w:val="heading 3"/>
    <w:basedOn w:val="1"/>
    <w:next w:val="3"/>
    <w:link w:val="38"/>
    <w:semiHidden/>
    <w:unhideWhenUsed/>
    <w:qFormat/>
    <w:uiPriority w:val="9"/>
    <w:pPr>
      <w:keepNext/>
      <w:keepLines/>
      <w:spacing w:before="160" w:after="80"/>
      <w:outlineLvl w:val="2"/>
    </w:pPr>
    <w:rPr>
      <w:rFonts w:eastAsiaTheme="majorEastAsia" w:cstheme="majorBidi"/>
      <w:sz w:val="28"/>
      <w:szCs w:val="28"/>
    </w:rPr>
  </w:style>
  <w:style w:type="paragraph" w:styleId="6">
    <w:name w:val="heading 4"/>
    <w:basedOn w:val="1"/>
    <w:next w:val="3"/>
    <w:link w:val="39"/>
    <w:semiHidden/>
    <w:unhideWhenUsed/>
    <w:qFormat/>
    <w:uiPriority w:val="9"/>
    <w:pPr>
      <w:keepNext/>
      <w:keepLines/>
      <w:spacing w:before="80" w:after="40"/>
      <w:outlineLvl w:val="3"/>
    </w:pPr>
    <w:rPr>
      <w:rFonts w:eastAsiaTheme="majorEastAsia" w:cstheme="majorBidi"/>
      <w:i/>
      <w:iCs/>
      <w:color w:val="000000" w:themeColor="text1"/>
    </w:rPr>
  </w:style>
  <w:style w:type="paragraph" w:styleId="7">
    <w:name w:val="heading 5"/>
    <w:basedOn w:val="1"/>
    <w:next w:val="3"/>
    <w:link w:val="40"/>
    <w:semiHidden/>
    <w:unhideWhenUsed/>
    <w:qFormat/>
    <w:uiPriority w:val="9"/>
    <w:pPr>
      <w:keepNext/>
      <w:keepLines/>
      <w:spacing w:before="80" w:after="40"/>
      <w:outlineLvl w:val="4"/>
    </w:pPr>
    <w:rPr>
      <w:rFonts w:eastAsiaTheme="majorEastAsia" w:cstheme="majorBidi"/>
      <w:color w:val="000000" w:themeColor="text1"/>
    </w:rPr>
  </w:style>
  <w:style w:type="paragraph" w:styleId="8">
    <w:name w:val="heading 6"/>
    <w:basedOn w:val="1"/>
    <w:next w:val="3"/>
    <w:link w:val="41"/>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3"/>
    <w:link w:val="42"/>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3"/>
    <w:link w:val="43"/>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3"/>
    <w:link w:val="44"/>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23">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qFormat/>
    <w:uiPriority w:val="0"/>
    <w:pPr>
      <w:spacing w:before="180" w:after="180" w:line="312" w:lineRule="auto"/>
    </w:pPr>
  </w:style>
  <w:style w:type="paragraph" w:styleId="12">
    <w:name w:val="caption"/>
    <w:basedOn w:val="1"/>
    <w:link w:val="25"/>
    <w:uiPriority w:val="0"/>
    <w:pPr>
      <w:spacing w:after="120"/>
    </w:pPr>
    <w:rPr>
      <w:i/>
    </w:rPr>
  </w:style>
  <w:style w:type="paragraph" w:styleId="13">
    <w:name w:val="Block Text"/>
    <w:basedOn w:val="3"/>
    <w:next w:val="3"/>
    <w:unhideWhenUsed/>
    <w:qFormat/>
    <w:uiPriority w:val="9"/>
    <w:pPr>
      <w:spacing w:before="100" w:after="100"/>
      <w:ind w:left="480" w:right="480"/>
    </w:pPr>
  </w:style>
  <w:style w:type="paragraph" w:styleId="14">
    <w:name w:val="Date"/>
    <w:basedOn w:val="15"/>
    <w:next w:val="3"/>
    <w:qFormat/>
    <w:uiPriority w:val="0"/>
    <w:pPr>
      <w:keepNext/>
      <w:keepLines/>
    </w:pPr>
    <w:rPr>
      <w:sz w:val="24"/>
      <w:szCs w:val="24"/>
    </w:rPr>
  </w:style>
  <w:style w:type="paragraph" w:styleId="15">
    <w:name w:val="Title"/>
    <w:basedOn w:val="1"/>
    <w:next w:val="3"/>
    <w:link w:val="30"/>
    <w:qFormat/>
    <w:uiPriority w:val="10"/>
    <w:pPr>
      <w:spacing w:after="80"/>
      <w:contextualSpacing/>
      <w:jc w:val="center"/>
    </w:pPr>
    <w:rPr>
      <w:rFonts w:asciiTheme="majorHAnsi" w:hAnsiTheme="majorHAnsi" w:eastAsiaTheme="majorEastAsia" w:cstheme="majorBidi"/>
      <w:sz w:val="56"/>
      <w:szCs w:val="56"/>
    </w:rPr>
  </w:style>
  <w:style w:type="paragraph" w:styleId="16">
    <w:name w:val="footer"/>
    <w:basedOn w:val="1"/>
    <w:uiPriority w:val="0"/>
    <w:pPr>
      <w:tabs>
        <w:tab w:val="center" w:pos="4153"/>
        <w:tab w:val="right" w:pos="8306"/>
      </w:tabs>
      <w:snapToGrid w:val="0"/>
      <w:jc w:val="left"/>
    </w:pPr>
    <w:rPr>
      <w:sz w:val="18"/>
    </w:rPr>
  </w:style>
  <w:style w:type="paragraph" w:styleId="1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8">
    <w:name w:val="Subtitle"/>
    <w:basedOn w:val="15"/>
    <w:next w:val="3"/>
    <w:link w:val="31"/>
    <w:qFormat/>
    <w:uiPriority w:val="11"/>
    <w:rPr>
      <w:spacing w:val="15"/>
      <w:sz w:val="28"/>
      <w:szCs w:val="28"/>
    </w:rPr>
  </w:style>
  <w:style w:type="paragraph" w:styleId="19">
    <w:name w:val="footnote text"/>
    <w:basedOn w:val="1"/>
    <w:unhideWhenUsed/>
    <w:qFormat/>
    <w:uiPriority w:val="9"/>
  </w:style>
  <w:style w:type="paragraph" w:styleId="20">
    <w:name w:val="Normal (Web)"/>
    <w:basedOn w:val="1"/>
    <w:uiPriority w:val="0"/>
    <w:rPr>
      <w:sz w:val="24"/>
    </w:rPr>
  </w:style>
  <w:style w:type="table" w:styleId="22">
    <w:name w:val="Table Grid"/>
    <w:uiPriority w:val="0"/>
    <w:pPr>
      <w:spacing w:after="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4">
    <w:name w:val="Hyperlink"/>
    <w:basedOn w:val="25"/>
    <w:uiPriority w:val="0"/>
    <w:rPr>
      <w:color w:val="156082" w:themeColor="accent1"/>
    </w:rPr>
  </w:style>
  <w:style w:type="character" w:customStyle="1" w:styleId="25">
    <w:name w:val="题注 字符"/>
    <w:basedOn w:val="23"/>
    <w:link w:val="12"/>
    <w:uiPriority w:val="0"/>
  </w:style>
  <w:style w:type="character" w:styleId="26">
    <w:name w:val="footnote reference"/>
    <w:basedOn w:val="25"/>
    <w:uiPriority w:val="0"/>
    <w:rPr>
      <w:vertAlign w:val="superscript"/>
    </w:rPr>
  </w:style>
  <w:style w:type="paragraph" w:customStyle="1" w:styleId="27">
    <w:name w:val="Compact"/>
    <w:next w:val="28"/>
    <w:qFormat/>
    <w:uiPriority w:val="0"/>
    <w:pPr>
      <w:spacing w:before="36" w:after="36"/>
    </w:pPr>
    <w:rPr>
      <w:rFonts w:asciiTheme="minorHAnsi" w:hAnsiTheme="minorHAnsi" w:eastAsiaTheme="minorEastAsia" w:cstheme="minorBidi"/>
      <w:sz w:val="24"/>
      <w:szCs w:val="24"/>
      <w:lang w:val="en-US" w:eastAsia="en-US" w:bidi="ar-SA"/>
    </w:rPr>
  </w:style>
  <w:style w:type="paragraph" w:customStyle="1" w:styleId="28">
    <w:name w:val="Compact1"/>
    <w:basedOn w:val="3"/>
    <w:qFormat/>
    <w:uiPriority w:val="0"/>
    <w:pPr>
      <w:spacing w:before="36" w:after="36"/>
    </w:pPr>
  </w:style>
  <w:style w:type="paragraph" w:customStyle="1" w:styleId="29">
    <w:name w:val="First Paragraph"/>
    <w:basedOn w:val="3"/>
    <w:next w:val="3"/>
    <w:qFormat/>
    <w:uiPriority w:val="0"/>
  </w:style>
  <w:style w:type="character" w:customStyle="1" w:styleId="30">
    <w:name w:val="标题 字符"/>
    <w:basedOn w:val="23"/>
    <w:link w:val="15"/>
    <w:uiPriority w:val="10"/>
    <w:rPr>
      <w:rFonts w:asciiTheme="majorHAnsi" w:hAnsiTheme="majorHAnsi" w:eastAsiaTheme="majorEastAsia" w:cstheme="majorBidi"/>
      <w:sz w:val="56"/>
      <w:szCs w:val="56"/>
    </w:rPr>
  </w:style>
  <w:style w:type="character" w:customStyle="1" w:styleId="31">
    <w:name w:val="副标题 字符"/>
    <w:basedOn w:val="23"/>
    <w:link w:val="18"/>
    <w:uiPriority w:val="11"/>
    <w:rPr>
      <w:rFonts w:eastAsiaTheme="majorEastAsia" w:cstheme="majorBidi"/>
      <w:color w:val="585858" w:themeColor="text1" w:themeTint="A6"/>
      <w:spacing w:val="15"/>
      <w:sz w:val="28"/>
      <w:szCs w:val="28"/>
    </w:rPr>
  </w:style>
  <w:style w:type="paragraph" w:customStyle="1" w:styleId="32">
    <w:name w:val="Author"/>
    <w:basedOn w:val="15"/>
    <w:next w:val="3"/>
    <w:qFormat/>
    <w:uiPriority w:val="0"/>
    <w:pPr>
      <w:keepNext/>
      <w:keepLines/>
    </w:pPr>
    <w:rPr>
      <w:sz w:val="24"/>
      <w:szCs w:val="24"/>
    </w:rPr>
  </w:style>
  <w:style w:type="paragraph" w:customStyle="1" w:styleId="33">
    <w:name w:val="Abstract Title"/>
    <w:basedOn w:val="1"/>
    <w:next w:val="34"/>
    <w:qFormat/>
    <w:uiPriority w:val="0"/>
    <w:pPr>
      <w:keepNext/>
      <w:keepLines/>
      <w:spacing w:before="300" w:after="0"/>
      <w:jc w:val="center"/>
    </w:pPr>
    <w:rPr>
      <w:b/>
      <w:sz w:val="20"/>
      <w:szCs w:val="20"/>
    </w:rPr>
  </w:style>
  <w:style w:type="paragraph" w:customStyle="1" w:styleId="34">
    <w:name w:val="Abstract"/>
    <w:basedOn w:val="1"/>
    <w:next w:val="3"/>
    <w:qFormat/>
    <w:uiPriority w:val="0"/>
    <w:pPr>
      <w:keepNext/>
      <w:keepLines/>
      <w:spacing w:before="100" w:after="300"/>
    </w:pPr>
    <w:rPr>
      <w:sz w:val="20"/>
      <w:szCs w:val="20"/>
    </w:rPr>
  </w:style>
  <w:style w:type="paragraph" w:customStyle="1" w:styleId="35">
    <w:name w:val="Bibliography"/>
    <w:basedOn w:val="1"/>
    <w:qFormat/>
    <w:uiPriority w:val="0"/>
  </w:style>
  <w:style w:type="character" w:customStyle="1" w:styleId="36">
    <w:name w:val="标题 1 字符"/>
    <w:basedOn w:val="23"/>
    <w:link w:val="2"/>
    <w:uiPriority w:val="9"/>
    <w:rPr>
      <w:rFonts w:asciiTheme="majorHAnsi" w:hAnsiTheme="majorHAnsi" w:eastAsiaTheme="majorEastAsia" w:cstheme="majorBidi"/>
      <w:color w:val="000000" w:themeColor="text1"/>
      <w:sz w:val="40"/>
      <w:szCs w:val="40"/>
    </w:rPr>
  </w:style>
  <w:style w:type="character" w:customStyle="1" w:styleId="37">
    <w:name w:val="标题 2 字符"/>
    <w:basedOn w:val="23"/>
    <w:link w:val="4"/>
    <w:semiHidden/>
    <w:uiPriority w:val="9"/>
    <w:rPr>
      <w:rFonts w:asciiTheme="majorHAnsi" w:hAnsiTheme="majorHAnsi" w:eastAsiaTheme="majorEastAsia" w:cstheme="majorBidi"/>
      <w:color w:val="000000" w:themeColor="text1"/>
      <w:sz w:val="32"/>
      <w:szCs w:val="32"/>
    </w:rPr>
  </w:style>
  <w:style w:type="character" w:customStyle="1" w:styleId="38">
    <w:name w:val="标题 3 字符"/>
    <w:basedOn w:val="23"/>
    <w:link w:val="5"/>
    <w:semiHidden/>
    <w:uiPriority w:val="9"/>
    <w:rPr>
      <w:rFonts w:eastAsiaTheme="majorEastAsia" w:cstheme="majorBidi"/>
      <w:sz w:val="28"/>
      <w:szCs w:val="28"/>
    </w:rPr>
  </w:style>
  <w:style w:type="character" w:customStyle="1" w:styleId="39">
    <w:name w:val="标题 4 字符"/>
    <w:basedOn w:val="23"/>
    <w:link w:val="6"/>
    <w:semiHidden/>
    <w:uiPriority w:val="9"/>
    <w:rPr>
      <w:rFonts w:eastAsiaTheme="majorEastAsia" w:cstheme="majorBidi"/>
      <w:i/>
      <w:iCs/>
      <w:color w:val="000000" w:themeColor="text1"/>
    </w:rPr>
  </w:style>
  <w:style w:type="character" w:customStyle="1" w:styleId="40">
    <w:name w:val="标题 5 字符"/>
    <w:basedOn w:val="23"/>
    <w:link w:val="7"/>
    <w:semiHidden/>
    <w:uiPriority w:val="9"/>
    <w:rPr>
      <w:rFonts w:eastAsiaTheme="majorEastAsia" w:cstheme="majorBidi"/>
      <w:color w:val="000000" w:themeColor="text1"/>
    </w:rPr>
  </w:style>
  <w:style w:type="character" w:customStyle="1" w:styleId="41">
    <w:name w:val="标题 6 字符"/>
    <w:basedOn w:val="23"/>
    <w:link w:val="8"/>
    <w:semiHidden/>
    <w:uiPriority w:val="9"/>
    <w:rPr>
      <w:rFonts w:eastAsiaTheme="majorEastAsia" w:cstheme="majorBidi"/>
      <w:i/>
      <w:iCs/>
      <w:color w:val="585858" w:themeColor="text1" w:themeTint="A6"/>
    </w:rPr>
  </w:style>
  <w:style w:type="character" w:customStyle="1" w:styleId="42">
    <w:name w:val="标题 7 字符"/>
    <w:basedOn w:val="23"/>
    <w:link w:val="9"/>
    <w:semiHidden/>
    <w:uiPriority w:val="9"/>
    <w:rPr>
      <w:rFonts w:eastAsiaTheme="majorEastAsia" w:cstheme="majorBidi"/>
      <w:color w:val="585858" w:themeColor="text1" w:themeTint="A6"/>
    </w:rPr>
  </w:style>
  <w:style w:type="character" w:customStyle="1" w:styleId="43">
    <w:name w:val="标题 8 字符"/>
    <w:basedOn w:val="23"/>
    <w:link w:val="10"/>
    <w:semiHidden/>
    <w:uiPriority w:val="9"/>
    <w:rPr>
      <w:rFonts w:eastAsiaTheme="majorEastAsia" w:cstheme="majorBidi"/>
      <w:i/>
      <w:iCs/>
      <w:color w:val="262626" w:themeColor="text1" w:themeTint="D8"/>
    </w:rPr>
  </w:style>
  <w:style w:type="character" w:customStyle="1" w:styleId="44">
    <w:name w:val="标题 9 字符"/>
    <w:basedOn w:val="23"/>
    <w:link w:val="11"/>
    <w:semiHidden/>
    <w:uiPriority w:val="9"/>
    <w:rPr>
      <w:rFonts w:eastAsiaTheme="majorEastAsia" w:cstheme="majorBidi"/>
      <w:color w:val="262626" w:themeColor="text1" w:themeTint="D8"/>
    </w:rPr>
  </w:style>
  <w:style w:type="paragraph" w:customStyle="1" w:styleId="45">
    <w:name w:val="Footnote Block Text"/>
    <w:basedOn w:val="19"/>
    <w:next w:val="19"/>
    <w:unhideWhenUsed/>
    <w:qFormat/>
    <w:uiPriority w:val="9"/>
    <w:pPr>
      <w:spacing w:before="100" w:after="100"/>
      <w:ind w:left="480" w:right="480"/>
    </w:pPr>
  </w:style>
  <w:style w:type="table" w:customStyle="1" w:styleId="46">
    <w:name w:val="Table"/>
    <w:semiHidden/>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7">
    <w:name w:val="Definition Term"/>
    <w:basedOn w:val="1"/>
    <w:next w:val="48"/>
    <w:uiPriority w:val="0"/>
    <w:pPr>
      <w:keepNext/>
      <w:keepLines/>
      <w:spacing w:after="0" w:line="288" w:lineRule="auto"/>
    </w:pPr>
    <w:rPr>
      <w:b/>
    </w:rPr>
  </w:style>
  <w:style w:type="paragraph" w:customStyle="1" w:styleId="48">
    <w:name w:val="Definition"/>
    <w:basedOn w:val="1"/>
    <w:uiPriority w:val="0"/>
    <w:pPr>
      <w:spacing w:line="312" w:lineRule="auto"/>
    </w:pPr>
  </w:style>
  <w:style w:type="paragraph" w:customStyle="1" w:styleId="49">
    <w:name w:val="Table Caption"/>
    <w:basedOn w:val="12"/>
    <w:uiPriority w:val="0"/>
    <w:pPr>
      <w:keepNext/>
    </w:pPr>
  </w:style>
  <w:style w:type="paragraph" w:customStyle="1" w:styleId="50">
    <w:name w:val="Image Caption"/>
    <w:basedOn w:val="12"/>
    <w:uiPriority w:val="0"/>
  </w:style>
  <w:style w:type="paragraph" w:customStyle="1" w:styleId="51">
    <w:name w:val="Figure"/>
    <w:basedOn w:val="1"/>
    <w:uiPriority w:val="0"/>
  </w:style>
  <w:style w:type="paragraph" w:customStyle="1" w:styleId="52">
    <w:name w:val="Captioned Figure"/>
    <w:basedOn w:val="51"/>
    <w:uiPriority w:val="0"/>
    <w:pPr>
      <w:keepNext/>
    </w:pPr>
  </w:style>
  <w:style w:type="character" w:customStyle="1" w:styleId="53">
    <w:name w:val="Verbatim Char"/>
    <w:basedOn w:val="25"/>
    <w:link w:val="54"/>
    <w:uiPriority w:val="0"/>
    <w:rPr>
      <w:rFonts w:ascii="Consolas" w:hAnsi="Consolas"/>
      <w:sz w:val="22"/>
    </w:rPr>
  </w:style>
  <w:style w:type="paragraph" w:customStyle="1" w:styleId="54">
    <w:name w:val="Source Code"/>
    <w:link w:val="53"/>
    <w:uiPriority w:val="0"/>
    <w:pPr>
      <w:wordWrap w:val="0"/>
      <w:spacing w:after="200"/>
    </w:pPr>
    <w:rPr>
      <w:rFonts w:asciiTheme="minorHAnsi" w:hAnsiTheme="minorHAnsi" w:eastAsiaTheme="minorEastAsia" w:cstheme="minorBidi"/>
      <w:sz w:val="24"/>
      <w:szCs w:val="24"/>
      <w:lang w:val="en-US" w:eastAsia="en-US" w:bidi="ar-SA"/>
    </w:rPr>
  </w:style>
  <w:style w:type="character" w:customStyle="1" w:styleId="55">
    <w:name w:val="Section Number"/>
    <w:basedOn w:val="25"/>
    <w:uiPriority w:val="0"/>
  </w:style>
  <w:style w:type="paragraph" w:customStyle="1" w:styleId="56">
    <w:name w:val="TOC Heading"/>
    <w:basedOn w:val="2"/>
    <w:next w:val="3"/>
    <w:unhideWhenUsed/>
    <w:qFormat/>
    <w:uiPriority w:val="39"/>
    <w:pPr>
      <w:spacing w:before="240" w:line="259" w:lineRule="auto"/>
      <w:outlineLvl w:val="9"/>
    </w:pPr>
  </w:style>
  <w:style w:type="character" w:customStyle="1" w:styleId="57">
    <w:name w:val="KeywordTok"/>
    <w:basedOn w:val="53"/>
    <w:uiPriority w:val="0"/>
    <w:rPr>
      <w:b/>
      <w:color w:val="007020"/>
    </w:rPr>
  </w:style>
  <w:style w:type="character" w:customStyle="1" w:styleId="58">
    <w:name w:val="DataTypeTok"/>
    <w:basedOn w:val="53"/>
    <w:uiPriority w:val="0"/>
    <w:rPr>
      <w:color w:val="902000"/>
    </w:rPr>
  </w:style>
  <w:style w:type="character" w:customStyle="1" w:styleId="59">
    <w:name w:val="DecValTok"/>
    <w:basedOn w:val="53"/>
    <w:uiPriority w:val="0"/>
    <w:rPr>
      <w:color w:val="40A070"/>
    </w:rPr>
  </w:style>
  <w:style w:type="character" w:customStyle="1" w:styleId="60">
    <w:name w:val="BaseNTok"/>
    <w:basedOn w:val="53"/>
    <w:uiPriority w:val="0"/>
    <w:rPr>
      <w:color w:val="40A070"/>
    </w:rPr>
  </w:style>
  <w:style w:type="character" w:customStyle="1" w:styleId="61">
    <w:name w:val="FloatTok"/>
    <w:basedOn w:val="53"/>
    <w:uiPriority w:val="0"/>
    <w:rPr>
      <w:color w:val="40A070"/>
    </w:rPr>
  </w:style>
  <w:style w:type="character" w:customStyle="1" w:styleId="62">
    <w:name w:val="ConstantTok"/>
    <w:basedOn w:val="53"/>
    <w:uiPriority w:val="0"/>
    <w:rPr>
      <w:color w:val="880000"/>
    </w:rPr>
  </w:style>
  <w:style w:type="character" w:customStyle="1" w:styleId="63">
    <w:name w:val="CharTok"/>
    <w:basedOn w:val="53"/>
    <w:uiPriority w:val="0"/>
    <w:rPr>
      <w:color w:val="4070A0"/>
    </w:rPr>
  </w:style>
  <w:style w:type="character" w:customStyle="1" w:styleId="64">
    <w:name w:val="SpecialCharTok"/>
    <w:basedOn w:val="53"/>
    <w:uiPriority w:val="0"/>
    <w:rPr>
      <w:color w:val="4070A0"/>
    </w:rPr>
  </w:style>
  <w:style w:type="character" w:customStyle="1" w:styleId="65">
    <w:name w:val="StringTok"/>
    <w:basedOn w:val="53"/>
    <w:uiPriority w:val="0"/>
    <w:rPr>
      <w:color w:val="4070A0"/>
    </w:rPr>
  </w:style>
  <w:style w:type="character" w:customStyle="1" w:styleId="66">
    <w:name w:val="VerbatimStringTok"/>
    <w:basedOn w:val="53"/>
    <w:uiPriority w:val="0"/>
    <w:rPr>
      <w:color w:val="4070A0"/>
    </w:rPr>
  </w:style>
  <w:style w:type="character" w:customStyle="1" w:styleId="67">
    <w:name w:val="SpecialStringTok"/>
    <w:basedOn w:val="53"/>
    <w:uiPriority w:val="0"/>
    <w:rPr>
      <w:color w:val="BB6688"/>
    </w:rPr>
  </w:style>
  <w:style w:type="character" w:customStyle="1" w:styleId="68">
    <w:name w:val="ImportTok"/>
    <w:basedOn w:val="53"/>
    <w:uiPriority w:val="0"/>
    <w:rPr>
      <w:b/>
      <w:color w:val="008000"/>
    </w:rPr>
  </w:style>
  <w:style w:type="character" w:customStyle="1" w:styleId="69">
    <w:name w:val="CommentTok"/>
    <w:basedOn w:val="53"/>
    <w:uiPriority w:val="0"/>
    <w:rPr>
      <w:i/>
      <w:color w:val="60A0B0"/>
    </w:rPr>
  </w:style>
  <w:style w:type="character" w:customStyle="1" w:styleId="70">
    <w:name w:val="DocumentationTok"/>
    <w:basedOn w:val="53"/>
    <w:uiPriority w:val="0"/>
    <w:rPr>
      <w:i/>
      <w:color w:val="BA2121"/>
    </w:rPr>
  </w:style>
  <w:style w:type="character" w:customStyle="1" w:styleId="71">
    <w:name w:val="AnnotationTok"/>
    <w:basedOn w:val="53"/>
    <w:uiPriority w:val="0"/>
    <w:rPr>
      <w:b/>
      <w:i/>
      <w:color w:val="60A0B0"/>
    </w:rPr>
  </w:style>
  <w:style w:type="character" w:customStyle="1" w:styleId="72">
    <w:name w:val="CommentVarTok"/>
    <w:basedOn w:val="53"/>
    <w:uiPriority w:val="0"/>
    <w:rPr>
      <w:b/>
      <w:i/>
      <w:color w:val="60A0B0"/>
    </w:rPr>
  </w:style>
  <w:style w:type="character" w:customStyle="1" w:styleId="73">
    <w:name w:val="OtherTok"/>
    <w:basedOn w:val="53"/>
    <w:uiPriority w:val="0"/>
    <w:rPr>
      <w:color w:val="007020"/>
    </w:rPr>
  </w:style>
  <w:style w:type="character" w:customStyle="1" w:styleId="74">
    <w:name w:val="FunctionTok"/>
    <w:basedOn w:val="53"/>
    <w:uiPriority w:val="0"/>
    <w:rPr>
      <w:color w:val="06287E"/>
    </w:rPr>
  </w:style>
  <w:style w:type="character" w:customStyle="1" w:styleId="75">
    <w:name w:val="VariableTok"/>
    <w:basedOn w:val="53"/>
    <w:uiPriority w:val="0"/>
    <w:rPr>
      <w:color w:val="19177C"/>
    </w:rPr>
  </w:style>
  <w:style w:type="character" w:customStyle="1" w:styleId="76">
    <w:name w:val="ControlFlowTok"/>
    <w:basedOn w:val="53"/>
    <w:uiPriority w:val="0"/>
    <w:rPr>
      <w:b/>
      <w:color w:val="007020"/>
    </w:rPr>
  </w:style>
  <w:style w:type="character" w:customStyle="1" w:styleId="77">
    <w:name w:val="OperatorTok"/>
    <w:basedOn w:val="53"/>
    <w:uiPriority w:val="0"/>
    <w:rPr>
      <w:color w:val="666666"/>
    </w:rPr>
  </w:style>
  <w:style w:type="character" w:customStyle="1" w:styleId="78">
    <w:name w:val="BuiltInTok"/>
    <w:basedOn w:val="53"/>
    <w:uiPriority w:val="0"/>
    <w:rPr>
      <w:color w:val="008000"/>
    </w:rPr>
  </w:style>
  <w:style w:type="character" w:customStyle="1" w:styleId="79">
    <w:name w:val="ExtensionTok"/>
    <w:basedOn w:val="53"/>
    <w:uiPriority w:val="0"/>
  </w:style>
  <w:style w:type="character" w:customStyle="1" w:styleId="80">
    <w:name w:val="PreprocessorTok"/>
    <w:basedOn w:val="53"/>
    <w:uiPriority w:val="0"/>
    <w:rPr>
      <w:color w:val="BC7A00"/>
    </w:rPr>
  </w:style>
  <w:style w:type="character" w:customStyle="1" w:styleId="81">
    <w:name w:val="AttributeTok"/>
    <w:basedOn w:val="53"/>
    <w:uiPriority w:val="0"/>
    <w:rPr>
      <w:color w:val="7D9029"/>
    </w:rPr>
  </w:style>
  <w:style w:type="character" w:customStyle="1" w:styleId="82">
    <w:name w:val="RegionMarkerTok"/>
    <w:basedOn w:val="53"/>
    <w:uiPriority w:val="0"/>
  </w:style>
  <w:style w:type="character" w:customStyle="1" w:styleId="83">
    <w:name w:val="InformationTok"/>
    <w:basedOn w:val="53"/>
    <w:uiPriority w:val="0"/>
    <w:rPr>
      <w:b/>
      <w:i/>
      <w:color w:val="60A0B0"/>
    </w:rPr>
  </w:style>
  <w:style w:type="character" w:customStyle="1" w:styleId="84">
    <w:name w:val="WarningTok"/>
    <w:basedOn w:val="53"/>
    <w:uiPriority w:val="0"/>
    <w:rPr>
      <w:b/>
      <w:i/>
      <w:color w:val="60A0B0"/>
    </w:rPr>
  </w:style>
  <w:style w:type="character" w:customStyle="1" w:styleId="85">
    <w:name w:val="AlertTok"/>
    <w:basedOn w:val="53"/>
    <w:uiPriority w:val="0"/>
    <w:rPr>
      <w:b/>
      <w:color w:val="FF0000"/>
    </w:rPr>
  </w:style>
  <w:style w:type="character" w:customStyle="1" w:styleId="86">
    <w:name w:val="ErrorTok"/>
    <w:basedOn w:val="53"/>
    <w:uiPriority w:val="0"/>
    <w:rPr>
      <w:b/>
      <w:color w:val="FF0000"/>
    </w:rPr>
  </w:style>
  <w:style w:type="character" w:customStyle="1" w:styleId="87">
    <w:name w:val="NormalTok"/>
    <w:basedOn w:val="53"/>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64</Words>
  <Characters>371</Characters>
  <Lines>1</Lines>
  <Paragraphs>1</Paragraphs>
  <TotalTime>9</TotalTime>
  <ScaleCrop>false</ScaleCrop>
  <LinksUpToDate>false</LinksUpToDate>
  <CharactersWithSpaces>434</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2025-07-25T08:14:00Z</dcterms:created>
  <dc:creator>xx</dc:creator>
  <cp:lastModifiedBy>xx</cp:lastModifiedBy>
  <dcterms:modified xsi:type="dcterms:W3CDTF">2025-07-25T14:31:27Z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iewport">
    <vt:lpwstr>width=device-width, initial-scale=1.0, user-scalable=yes</vt:lpwstr>
  </property>
  <property fmtid="{D5CDD505-2E9C-101B-9397-08002B2CF9AE}" pid="3" name="KSOProductBuildVer">
    <vt:lpwstr>2052-7.2.2.8955</vt:lpwstr>
  </property>
  <property fmtid="{D5CDD505-2E9C-101B-9397-08002B2CF9AE}" pid="4" name="ICV">
    <vt:lpwstr>9DFBABC0578C658AE20D8268923D6B5B_42</vt:lpwstr>
  </property>
</Properties>
</file>