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7EA94D">
      <w:pPr>
        <w:widowControl/>
        <w:autoSpaceDE w:val="0"/>
        <w:autoSpaceDN w:val="0"/>
        <w:adjustRightInd w:val="0"/>
        <w:snapToGrid w:val="0"/>
        <w:spacing w:line="560" w:lineRule="exact"/>
        <w:jc w:val="center"/>
        <w:rPr>
          <w:rFonts w:ascii="方正小标宋简体" w:hAnsi="仿宋" w:eastAsia="方正小标宋简体" w:cs="黑体"/>
          <w:b/>
          <w:bCs/>
          <w:color w:val="000000"/>
          <w:spacing w:val="8"/>
          <w:kern w:val="0"/>
          <w:sz w:val="44"/>
          <w:szCs w:val="44"/>
          <w:lang w:bidi="ar"/>
        </w:rPr>
      </w:pPr>
      <w:r>
        <w:rPr>
          <w:rFonts w:hint="eastAsia" w:ascii="方正小标宋简体" w:hAnsi="仿宋" w:eastAsia="方正小标宋简体" w:cs="黑体"/>
          <w:b/>
          <w:bCs/>
          <w:color w:val="000000"/>
          <w:spacing w:val="8"/>
          <w:kern w:val="0"/>
          <w:sz w:val="44"/>
          <w:szCs w:val="44"/>
          <w:lang w:bidi="ar"/>
        </w:rPr>
        <w:t>深圳破产案件</w:t>
      </w:r>
      <w:r>
        <w:rPr>
          <w:rFonts w:hint="eastAsia" w:ascii="方正小标宋简体" w:hAnsi="仿宋" w:eastAsia="方正小标宋简体" w:cs="黑体"/>
          <w:b/>
          <w:bCs/>
          <w:color w:val="000000"/>
          <w:spacing w:val="8"/>
          <w:kern w:val="0"/>
          <w:sz w:val="44"/>
          <w:szCs w:val="44"/>
          <w:lang w:val="en-US" w:eastAsia="zh-CN" w:bidi="ar"/>
        </w:rPr>
        <w:t>债权</w:t>
      </w:r>
      <w:bookmarkStart w:id="0" w:name="_GoBack"/>
      <w:bookmarkEnd w:id="0"/>
      <w:r>
        <w:rPr>
          <w:rFonts w:hint="eastAsia" w:ascii="方正小标宋简体" w:hAnsi="仿宋" w:eastAsia="方正小标宋简体" w:cs="黑体"/>
          <w:b/>
          <w:bCs/>
          <w:color w:val="000000"/>
          <w:spacing w:val="8"/>
          <w:kern w:val="0"/>
          <w:sz w:val="44"/>
          <w:szCs w:val="44"/>
          <w:lang w:bidi="ar"/>
        </w:rPr>
        <w:t>申报指南</w:t>
      </w:r>
    </w:p>
    <w:p w14:paraId="2D480EF3">
      <w:pPr>
        <w:widowControl/>
        <w:autoSpaceDE w:val="0"/>
        <w:autoSpaceDN w:val="0"/>
        <w:adjustRightInd w:val="0"/>
        <w:snapToGrid w:val="0"/>
        <w:spacing w:line="560" w:lineRule="exact"/>
        <w:textAlignment w:val="baseline"/>
        <w:rPr>
          <w:rFonts w:ascii="仿宋" w:hAnsi="仿宋" w:eastAsia="仿宋" w:cs="宋体"/>
          <w:b/>
          <w:bCs/>
          <w:color w:val="000000"/>
          <w:spacing w:val="16"/>
          <w:kern w:val="0"/>
          <w:sz w:val="32"/>
          <w:szCs w:val="32"/>
          <w:lang w:bidi="ar"/>
        </w:rPr>
      </w:pPr>
    </w:p>
    <w:p w14:paraId="05276398">
      <w:pPr>
        <w:widowControl/>
        <w:autoSpaceDE w:val="0"/>
        <w:autoSpaceDN w:val="0"/>
        <w:adjustRightInd w:val="0"/>
        <w:snapToGrid w:val="0"/>
        <w:spacing w:line="560" w:lineRule="exact"/>
        <w:ind w:firstLine="641"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一、申报债权</w:t>
      </w:r>
    </w:p>
    <w:p w14:paraId="5178240C">
      <w:pPr>
        <w:widowControl/>
        <w:autoSpaceDE w:val="0"/>
        <w:autoSpaceDN w:val="0"/>
        <w:adjustRightInd w:val="0"/>
        <w:snapToGrid w:val="0"/>
        <w:spacing w:line="560" w:lineRule="exact"/>
        <w:ind w:firstLine="641" w:firstLineChars="200"/>
        <w:textAlignment w:val="baseline"/>
        <w:rPr>
          <w:rFonts w:hint="eastAsia"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债权人申报债权</w:t>
      </w:r>
      <w:r>
        <w:rPr>
          <w:rFonts w:hint="eastAsia" w:ascii="黑体" w:hAnsi="黑体" w:eastAsia="黑体" w:cs="宋体"/>
          <w:b/>
          <w:bCs/>
          <w:color w:val="000000"/>
          <w:kern w:val="0"/>
          <w:sz w:val="32"/>
          <w:szCs w:val="32"/>
          <w:lang w:val="en-US" w:eastAsia="zh-CN" w:bidi="ar"/>
        </w:rPr>
        <w:t>的</w:t>
      </w:r>
      <w:r>
        <w:rPr>
          <w:rFonts w:hint="eastAsia" w:ascii="黑体" w:hAnsi="黑体" w:eastAsia="黑体" w:cs="宋体"/>
          <w:b/>
          <w:bCs/>
          <w:color w:val="000000"/>
          <w:kern w:val="0"/>
          <w:sz w:val="32"/>
          <w:szCs w:val="32"/>
          <w:lang w:bidi="ar"/>
        </w:rPr>
        <w:t>纸质材料通过邮寄或现场提交管理人（债权人应在每页申报材料上签字或盖骑缝章)。管理人要求核对原件的，债权人应提供原件供管理人核对。须提交的纸质材料包括：</w:t>
      </w:r>
    </w:p>
    <w:p w14:paraId="090BBE66">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1.债权申报书（原件1份）</w:t>
      </w:r>
    </w:p>
    <w:p w14:paraId="229400F6">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书系债权人申报债权的书面陈述材料。其基本内容应包括申报人名称、地址、法定代表人、联系电话等基本信息（债权人为自然人时还须列明身份证号），以及申报债权金额（分别列明本金和利息）和有无财产担保、申报所依据的事实和理由。</w:t>
      </w:r>
    </w:p>
    <w:p w14:paraId="22F58FCC">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如所申报债权已提起诉讼或仲裁并取得生效裁判的，应将生效裁判列为申报依据；如部分债权已获法院执行的，应如实说明；</w:t>
      </w:r>
      <w:r>
        <w:rPr>
          <w:rFonts w:hint="eastAsia" w:ascii="仿宋" w:hAnsi="仿宋" w:eastAsia="仿宋" w:cs="宋体"/>
          <w:b/>
          <w:color w:val="000000"/>
          <w:kern w:val="0"/>
          <w:sz w:val="32"/>
          <w:szCs w:val="32"/>
          <w:lang w:bidi="ar"/>
        </w:rPr>
        <w:t>申报的债权包括利息的，应提供详细的</w:t>
      </w:r>
      <w:r>
        <w:rPr>
          <w:rFonts w:hint="eastAsia" w:ascii="仿宋" w:hAnsi="仿宋" w:eastAsia="仿宋" w:cs="宋体"/>
          <w:b/>
          <w:bCs/>
          <w:color w:val="000000"/>
          <w:kern w:val="0"/>
          <w:sz w:val="32"/>
          <w:szCs w:val="32"/>
          <w:lang w:bidi="ar"/>
        </w:rPr>
        <w:t>利息计算表</w:t>
      </w:r>
      <w:r>
        <w:rPr>
          <w:rFonts w:hint="eastAsia" w:ascii="仿宋" w:hAnsi="仿宋" w:eastAsia="仿宋" w:cs="宋体"/>
          <w:b/>
          <w:color w:val="000000"/>
          <w:kern w:val="0"/>
          <w:sz w:val="32"/>
          <w:szCs w:val="32"/>
          <w:lang w:bidi="ar"/>
        </w:rPr>
        <w:t>作为债权申报书的附件</w:t>
      </w:r>
      <w:r>
        <w:rPr>
          <w:rFonts w:hint="eastAsia" w:ascii="仿宋" w:hAnsi="仿宋" w:eastAsia="仿宋" w:cs="宋体"/>
          <w:color w:val="000000"/>
          <w:kern w:val="0"/>
          <w:sz w:val="32"/>
          <w:szCs w:val="32"/>
          <w:lang w:bidi="ar"/>
        </w:rPr>
        <w:t>。</w:t>
      </w:r>
    </w:p>
    <w:p w14:paraId="419A41F4">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债权申报书须加盖申报人公章。申报人为自然人的，债权申报书须由本人签名。</w:t>
      </w:r>
    </w:p>
    <w:p w14:paraId="6C3FFF6D">
      <w:pPr>
        <w:widowControl/>
        <w:numPr>
          <w:ilvl w:val="0"/>
          <w:numId w:val="1"/>
        </w:numPr>
        <w:autoSpaceDE w:val="0"/>
        <w:autoSpaceDN w:val="0"/>
        <w:adjustRightInd w:val="0"/>
        <w:snapToGrid w:val="0"/>
        <w:spacing w:line="560" w:lineRule="exact"/>
        <w:ind w:left="800" w:leftChars="0" w:firstLine="0" w:firstLineChars="0"/>
        <w:textAlignment w:val="baseline"/>
        <w:rPr>
          <w:rFonts w:ascii="仿宋" w:hAnsi="仿宋" w:eastAsia="仿宋" w:cs="宋体"/>
          <w:color w:val="000000"/>
          <w:kern w:val="0"/>
          <w:sz w:val="32"/>
          <w:szCs w:val="32"/>
          <w:lang w:bidi="ar"/>
        </w:rPr>
      </w:pPr>
      <w:r>
        <w:rPr>
          <w:rFonts w:hint="eastAsia" w:ascii="仿宋" w:hAnsi="仿宋" w:eastAsia="仿宋" w:cs="宋体"/>
          <w:b/>
          <w:bCs/>
          <w:color w:val="000000"/>
          <w:kern w:val="0"/>
          <w:sz w:val="32"/>
          <w:szCs w:val="32"/>
          <w:lang w:bidi="ar"/>
        </w:rPr>
        <w:t>债权申报登记表（原件1份）</w:t>
      </w:r>
    </w:p>
    <w:p w14:paraId="31FD6CFB">
      <w:pPr>
        <w:widowControl/>
        <w:numPr>
          <w:numId w:val="0"/>
        </w:numPr>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债权申报登记表由债权申报人填写。该表用于直观表明债权申报情况。该表须加盖申报人公章，申报人为自然人的，该表须由其本人签名。</w:t>
      </w:r>
    </w:p>
    <w:p w14:paraId="624AAFE0">
      <w:pPr>
        <w:widowControl/>
        <w:autoSpaceDE w:val="0"/>
        <w:autoSpaceDN w:val="0"/>
        <w:adjustRightInd w:val="0"/>
        <w:snapToGrid w:val="0"/>
        <w:spacing w:line="560" w:lineRule="exact"/>
        <w:ind w:firstLine="640"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color w:val="000000"/>
          <w:kern w:val="0"/>
          <w:sz w:val="32"/>
          <w:szCs w:val="32"/>
          <w:lang w:bidi="ar"/>
        </w:rPr>
        <w:t xml:space="preserve"> </w:t>
      </w:r>
      <w:r>
        <w:rPr>
          <w:rFonts w:hint="eastAsia" w:ascii="仿宋" w:hAnsi="仿宋" w:eastAsia="仿宋" w:cs="宋体"/>
          <w:b/>
          <w:bCs/>
          <w:color w:val="000000"/>
          <w:kern w:val="0"/>
          <w:sz w:val="32"/>
          <w:szCs w:val="32"/>
          <w:lang w:bidi="ar"/>
        </w:rPr>
        <w:t>3.主体资格文件（复印件1套）</w:t>
      </w:r>
    </w:p>
    <w:p w14:paraId="664A0448">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申报人为自然人的，应提交身份证复印件；申报人为法人或其他组织的，应提交加盖公章的营业执照、法定代表人身份证复印件及法定代表人身份证明书原件。</w:t>
      </w:r>
    </w:p>
    <w:p w14:paraId="40932B2D">
      <w:pPr>
        <w:widowControl/>
        <w:autoSpaceDE w:val="0"/>
        <w:autoSpaceDN w:val="0"/>
        <w:adjustRightInd w:val="0"/>
        <w:snapToGrid w:val="0"/>
        <w:spacing w:line="560" w:lineRule="exact"/>
        <w:ind w:firstLine="640" w:firstLineChars="200"/>
        <w:textAlignment w:val="baseline"/>
        <w:rPr>
          <w:rFonts w:hint="eastAsia"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如委托代理人代为提交申报文件，应提交授权委托书原件及代理人身份证件复印件（原件于提交时验核并于核实后返还）；代理人为律师的，应同时提交律师所函原件，代理人为本单位员工的，应同时提交劳动合同复印件和社保证明原件。</w:t>
      </w:r>
    </w:p>
    <w:p w14:paraId="08FA7BEA">
      <w:pPr>
        <w:widowControl/>
        <w:autoSpaceDE w:val="0"/>
        <w:autoSpaceDN w:val="0"/>
        <w:adjustRightInd w:val="0"/>
        <w:snapToGrid w:val="0"/>
        <w:spacing w:line="560" w:lineRule="exact"/>
        <w:ind w:firstLine="643"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4.</w:t>
      </w:r>
      <w:r>
        <w:rPr>
          <w:rFonts w:hint="eastAsia" w:ascii="仿宋" w:hAnsi="仿宋" w:eastAsia="仿宋" w:cs="宋体"/>
          <w:b/>
          <w:bCs/>
          <w:color w:val="000000"/>
          <w:kern w:val="0"/>
          <w:sz w:val="32"/>
          <w:szCs w:val="32"/>
          <w:lang w:bidi="ar"/>
        </w:rPr>
        <w:t>债权人地址及联系方式确认书（原件1份）</w:t>
      </w:r>
    </w:p>
    <w:p w14:paraId="563AD4BF">
      <w:pPr>
        <w:widowControl/>
        <w:autoSpaceDE w:val="0"/>
        <w:autoSpaceDN w:val="0"/>
        <w:adjustRightInd w:val="0"/>
        <w:snapToGrid w:val="0"/>
        <w:spacing w:line="560" w:lineRule="exact"/>
        <w:ind w:firstLine="640"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color w:val="000000"/>
          <w:kern w:val="0"/>
          <w:sz w:val="32"/>
          <w:szCs w:val="32"/>
          <w:lang w:bidi="ar"/>
        </w:rPr>
        <w:t>债权申报登记表由债权申报人填写。为便于债权人及时收到管理人寄送的文件，保证破产程序顺利进行，债权人应当如实提供确切的送达地址</w:t>
      </w:r>
      <w:r>
        <w:rPr>
          <w:rFonts w:hint="eastAsia" w:ascii="仿宋" w:hAnsi="仿宋" w:eastAsia="仿宋" w:cs="宋体"/>
          <w:color w:val="000000"/>
          <w:kern w:val="0"/>
          <w:sz w:val="32"/>
          <w:szCs w:val="32"/>
          <w:lang w:eastAsia="zh-CN" w:bidi="ar"/>
        </w:rPr>
        <w:t>。确认的送达地址用于整个案件。                  案件终结前，如果送达地址或收件人有变更，应当及时告知管理人。如因提供的信息不确切或变更后未及时告知管理人，致使相关文书无法送达或及时送达，邮寄送达的，邮件寄出之日视为送达之日；直接送达，送达人当场在送达回证上记明情况之日视为送达之日；债权人将自行承担由此可能产生的法律后果。                                           请如实提供准确的电子邮箱地址，破产程序中有关告知的事项将通过电子邮箱送达。</w:t>
      </w:r>
    </w:p>
    <w:p w14:paraId="531F0064">
      <w:pPr>
        <w:widowControl/>
        <w:autoSpaceDE w:val="0"/>
        <w:autoSpaceDN w:val="0"/>
        <w:adjustRightInd w:val="0"/>
        <w:snapToGrid w:val="0"/>
        <w:spacing w:line="560" w:lineRule="exact"/>
        <w:ind w:firstLine="643" w:firstLineChars="200"/>
        <w:textAlignment w:val="baseline"/>
        <w:rPr>
          <w:rFonts w:hint="eastAsia"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5.承诺书</w:t>
      </w:r>
      <w:r>
        <w:rPr>
          <w:rFonts w:hint="eastAsia" w:ascii="仿宋" w:hAnsi="仿宋" w:eastAsia="仿宋" w:cs="宋体"/>
          <w:b/>
          <w:bCs/>
          <w:color w:val="000000"/>
          <w:kern w:val="0"/>
          <w:sz w:val="32"/>
          <w:szCs w:val="32"/>
          <w:lang w:bidi="ar"/>
        </w:rPr>
        <w:t>（原件1份）</w:t>
      </w:r>
    </w:p>
    <w:p w14:paraId="4AEED78D">
      <w:pPr>
        <w:widowControl/>
        <w:autoSpaceDE w:val="0"/>
        <w:autoSpaceDN w:val="0"/>
        <w:adjustRightInd w:val="0"/>
        <w:snapToGrid w:val="0"/>
        <w:spacing w:line="560" w:lineRule="exact"/>
        <w:ind w:firstLine="640" w:firstLineChars="200"/>
        <w:textAlignment w:val="baseline"/>
        <w:rPr>
          <w:rFonts w:hint="default" w:ascii="仿宋" w:hAnsi="仿宋" w:eastAsia="仿宋" w:cs="宋体"/>
          <w:b/>
          <w:bCs/>
          <w:color w:val="000000"/>
          <w:kern w:val="0"/>
          <w:sz w:val="32"/>
          <w:szCs w:val="32"/>
          <w:lang w:val="en-US" w:eastAsia="zh-CN" w:bidi="ar"/>
        </w:rPr>
      </w:pPr>
      <w:r>
        <w:rPr>
          <w:rFonts w:hint="eastAsia" w:ascii="仿宋" w:hAnsi="仿宋" w:eastAsia="仿宋" w:cs="宋体"/>
          <w:b w:val="0"/>
          <w:bCs w:val="0"/>
          <w:color w:val="000000"/>
          <w:kern w:val="0"/>
          <w:sz w:val="32"/>
          <w:szCs w:val="32"/>
          <w:lang w:val="en-US" w:eastAsia="zh-CN" w:bidi="ar"/>
        </w:rPr>
        <w:t>债权人提供承诺书一份，承诺申报</w:t>
      </w:r>
      <w:r>
        <w:rPr>
          <w:rFonts w:hint="default" w:ascii="仿宋" w:hAnsi="仿宋" w:eastAsia="仿宋" w:cs="宋体"/>
          <w:b w:val="0"/>
          <w:bCs w:val="0"/>
          <w:color w:val="000000"/>
          <w:kern w:val="0"/>
          <w:sz w:val="32"/>
          <w:szCs w:val="32"/>
          <w:lang w:val="en-US" w:eastAsia="zh-CN" w:bidi="ar"/>
        </w:rPr>
        <w:t>真实有效</w:t>
      </w:r>
      <w:r>
        <w:rPr>
          <w:rFonts w:hint="eastAsia" w:ascii="仿宋" w:hAnsi="仿宋" w:eastAsia="仿宋" w:cs="宋体"/>
          <w:b w:val="0"/>
          <w:bCs w:val="0"/>
          <w:color w:val="000000"/>
          <w:kern w:val="0"/>
          <w:sz w:val="32"/>
          <w:szCs w:val="32"/>
          <w:lang w:val="en-US" w:eastAsia="zh-CN" w:bidi="ar"/>
        </w:rPr>
        <w:t>，如虚假申报应承担相应责任。</w:t>
      </w:r>
    </w:p>
    <w:p w14:paraId="68EC4233">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val="en-US" w:eastAsia="zh-CN" w:bidi="ar"/>
        </w:rPr>
        <w:t>6</w:t>
      </w:r>
      <w:r>
        <w:rPr>
          <w:rFonts w:hint="eastAsia" w:ascii="仿宋" w:hAnsi="仿宋" w:eastAsia="仿宋" w:cs="宋体"/>
          <w:b/>
          <w:bCs/>
          <w:color w:val="000000"/>
          <w:kern w:val="0"/>
          <w:sz w:val="32"/>
          <w:szCs w:val="32"/>
          <w:lang w:bidi="ar"/>
        </w:rPr>
        <w:t>．证据材料（复印件1套）</w:t>
      </w:r>
    </w:p>
    <w:p w14:paraId="7C9D6A6B">
      <w:pPr>
        <w:widowControl/>
        <w:autoSpaceDE w:val="0"/>
        <w:autoSpaceDN w:val="0"/>
        <w:adjustRightInd w:val="0"/>
        <w:snapToGrid w:val="0"/>
        <w:spacing w:line="560" w:lineRule="exact"/>
        <w:ind w:firstLine="66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6"/>
          <w:kern w:val="0"/>
          <w:sz w:val="32"/>
          <w:szCs w:val="32"/>
          <w:lang w:bidi="ar"/>
        </w:rPr>
        <w:t>（1）合同(包括但不限于借、贷款合同，购、销货合</w:t>
      </w:r>
      <w:r>
        <w:rPr>
          <w:rFonts w:hint="eastAsia" w:ascii="仿宋" w:hAnsi="仿宋" w:eastAsia="仿宋" w:cs="宋体"/>
          <w:color w:val="000000"/>
          <w:spacing w:val="5"/>
          <w:kern w:val="0"/>
          <w:sz w:val="32"/>
          <w:szCs w:val="32"/>
          <w:lang w:bidi="ar"/>
        </w:rPr>
        <w:t>同等)、协议、备忘录等证明存</w:t>
      </w:r>
      <w:r>
        <w:rPr>
          <w:rFonts w:hint="eastAsia" w:ascii="仿宋" w:hAnsi="仿宋" w:eastAsia="仿宋" w:cs="宋体"/>
          <w:color w:val="000000"/>
          <w:spacing w:val="6"/>
          <w:kern w:val="0"/>
          <w:sz w:val="32"/>
          <w:szCs w:val="32"/>
          <w:lang w:bidi="ar"/>
        </w:rPr>
        <w:t>在合同债权关系文件；</w:t>
      </w:r>
    </w:p>
    <w:p w14:paraId="3E089590">
      <w:pPr>
        <w:widowControl/>
        <w:autoSpaceDE w:val="0"/>
        <w:autoSpaceDN w:val="0"/>
        <w:adjustRightInd w:val="0"/>
        <w:snapToGrid w:val="0"/>
        <w:spacing w:line="560" w:lineRule="exact"/>
        <w:ind w:firstLine="644" w:firstLineChars="200"/>
        <w:textAlignment w:val="baseline"/>
        <w:rPr>
          <w:rFonts w:ascii="仿宋" w:hAnsi="仿宋" w:eastAsia="仿宋"/>
          <w:sz w:val="32"/>
          <w:szCs w:val="32"/>
        </w:rPr>
      </w:pPr>
      <w:r>
        <w:rPr>
          <w:rFonts w:hint="eastAsia" w:ascii="仿宋" w:hAnsi="仿宋" w:eastAsia="仿宋" w:cs="宋体"/>
          <w:color w:val="000000"/>
          <w:spacing w:val="1"/>
          <w:kern w:val="0"/>
          <w:sz w:val="32"/>
          <w:szCs w:val="32"/>
          <w:lang w:bidi="ar"/>
        </w:rPr>
        <w:t>（2）各类票据、划账单、汇款单、对账单、检斤单、验收单、提货单，以及工程类商</w:t>
      </w:r>
      <w:r>
        <w:rPr>
          <w:rFonts w:hint="eastAsia" w:ascii="仿宋" w:hAnsi="仿宋" w:eastAsia="仿宋" w:cs="宋体"/>
          <w:color w:val="000000"/>
          <w:spacing w:val="15"/>
          <w:kern w:val="0"/>
          <w:sz w:val="32"/>
          <w:szCs w:val="32"/>
          <w:lang w:bidi="ar"/>
        </w:rPr>
        <w:t xml:space="preserve"> </w:t>
      </w:r>
      <w:r>
        <w:rPr>
          <w:rFonts w:hint="eastAsia" w:ascii="仿宋" w:hAnsi="仿宋" w:eastAsia="仿宋" w:cs="宋体"/>
          <w:color w:val="000000"/>
          <w:spacing w:val="12"/>
          <w:kern w:val="0"/>
          <w:sz w:val="32"/>
          <w:szCs w:val="32"/>
          <w:lang w:bidi="ar"/>
        </w:rPr>
        <w:t>务中标书、工程预(结)算书等合同履行凭证；</w:t>
      </w:r>
    </w:p>
    <w:p w14:paraId="6A5E978B">
      <w:pPr>
        <w:widowControl/>
        <w:autoSpaceDE w:val="0"/>
        <w:autoSpaceDN w:val="0"/>
        <w:adjustRightInd w:val="0"/>
        <w:snapToGrid w:val="0"/>
        <w:spacing w:line="560" w:lineRule="exact"/>
        <w:ind w:firstLine="64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1"/>
          <w:kern w:val="0"/>
          <w:sz w:val="32"/>
          <w:szCs w:val="32"/>
          <w:lang w:bidi="ar"/>
        </w:rPr>
        <w:t>（3）债权如有担保的，还须提交抵押合同、质押合同、保证合同等相关合同及相关的</w:t>
      </w:r>
      <w:r>
        <w:rPr>
          <w:rFonts w:hint="eastAsia" w:ascii="仿宋" w:hAnsi="仿宋" w:eastAsia="仿宋" w:cs="宋体"/>
          <w:color w:val="000000"/>
          <w:spacing w:val="9"/>
          <w:kern w:val="0"/>
          <w:sz w:val="32"/>
          <w:szCs w:val="32"/>
          <w:lang w:bidi="ar"/>
        </w:rPr>
        <w:t>登记证件(包括但不限于他项权利证)等担保原始材料</w:t>
      </w:r>
      <w:r>
        <w:rPr>
          <w:rFonts w:hint="eastAsia" w:ascii="仿宋" w:hAnsi="仿宋" w:eastAsia="仿宋" w:cs="宋体"/>
          <w:color w:val="000000"/>
          <w:spacing w:val="8"/>
          <w:kern w:val="0"/>
          <w:sz w:val="32"/>
          <w:szCs w:val="32"/>
          <w:lang w:bidi="ar"/>
        </w:rPr>
        <w:t>；</w:t>
      </w:r>
    </w:p>
    <w:p w14:paraId="49E88E5B">
      <w:pPr>
        <w:widowControl/>
        <w:autoSpaceDE w:val="0"/>
        <w:autoSpaceDN w:val="0"/>
        <w:adjustRightInd w:val="0"/>
        <w:snapToGrid w:val="0"/>
        <w:spacing w:line="560" w:lineRule="exact"/>
        <w:ind w:firstLine="656"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4"/>
          <w:kern w:val="0"/>
          <w:sz w:val="32"/>
          <w:szCs w:val="32"/>
          <w:lang w:bidi="ar"/>
        </w:rPr>
        <w:t>（4）债权的发生及变更(包括但不限于债权转移、债务承担、合同转让、债权债务重</w:t>
      </w:r>
      <w:r>
        <w:rPr>
          <w:rFonts w:hint="eastAsia" w:ascii="仿宋" w:hAnsi="仿宋" w:eastAsia="仿宋" w:cs="宋体"/>
          <w:color w:val="000000"/>
          <w:spacing w:val="9"/>
          <w:kern w:val="0"/>
          <w:sz w:val="32"/>
          <w:szCs w:val="32"/>
          <w:lang w:bidi="ar"/>
        </w:rPr>
        <w:t>组、抵销、清偿)等原始材料</w:t>
      </w:r>
      <w:r>
        <w:rPr>
          <w:rFonts w:hint="eastAsia" w:ascii="仿宋" w:hAnsi="仿宋" w:eastAsia="仿宋" w:cs="宋体"/>
          <w:color w:val="000000"/>
          <w:spacing w:val="8"/>
          <w:kern w:val="0"/>
          <w:sz w:val="32"/>
          <w:szCs w:val="32"/>
          <w:lang w:bidi="ar"/>
        </w:rPr>
        <w:t>；</w:t>
      </w:r>
    </w:p>
    <w:p w14:paraId="79AA113F">
      <w:pPr>
        <w:widowControl/>
        <w:autoSpaceDE w:val="0"/>
        <w:autoSpaceDN w:val="0"/>
        <w:adjustRightInd w:val="0"/>
        <w:snapToGrid w:val="0"/>
        <w:spacing w:line="560" w:lineRule="exact"/>
        <w:ind w:firstLine="66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7"/>
          <w:kern w:val="0"/>
          <w:sz w:val="32"/>
          <w:szCs w:val="32"/>
          <w:lang w:bidi="ar"/>
        </w:rPr>
        <w:t>（5）债权如涉及诉讼、仲裁、调解、保全、执行，则须提交诉讼、仲裁</w:t>
      </w:r>
      <w:r>
        <w:rPr>
          <w:rFonts w:hint="eastAsia" w:ascii="仿宋" w:hAnsi="仿宋" w:eastAsia="仿宋" w:cs="宋体"/>
          <w:color w:val="000000"/>
          <w:spacing w:val="6"/>
          <w:kern w:val="0"/>
          <w:sz w:val="32"/>
          <w:szCs w:val="32"/>
          <w:lang w:bidi="ar"/>
        </w:rPr>
        <w:t>、调解、保</w:t>
      </w:r>
      <w:r>
        <w:rPr>
          <w:rFonts w:hint="eastAsia" w:ascii="仿宋" w:hAnsi="仿宋" w:eastAsia="仿宋" w:cs="宋体"/>
          <w:color w:val="000000"/>
          <w:spacing w:val="5"/>
          <w:kern w:val="0"/>
          <w:sz w:val="32"/>
          <w:szCs w:val="32"/>
          <w:lang w:bidi="ar"/>
        </w:rPr>
        <w:t>全、执行有关的文件(包括但不限于已经判决正在执行或正在进行中的案件的起诉书、</w:t>
      </w:r>
      <w:r>
        <w:rPr>
          <w:rFonts w:hint="eastAsia" w:ascii="仿宋" w:hAnsi="仿宋" w:eastAsia="仿宋" w:cs="宋体"/>
          <w:color w:val="000000"/>
          <w:kern w:val="0"/>
          <w:sz w:val="32"/>
          <w:szCs w:val="32"/>
          <w:lang w:bidi="ar"/>
        </w:rPr>
        <w:t>仲裁申请书、诉讼保全申请书、保全裁定书、生效判决书、调解书、</w:t>
      </w:r>
      <w:r>
        <w:rPr>
          <w:rFonts w:hint="eastAsia" w:ascii="仿宋" w:hAnsi="仿宋" w:eastAsia="仿宋" w:cs="宋体"/>
          <w:color w:val="000000"/>
          <w:spacing w:val="-1"/>
          <w:kern w:val="0"/>
          <w:sz w:val="32"/>
          <w:szCs w:val="32"/>
          <w:lang w:bidi="ar"/>
        </w:rPr>
        <w:t>裁决书、执行申请</w:t>
      </w:r>
      <w:r>
        <w:rPr>
          <w:rFonts w:hint="eastAsia" w:ascii="仿宋" w:hAnsi="仿宋" w:eastAsia="仿宋" w:cs="宋体"/>
          <w:color w:val="000000"/>
          <w:spacing w:val="6"/>
          <w:kern w:val="0"/>
          <w:sz w:val="32"/>
          <w:szCs w:val="32"/>
          <w:lang w:bidi="ar"/>
        </w:rPr>
        <w:t>书、法院执行裁定书、法院执行案件通知书等)</w:t>
      </w:r>
      <w:r>
        <w:rPr>
          <w:rFonts w:hint="eastAsia" w:ascii="仿宋" w:hAnsi="仿宋" w:eastAsia="仿宋" w:cs="宋体"/>
          <w:color w:val="000000"/>
          <w:spacing w:val="5"/>
          <w:kern w:val="0"/>
          <w:sz w:val="32"/>
          <w:szCs w:val="32"/>
          <w:lang w:bidi="ar"/>
        </w:rPr>
        <w:t>；</w:t>
      </w:r>
    </w:p>
    <w:p w14:paraId="0C649613">
      <w:pPr>
        <w:widowControl/>
        <w:autoSpaceDE w:val="0"/>
        <w:autoSpaceDN w:val="0"/>
        <w:adjustRightInd w:val="0"/>
        <w:snapToGrid w:val="0"/>
        <w:spacing w:line="560" w:lineRule="exact"/>
        <w:ind w:firstLine="66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7"/>
          <w:kern w:val="0"/>
          <w:sz w:val="32"/>
          <w:szCs w:val="32"/>
          <w:lang w:bidi="ar"/>
        </w:rPr>
        <w:t>（6）债权如涉及对建筑工程的争议，须提交建筑工程审计报告</w:t>
      </w:r>
      <w:r>
        <w:rPr>
          <w:rFonts w:hint="eastAsia" w:ascii="仿宋" w:hAnsi="仿宋" w:eastAsia="仿宋" w:cs="宋体"/>
          <w:color w:val="000000"/>
          <w:spacing w:val="23"/>
          <w:kern w:val="0"/>
          <w:sz w:val="32"/>
          <w:szCs w:val="32"/>
          <w:lang w:bidi="ar"/>
        </w:rPr>
        <w:t>；</w:t>
      </w:r>
    </w:p>
    <w:p w14:paraId="09DE17DE">
      <w:pPr>
        <w:widowControl/>
        <w:autoSpaceDE w:val="0"/>
        <w:autoSpaceDN w:val="0"/>
        <w:adjustRightInd w:val="0"/>
        <w:snapToGrid w:val="0"/>
        <w:spacing w:line="560" w:lineRule="exact"/>
        <w:ind w:firstLine="64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2"/>
          <w:kern w:val="0"/>
          <w:sz w:val="32"/>
          <w:szCs w:val="32"/>
          <w:lang w:bidi="ar"/>
        </w:rPr>
        <w:t>（7）利息计算方法及计算过程的书面说明，管理人特</w:t>
      </w:r>
      <w:r>
        <w:rPr>
          <w:rFonts w:hint="eastAsia" w:ascii="仿宋" w:hAnsi="仿宋" w:eastAsia="仿宋" w:cs="宋体"/>
          <w:color w:val="000000"/>
          <w:spacing w:val="1"/>
          <w:kern w:val="0"/>
          <w:sz w:val="32"/>
          <w:szCs w:val="32"/>
          <w:lang w:bidi="ar"/>
        </w:rPr>
        <w:t>别提示，根据《中华人民共和国</w:t>
      </w:r>
      <w:r>
        <w:rPr>
          <w:rFonts w:hint="eastAsia" w:ascii="仿宋" w:hAnsi="仿宋" w:eastAsia="仿宋" w:cs="宋体"/>
          <w:color w:val="000000"/>
          <w:kern w:val="0"/>
          <w:sz w:val="32"/>
          <w:szCs w:val="32"/>
          <w:lang w:bidi="ar"/>
        </w:rPr>
        <w:t>企业破产法》第四十六条第二款，附利息的债权自破产申请受</w:t>
      </w:r>
      <w:r>
        <w:rPr>
          <w:rFonts w:hint="eastAsia" w:ascii="仿宋" w:hAnsi="仿宋" w:eastAsia="仿宋" w:cs="宋体"/>
          <w:color w:val="000000"/>
          <w:spacing w:val="-1"/>
          <w:kern w:val="0"/>
          <w:sz w:val="32"/>
          <w:szCs w:val="32"/>
          <w:lang w:bidi="ar"/>
        </w:rPr>
        <w:t>理时起停止计息，请各位</w:t>
      </w:r>
      <w:r>
        <w:rPr>
          <w:rFonts w:hint="eastAsia" w:ascii="仿宋" w:hAnsi="仿宋" w:eastAsia="仿宋" w:cs="宋体"/>
          <w:color w:val="000000"/>
          <w:spacing w:val="3"/>
          <w:kern w:val="0"/>
          <w:sz w:val="32"/>
          <w:szCs w:val="32"/>
          <w:lang w:bidi="ar"/>
        </w:rPr>
        <w:t>债权人在申报债权时注意利息计算截止日期为破产案件受理日前一日；</w:t>
      </w:r>
    </w:p>
    <w:p w14:paraId="284665A2">
      <w:pPr>
        <w:widowControl/>
        <w:autoSpaceDE w:val="0"/>
        <w:autoSpaceDN w:val="0"/>
        <w:adjustRightInd w:val="0"/>
        <w:snapToGrid w:val="0"/>
        <w:spacing w:line="560" w:lineRule="exact"/>
        <w:ind w:firstLine="652"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3"/>
          <w:kern w:val="0"/>
          <w:sz w:val="32"/>
          <w:szCs w:val="32"/>
          <w:lang w:bidi="ar"/>
        </w:rPr>
        <w:t>（8）债权人主张债权的相关证明资料，如催款、催收通知等；</w:t>
      </w:r>
    </w:p>
    <w:p w14:paraId="2FB5C45B">
      <w:pPr>
        <w:widowControl/>
        <w:autoSpaceDE w:val="0"/>
        <w:autoSpaceDN w:val="0"/>
        <w:adjustRightInd w:val="0"/>
        <w:snapToGrid w:val="0"/>
        <w:spacing w:line="560" w:lineRule="exact"/>
        <w:ind w:firstLine="664"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6"/>
          <w:kern w:val="0"/>
          <w:sz w:val="32"/>
          <w:szCs w:val="32"/>
          <w:lang w:bidi="ar"/>
        </w:rPr>
        <w:t>（9）债权公证文书或相关公证文书(如有);</w:t>
      </w:r>
    </w:p>
    <w:p w14:paraId="6B3A9BFE">
      <w:pPr>
        <w:widowControl/>
        <w:autoSpaceDE w:val="0"/>
        <w:autoSpaceDN w:val="0"/>
        <w:adjustRightInd w:val="0"/>
        <w:snapToGrid w:val="0"/>
        <w:spacing w:line="560" w:lineRule="exact"/>
        <w:ind w:firstLine="648" w:firstLineChars="200"/>
        <w:textAlignment w:val="baseline"/>
        <w:rPr>
          <w:rFonts w:ascii="仿宋" w:hAnsi="仿宋" w:eastAsia="仿宋" w:cs="宋体"/>
          <w:color w:val="000000"/>
          <w:kern w:val="0"/>
          <w:sz w:val="32"/>
          <w:szCs w:val="32"/>
        </w:rPr>
      </w:pPr>
      <w:r>
        <w:rPr>
          <w:rFonts w:hint="eastAsia" w:ascii="仿宋" w:hAnsi="仿宋" w:eastAsia="仿宋" w:cs="宋体"/>
          <w:color w:val="000000"/>
          <w:spacing w:val="2"/>
          <w:kern w:val="0"/>
          <w:sz w:val="32"/>
          <w:szCs w:val="32"/>
          <w:lang w:bidi="ar"/>
        </w:rPr>
        <w:t>（10）能够证明债权发生、变更、存续、诉讼时效中止、中断、延长及其金额等情况</w:t>
      </w:r>
      <w:r>
        <w:rPr>
          <w:rFonts w:hint="eastAsia" w:ascii="仿宋" w:hAnsi="仿宋" w:eastAsia="仿宋" w:cs="宋体"/>
          <w:color w:val="000000"/>
          <w:spacing w:val="6"/>
          <w:kern w:val="0"/>
          <w:sz w:val="32"/>
          <w:szCs w:val="32"/>
          <w:lang w:bidi="ar"/>
        </w:rPr>
        <w:t>的其他材料原件。</w:t>
      </w:r>
    </w:p>
    <w:p w14:paraId="3F596D2B">
      <w:pPr>
        <w:widowControl/>
        <w:autoSpaceDE w:val="0"/>
        <w:autoSpaceDN w:val="0"/>
        <w:adjustRightInd w:val="0"/>
        <w:snapToGrid w:val="0"/>
        <w:spacing w:line="560" w:lineRule="exact"/>
        <w:ind w:firstLine="680" w:firstLineChars="200"/>
        <w:textAlignment w:val="baseline"/>
        <w:rPr>
          <w:rFonts w:ascii="仿宋" w:hAnsi="仿宋" w:eastAsia="仿宋" w:cs="宋体"/>
          <w:color w:val="000000"/>
          <w:spacing w:val="5"/>
          <w:kern w:val="0"/>
          <w:sz w:val="32"/>
          <w:szCs w:val="32"/>
          <w:lang w:bidi="ar"/>
        </w:rPr>
      </w:pPr>
      <w:r>
        <w:rPr>
          <w:rFonts w:hint="eastAsia" w:ascii="仿宋" w:hAnsi="仿宋" w:eastAsia="仿宋" w:cs="宋体"/>
          <w:color w:val="000000"/>
          <w:spacing w:val="10"/>
          <w:kern w:val="0"/>
          <w:sz w:val="32"/>
          <w:szCs w:val="32"/>
          <w:lang w:bidi="ar"/>
        </w:rPr>
        <w:t>（11）</w:t>
      </w:r>
      <w:r>
        <w:rPr>
          <w:rFonts w:hint="eastAsia" w:ascii="仿宋" w:hAnsi="仿宋" w:eastAsia="仿宋" w:cs="宋体"/>
          <w:color w:val="000000"/>
          <w:spacing w:val="5"/>
          <w:kern w:val="0"/>
          <w:sz w:val="32"/>
          <w:szCs w:val="32"/>
          <w:lang w:bidi="ar"/>
        </w:rPr>
        <w:t>债权人认为需要提交的其他材料。</w:t>
      </w:r>
    </w:p>
    <w:p w14:paraId="0F49DD59">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highlight w:val="none"/>
          <w:lang w:bidi="ar"/>
        </w:rPr>
      </w:pPr>
      <w:r>
        <w:rPr>
          <w:rFonts w:hint="eastAsia" w:ascii="仿宋" w:hAnsi="仿宋" w:eastAsia="仿宋" w:cs="宋体"/>
          <w:b/>
          <w:bCs/>
          <w:color w:val="000000"/>
          <w:kern w:val="0"/>
          <w:sz w:val="32"/>
          <w:szCs w:val="32"/>
          <w:highlight w:val="none"/>
          <w:lang w:val="en-US" w:eastAsia="zh-CN" w:bidi="ar"/>
        </w:rPr>
        <w:t>7</w:t>
      </w:r>
      <w:r>
        <w:rPr>
          <w:rFonts w:hint="eastAsia" w:ascii="仿宋" w:hAnsi="仿宋" w:eastAsia="仿宋" w:cs="宋体"/>
          <w:b/>
          <w:bCs/>
          <w:color w:val="000000"/>
          <w:kern w:val="0"/>
          <w:sz w:val="32"/>
          <w:szCs w:val="32"/>
          <w:highlight w:val="none"/>
          <w:lang w:bidi="ar"/>
        </w:rPr>
        <w:t>．材料清单</w:t>
      </w:r>
    </w:p>
    <w:p w14:paraId="1FBD5821">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r>
        <w:rPr>
          <w:rFonts w:hint="eastAsia" w:ascii="仿宋" w:hAnsi="仿宋" w:eastAsia="仿宋" w:cs="宋体"/>
          <w:color w:val="000000"/>
          <w:kern w:val="0"/>
          <w:sz w:val="32"/>
          <w:szCs w:val="32"/>
          <w:lang w:bidi="ar"/>
        </w:rPr>
        <w:t>申报人应综合提交的全部申报材料情况，制作材料清单。</w:t>
      </w:r>
    </w:p>
    <w:p w14:paraId="34FF3570">
      <w:pPr>
        <w:widowControl/>
        <w:autoSpaceDE w:val="0"/>
        <w:autoSpaceDN w:val="0"/>
        <w:adjustRightInd w:val="0"/>
        <w:snapToGrid w:val="0"/>
        <w:spacing w:line="560" w:lineRule="exact"/>
        <w:ind w:firstLine="641"/>
        <w:textAlignment w:val="baseline"/>
        <w:rPr>
          <w:rFonts w:hint="eastAsia" w:ascii="仿宋" w:hAnsi="仿宋" w:eastAsia="仿宋" w:cs="宋体"/>
          <w:b/>
          <w:bCs/>
          <w:color w:val="000000"/>
          <w:kern w:val="0"/>
          <w:sz w:val="32"/>
          <w:szCs w:val="32"/>
          <w:highlight w:val="none"/>
          <w:lang w:val="en-US" w:eastAsia="zh-CN" w:bidi="ar"/>
        </w:rPr>
      </w:pPr>
    </w:p>
    <w:p w14:paraId="7C120600">
      <w:pPr>
        <w:widowControl/>
        <w:autoSpaceDE w:val="0"/>
        <w:autoSpaceDN w:val="0"/>
        <w:adjustRightInd w:val="0"/>
        <w:snapToGrid w:val="0"/>
        <w:spacing w:line="560" w:lineRule="exact"/>
        <w:ind w:firstLine="641"/>
        <w:textAlignment w:val="baseline"/>
        <w:rPr>
          <w:rFonts w:hint="default" w:ascii="仿宋" w:hAnsi="仿宋" w:eastAsia="仿宋" w:cs="宋体"/>
          <w:b/>
          <w:bCs/>
          <w:color w:val="000000"/>
          <w:kern w:val="0"/>
          <w:sz w:val="32"/>
          <w:szCs w:val="32"/>
          <w:highlight w:val="none"/>
          <w:lang w:val="en-US" w:eastAsia="zh-CN" w:bidi="ar"/>
        </w:rPr>
      </w:pPr>
      <w:r>
        <w:rPr>
          <w:rFonts w:hint="eastAsia" w:ascii="仿宋" w:hAnsi="仿宋" w:eastAsia="仿宋" w:cs="宋体"/>
          <w:b/>
          <w:bCs/>
          <w:color w:val="000000"/>
          <w:kern w:val="0"/>
          <w:sz w:val="32"/>
          <w:szCs w:val="32"/>
          <w:highlight w:val="none"/>
          <w:lang w:val="en-US" w:eastAsia="zh-CN" w:bidi="ar"/>
        </w:rPr>
        <w:t>上述资料可参照：债权申报清单及模板</w:t>
      </w:r>
    </w:p>
    <w:p w14:paraId="1AECE4D7">
      <w:pPr>
        <w:widowControl/>
        <w:autoSpaceDE w:val="0"/>
        <w:autoSpaceDN w:val="0"/>
        <w:adjustRightInd w:val="0"/>
        <w:snapToGrid w:val="0"/>
        <w:spacing w:line="560" w:lineRule="exact"/>
        <w:ind w:firstLine="641"/>
        <w:textAlignment w:val="baseline"/>
        <w:rPr>
          <w:rFonts w:hint="default" w:ascii="仿宋" w:hAnsi="仿宋" w:eastAsia="仿宋" w:cs="宋体"/>
          <w:b/>
          <w:bCs/>
          <w:color w:val="000000"/>
          <w:kern w:val="0"/>
          <w:sz w:val="32"/>
          <w:szCs w:val="32"/>
          <w:highlight w:val="none"/>
          <w:lang w:val="en-US" w:eastAsia="zh-CN" w:bidi="ar"/>
        </w:rPr>
      </w:pPr>
    </w:p>
    <w:p w14:paraId="0C319E5B">
      <w:pPr>
        <w:widowControl/>
        <w:autoSpaceDE w:val="0"/>
        <w:autoSpaceDN w:val="0"/>
        <w:adjustRightInd w:val="0"/>
        <w:snapToGrid w:val="0"/>
        <w:spacing w:line="560" w:lineRule="exact"/>
        <w:ind w:firstLine="641" w:firstLineChars="200"/>
        <w:textAlignment w:val="baseline"/>
        <w:rPr>
          <w:rFonts w:ascii="仿宋" w:hAnsi="仿宋" w:eastAsia="仿宋" w:cs="宋体"/>
          <w:color w:val="000000"/>
          <w:kern w:val="0"/>
          <w:sz w:val="32"/>
          <w:szCs w:val="32"/>
          <w:lang w:bidi="ar"/>
        </w:rPr>
      </w:pPr>
      <w:r>
        <w:rPr>
          <w:rFonts w:hint="eastAsia" w:ascii="黑体" w:hAnsi="黑体" w:eastAsia="黑体" w:cs="宋体"/>
          <w:b/>
          <w:bCs/>
          <w:color w:val="000000"/>
          <w:kern w:val="0"/>
          <w:sz w:val="32"/>
          <w:szCs w:val="32"/>
          <w:lang w:bidi="ar"/>
        </w:rPr>
        <w:t>二、取回权、抵销权等权利的申报文件要求参考本指南第一条。</w:t>
      </w:r>
    </w:p>
    <w:p w14:paraId="20E5E2D3">
      <w:pPr>
        <w:widowControl/>
        <w:autoSpaceDE w:val="0"/>
        <w:autoSpaceDN w:val="0"/>
        <w:adjustRightInd w:val="0"/>
        <w:snapToGrid w:val="0"/>
        <w:spacing w:line="560" w:lineRule="exact"/>
        <w:ind w:firstLine="640" w:firstLineChars="200"/>
        <w:textAlignment w:val="baseline"/>
        <w:rPr>
          <w:rFonts w:ascii="仿宋" w:hAnsi="仿宋" w:eastAsia="仿宋" w:cs="宋体"/>
          <w:color w:val="000000"/>
          <w:kern w:val="0"/>
          <w:sz w:val="32"/>
          <w:szCs w:val="32"/>
          <w:lang w:bidi="ar"/>
        </w:rPr>
      </w:pPr>
    </w:p>
    <w:p w14:paraId="3C58D00A">
      <w:pPr>
        <w:widowControl/>
        <w:autoSpaceDE w:val="0"/>
        <w:autoSpaceDN w:val="0"/>
        <w:adjustRightInd w:val="0"/>
        <w:snapToGrid w:val="0"/>
        <w:spacing w:line="560" w:lineRule="exact"/>
        <w:ind w:firstLine="641"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三、</w:t>
      </w:r>
      <w:r>
        <w:rPr>
          <w:rFonts w:hint="eastAsia" w:ascii="黑体" w:hAnsi="黑体" w:eastAsia="黑体" w:cs="宋体"/>
          <w:b/>
          <w:bCs/>
          <w:color w:val="000000"/>
          <w:spacing w:val="8"/>
          <w:kern w:val="0"/>
          <w:sz w:val="32"/>
          <w:szCs w:val="32"/>
          <w:lang w:bidi="ar"/>
        </w:rPr>
        <w:t>提供材料纸张统一为复印纸A4型，</w:t>
      </w:r>
      <w:r>
        <w:rPr>
          <w:rFonts w:hint="eastAsia" w:ascii="黑体" w:hAnsi="黑体" w:eastAsia="黑体" w:cs="宋体"/>
          <w:b/>
          <w:bCs/>
          <w:color w:val="000000"/>
          <w:kern w:val="0"/>
          <w:sz w:val="32"/>
          <w:szCs w:val="32"/>
          <w:lang w:bidi="ar"/>
        </w:rPr>
        <w:t>管理人收取的证据材料只接收复印件。</w:t>
      </w:r>
    </w:p>
    <w:p w14:paraId="3FB8B7E6">
      <w:pPr>
        <w:widowControl/>
        <w:autoSpaceDE w:val="0"/>
        <w:autoSpaceDN w:val="0"/>
        <w:adjustRightInd w:val="0"/>
        <w:snapToGrid w:val="0"/>
        <w:spacing w:line="560" w:lineRule="exact"/>
        <w:ind w:firstLine="641" w:firstLineChars="200"/>
        <w:textAlignment w:val="baseline"/>
        <w:rPr>
          <w:rFonts w:ascii="黑体" w:hAnsi="黑体" w:eastAsia="黑体" w:cs="宋体"/>
          <w:b/>
          <w:bCs/>
          <w:color w:val="000000"/>
          <w:kern w:val="0"/>
          <w:sz w:val="32"/>
          <w:szCs w:val="32"/>
          <w:lang w:bidi="ar"/>
        </w:rPr>
      </w:pPr>
    </w:p>
    <w:p w14:paraId="71E7930C">
      <w:pPr>
        <w:widowControl/>
        <w:autoSpaceDE w:val="0"/>
        <w:autoSpaceDN w:val="0"/>
        <w:adjustRightInd w:val="0"/>
        <w:snapToGrid w:val="0"/>
        <w:spacing w:line="560" w:lineRule="exact"/>
        <w:ind w:firstLine="641" w:firstLineChars="200"/>
        <w:textAlignment w:val="baseline"/>
        <w:rPr>
          <w:rFonts w:ascii="黑体" w:hAnsi="黑体" w:eastAsia="黑体" w:cs="宋体"/>
          <w:b/>
          <w:bCs/>
          <w:color w:val="000000"/>
          <w:kern w:val="0"/>
          <w:sz w:val="32"/>
          <w:szCs w:val="32"/>
          <w:lang w:bidi="ar"/>
        </w:rPr>
      </w:pPr>
      <w:r>
        <w:rPr>
          <w:rFonts w:hint="eastAsia" w:ascii="黑体" w:hAnsi="黑体" w:eastAsia="黑体" w:cs="宋体"/>
          <w:b/>
          <w:bCs/>
          <w:color w:val="000000"/>
          <w:kern w:val="0"/>
          <w:sz w:val="32"/>
          <w:szCs w:val="32"/>
          <w:lang w:bidi="ar"/>
        </w:rPr>
        <w:t>四、</w:t>
      </w:r>
      <w:r>
        <w:rPr>
          <w:rFonts w:hint="eastAsia" w:ascii="黑体" w:hAnsi="黑体" w:eastAsia="黑体" w:cs="宋体"/>
          <w:b/>
          <w:bCs/>
          <w:color w:val="000000"/>
          <w:spacing w:val="8"/>
          <w:kern w:val="0"/>
          <w:sz w:val="32"/>
          <w:szCs w:val="32"/>
          <w:lang w:bidi="ar"/>
        </w:rPr>
        <w:t>管理人联系人、联系地址和联系电话请查询“全国企业破产重整案件信息网”（</w:t>
      </w:r>
      <w:r>
        <w:fldChar w:fldCharType="begin"/>
      </w:r>
      <w:r>
        <w:instrText xml:space="preserve"> HYPERLINK "https://pccz.court.gov.cn" </w:instrText>
      </w:r>
      <w:r>
        <w:fldChar w:fldCharType="separate"/>
      </w:r>
      <w:r>
        <w:rPr>
          <w:rStyle w:val="6"/>
          <w:rFonts w:ascii="黑体" w:hAnsi="黑体" w:eastAsia="黑体" w:cs="宋体"/>
          <w:b/>
          <w:bCs/>
          <w:spacing w:val="8"/>
          <w:kern w:val="0"/>
          <w:sz w:val="32"/>
          <w:szCs w:val="32"/>
          <w:lang w:bidi="ar"/>
        </w:rPr>
        <w:t>https://pccz.court.gov.cn</w:t>
      </w:r>
      <w:r>
        <w:rPr>
          <w:rStyle w:val="6"/>
          <w:rFonts w:ascii="黑体" w:hAnsi="黑体" w:eastAsia="黑体" w:cs="宋体"/>
          <w:b/>
          <w:bCs/>
          <w:spacing w:val="8"/>
          <w:kern w:val="0"/>
          <w:sz w:val="32"/>
          <w:szCs w:val="32"/>
          <w:lang w:bidi="ar"/>
        </w:rPr>
        <w:fldChar w:fldCharType="end"/>
      </w:r>
      <w:r>
        <w:rPr>
          <w:rFonts w:hint="eastAsia" w:ascii="黑体" w:hAnsi="黑体" w:eastAsia="黑体" w:cs="宋体"/>
          <w:b/>
          <w:bCs/>
          <w:color w:val="000000"/>
          <w:spacing w:val="8"/>
          <w:kern w:val="0"/>
          <w:sz w:val="32"/>
          <w:szCs w:val="32"/>
          <w:lang w:bidi="ar"/>
        </w:rPr>
        <w:t>）</w:t>
      </w:r>
      <w:r>
        <w:rPr>
          <w:rFonts w:hint="eastAsia" w:ascii="黑体" w:hAnsi="黑体" w:eastAsia="黑体" w:cs="宋体"/>
          <w:b/>
          <w:bCs/>
          <w:color w:val="000000"/>
          <w:kern w:val="0"/>
          <w:sz w:val="32"/>
          <w:szCs w:val="32"/>
          <w:u w:val="single"/>
          <w:lang w:bidi="ar"/>
        </w:rPr>
        <w:t>发布的破产案件受理公告</w:t>
      </w:r>
      <w:r>
        <w:rPr>
          <w:rFonts w:hint="eastAsia" w:ascii="黑体" w:hAnsi="黑体" w:eastAsia="黑体" w:cs="宋体"/>
          <w:b/>
          <w:bCs/>
          <w:color w:val="000000"/>
          <w:kern w:val="0"/>
          <w:sz w:val="32"/>
          <w:szCs w:val="32"/>
          <w:lang w:bidi="ar"/>
        </w:rPr>
        <w:t>。</w:t>
      </w:r>
    </w:p>
    <w:p w14:paraId="232B0352">
      <w:pPr>
        <w:widowControl/>
        <w:autoSpaceDE w:val="0"/>
        <w:autoSpaceDN w:val="0"/>
        <w:adjustRightInd w:val="0"/>
        <w:snapToGrid w:val="0"/>
        <w:spacing w:line="560" w:lineRule="exact"/>
        <w:textAlignment w:val="baseline"/>
        <w:rPr>
          <w:rFonts w:hint="eastAsia" w:ascii="仿宋" w:hAnsi="仿宋" w:eastAsia="仿宋" w:cs="宋体"/>
          <w:b/>
          <w:color w:val="000000"/>
          <w:kern w:val="0"/>
          <w:sz w:val="32"/>
          <w:szCs w:val="32"/>
          <w:lang w:bidi="ar"/>
        </w:rPr>
      </w:pPr>
    </w:p>
    <w:p w14:paraId="442B1F21">
      <w:pPr>
        <w:widowControl/>
        <w:autoSpaceDE w:val="0"/>
        <w:autoSpaceDN w:val="0"/>
        <w:adjustRightInd w:val="0"/>
        <w:snapToGrid w:val="0"/>
        <w:spacing w:line="560" w:lineRule="exact"/>
        <w:ind w:firstLine="643" w:firstLineChars="200"/>
        <w:textAlignment w:val="baseline"/>
        <w:rPr>
          <w:rFonts w:ascii="仿宋" w:hAnsi="仿宋" w:eastAsia="仿宋" w:cs="宋体"/>
          <w:b/>
          <w:color w:val="000000"/>
          <w:kern w:val="0"/>
          <w:sz w:val="32"/>
          <w:szCs w:val="32"/>
          <w:lang w:bidi="ar"/>
        </w:rPr>
      </w:pPr>
      <w:r>
        <w:rPr>
          <w:rFonts w:hint="eastAsia" w:ascii="仿宋" w:hAnsi="仿宋" w:eastAsia="仿宋" w:cs="宋体"/>
          <w:b/>
          <w:color w:val="000000"/>
          <w:kern w:val="0"/>
          <w:sz w:val="32"/>
          <w:szCs w:val="32"/>
          <w:lang w:bidi="ar"/>
        </w:rPr>
        <w:t>特别提示：</w:t>
      </w:r>
    </w:p>
    <w:p w14:paraId="4556139F">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1</w:t>
      </w:r>
      <w:r>
        <w:rPr>
          <w:rFonts w:ascii="仿宋" w:hAnsi="仿宋" w:eastAsia="仿宋" w:cs="宋体"/>
          <w:b/>
          <w:bCs/>
          <w:color w:val="000000"/>
          <w:kern w:val="0"/>
          <w:sz w:val="32"/>
          <w:szCs w:val="32"/>
          <w:lang w:bidi="ar"/>
        </w:rPr>
        <w:t>.</w:t>
      </w:r>
      <w:r>
        <w:rPr>
          <w:rFonts w:hint="eastAsia" w:ascii="仿宋" w:hAnsi="仿宋" w:eastAsia="仿宋" w:cs="宋体"/>
          <w:b/>
          <w:bCs/>
          <w:color w:val="000000"/>
          <w:kern w:val="0"/>
          <w:sz w:val="32"/>
          <w:szCs w:val="32"/>
          <w:lang w:bidi="ar"/>
        </w:rPr>
        <w:t>破产案件受理公告载明有债权申报截止期限，请各债权人尽早向管理人申报债权。</w:t>
      </w:r>
    </w:p>
    <w:p w14:paraId="123BA46A">
      <w:pPr>
        <w:widowControl/>
        <w:autoSpaceDE w:val="0"/>
        <w:autoSpaceDN w:val="0"/>
        <w:adjustRightInd w:val="0"/>
        <w:snapToGrid w:val="0"/>
        <w:spacing w:line="560" w:lineRule="exact"/>
        <w:ind w:firstLine="643" w:firstLineChars="200"/>
        <w:textAlignment w:val="baseline"/>
        <w:rPr>
          <w:rFonts w:ascii="仿宋" w:hAnsi="仿宋" w:eastAsia="仿宋" w:cs="宋体"/>
          <w:b/>
          <w:bCs/>
          <w:color w:val="000000"/>
          <w:kern w:val="0"/>
          <w:sz w:val="32"/>
          <w:szCs w:val="32"/>
          <w:lang w:bidi="ar"/>
        </w:rPr>
      </w:pPr>
      <w:r>
        <w:rPr>
          <w:rFonts w:hint="eastAsia" w:ascii="仿宋" w:hAnsi="仿宋" w:eastAsia="仿宋" w:cs="宋体"/>
          <w:b/>
          <w:bCs/>
          <w:color w:val="000000"/>
          <w:kern w:val="0"/>
          <w:sz w:val="32"/>
          <w:szCs w:val="32"/>
          <w:lang w:bidi="ar"/>
        </w:rPr>
        <w:t>2</w:t>
      </w:r>
      <w:r>
        <w:rPr>
          <w:rFonts w:ascii="仿宋" w:hAnsi="仿宋" w:eastAsia="仿宋" w:cs="宋体"/>
          <w:b/>
          <w:bCs/>
          <w:color w:val="000000"/>
          <w:kern w:val="0"/>
          <w:sz w:val="32"/>
          <w:szCs w:val="32"/>
          <w:lang w:bidi="ar"/>
        </w:rPr>
        <w:t>.</w:t>
      </w:r>
      <w:r>
        <w:rPr>
          <w:rFonts w:hint="eastAsia" w:ascii="仿宋" w:hAnsi="仿宋" w:eastAsia="仿宋" w:cs="宋体"/>
          <w:b/>
          <w:bCs/>
          <w:color w:val="000000"/>
          <w:kern w:val="0"/>
          <w:sz w:val="32"/>
          <w:szCs w:val="32"/>
          <w:lang w:bidi="ar"/>
        </w:rPr>
        <w:t>本指南和管理人发出的债权申报通知不属于债务人或管理人对申报债权的认可或重新确认，不属于诉讼时效中断的依据。</w:t>
      </w:r>
    </w:p>
    <w:sectPr>
      <w:pgSz w:w="11906" w:h="16838"/>
      <w:pgMar w:top="1417" w:right="1474" w:bottom="141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微软雅黑">
    <w:altName w:val="汉仪旗黑"/>
    <w:panose1 w:val="020B0503020204020204"/>
    <w:charset w:val="86"/>
    <w:family w:val="swiss"/>
    <w:pitch w:val="default"/>
    <w:sig w:usb0="00000000" w:usb1="00000000" w:usb2="00000016" w:usb3="00000000" w:csb0="0004001F" w:csb1="00000000"/>
  </w:font>
  <w:font w:name="方正小标宋简体">
    <w:altName w:val="汉仪书宋二KW"/>
    <w:panose1 w:val="03000509000000000000"/>
    <w:charset w:val="86"/>
    <w:family w:val="script"/>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1E3F41"/>
    <w:multiLevelType w:val="singleLevel"/>
    <w:tmpl w:val="F71E3F41"/>
    <w:lvl w:ilvl="0" w:tentative="0">
      <w:start w:val="2"/>
      <w:numFmt w:val="decimal"/>
      <w:lvlText w:val="%1."/>
      <w:lvlJc w:val="left"/>
      <w:pPr>
        <w:tabs>
          <w:tab w:val="left" w:pos="312"/>
        </w:tabs>
        <w:ind w:left="8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9CC"/>
    <w:rsid w:val="00054980"/>
    <w:rsid w:val="000C47A0"/>
    <w:rsid w:val="000F23C9"/>
    <w:rsid w:val="001B39CC"/>
    <w:rsid w:val="002455A2"/>
    <w:rsid w:val="00293806"/>
    <w:rsid w:val="002A5CBA"/>
    <w:rsid w:val="00613100"/>
    <w:rsid w:val="00640AFE"/>
    <w:rsid w:val="008453C7"/>
    <w:rsid w:val="00A927EA"/>
    <w:rsid w:val="00E640F5"/>
    <w:rsid w:val="00EB0ADD"/>
    <w:rsid w:val="00F37552"/>
    <w:rsid w:val="00FB2DF7"/>
    <w:rsid w:val="77FB6800"/>
    <w:rsid w:val="FCDBE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微软雅黑"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character" w:customStyle="1" w:styleId="9">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1610</Words>
  <Characters>1685</Characters>
  <Lines>12</Lines>
  <Paragraphs>3</Paragraphs>
  <TotalTime>4</TotalTime>
  <ScaleCrop>false</ScaleCrop>
  <LinksUpToDate>false</LinksUpToDate>
  <CharactersWithSpaces>1688</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2023-07-24T22:39:00Z</dcterms:created>
  <dc:creator>刘 殿琦</dc:creator>
  <cp:lastModifiedBy>弋丿龙</cp:lastModifiedBy>
  <dcterms:modified xsi:type="dcterms:W3CDTF">2025-06-30T15:03:30Z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eyJoZGlkIjoiMmQ0NmJmZTI0OGYzMjFjYTIzNmQ3NGQ2ZjAzZTVjMDAiLCJ1c2VySWQiOiIyNDA4NzE1NDYifQ==</vt:lpwstr>
  </property>
  <property fmtid="{D5CDD505-2E9C-101B-9397-08002B2CF9AE}" pid="3" name="KSOProductBuildVer">
    <vt:lpwstr>2052-7.4.1.8983</vt:lpwstr>
  </property>
  <property fmtid="{D5CDD505-2E9C-101B-9397-08002B2CF9AE}" pid="4" name="ICV">
    <vt:lpwstr>687C3B221952D58CC2366268680937EF_43</vt:lpwstr>
  </property>
</Properties>
</file>