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仿宋" w:hAnsi="仿宋" w:eastAsia="仿宋" w:cs="仿宋"/>
          <w:b/>
          <w:bCs/>
          <w:color w:val="000000" w:themeColor="text1"/>
          <w:sz w:val="44"/>
          <w:szCs w:val="44"/>
          <w14:textFill>
            <w14:solidFill>
              <w14:schemeClr w14:val="tx1"/>
            </w14:solidFill>
          </w14:textFill>
        </w:rPr>
      </w:pPr>
      <w:r>
        <w:rPr>
          <w:rFonts w:hint="eastAsia" w:ascii="仿宋" w:hAnsi="仿宋" w:eastAsia="仿宋" w:cs="仿宋"/>
          <w:b/>
          <w:bCs/>
          <w:color w:val="000000" w:themeColor="text1"/>
          <w:sz w:val="44"/>
          <w:szCs w:val="44"/>
          <w14:textFill>
            <w14:solidFill>
              <w14:schemeClr w14:val="tx1"/>
            </w14:solidFill>
          </w14:textFill>
        </w:rPr>
        <w:t>破产审计评估工作要求</w:t>
      </w:r>
    </w:p>
    <w:p>
      <w:pPr>
        <w:spacing w:line="500" w:lineRule="exact"/>
        <w:rPr>
          <w:rFonts w:ascii="仿宋" w:hAnsi="仿宋" w:eastAsia="仿宋" w:cs="仿宋"/>
          <w:b/>
          <w:bCs/>
          <w:color w:val="000000" w:themeColor="text1"/>
          <w:sz w:val="36"/>
          <w:szCs w:val="36"/>
          <w14:textFill>
            <w14:solidFill>
              <w14:schemeClr w14:val="tx1"/>
            </w14:solidFill>
          </w14:textFill>
        </w:rPr>
      </w:pPr>
    </w:p>
    <w:p>
      <w:pPr>
        <w:spacing w:line="500" w:lineRule="exact"/>
        <w:ind w:firstLine="560" w:firstLineChars="200"/>
        <w:rPr>
          <w:rFonts w:ascii="仿宋" w:hAnsi="仿宋" w:eastAsia="仿宋" w:cs="仿宋"/>
          <w:bCs/>
          <w:color w:val="000000" w:themeColor="text1"/>
          <w:sz w:val="28"/>
          <w:szCs w:val="36"/>
          <w14:textFill>
            <w14:solidFill>
              <w14:schemeClr w14:val="tx1"/>
            </w14:solidFill>
          </w14:textFill>
        </w:rPr>
      </w:pPr>
      <w:r>
        <w:rPr>
          <w:rFonts w:hint="eastAsia" w:ascii="仿宋" w:hAnsi="仿宋" w:eastAsia="仿宋" w:cs="仿宋"/>
          <w:color w:val="000000" w:themeColor="text1"/>
          <w:sz w:val="28"/>
          <w:szCs w:val="28"/>
          <w:shd w:val="clear" w:color="auto" w:fill="FFFFFF"/>
          <w14:textFill>
            <w14:solidFill>
              <w14:schemeClr w14:val="tx1"/>
            </w14:solidFill>
          </w14:textFill>
        </w:rPr>
        <w:t>山东汇丰石化集团有限公司、山东汇丰石化集团销售有限公司、山东公路重交沥青有限公司、淄博海益精细化工有限公司、桓台经济开发区热力有限公司、山东中汇物流实业有限公司</w:t>
      </w:r>
      <w:r>
        <w:rPr>
          <w:rFonts w:hint="eastAsia" w:ascii="仿宋" w:hAnsi="仿宋" w:eastAsia="仿宋" w:cs="仿宋"/>
          <w:bCs/>
          <w:color w:val="000000" w:themeColor="text1"/>
          <w:sz w:val="28"/>
          <w:szCs w:val="28"/>
          <w14:textFill>
            <w14:solidFill>
              <w14:schemeClr w14:val="tx1"/>
            </w14:solidFill>
          </w14:textFill>
        </w:rPr>
        <w:t>已进入破产清算程序，现拟通过竞争遴选方式选择审计、评估机构，管理人根据所了解的企业情况对于审计、评估工作提出以下要</w:t>
      </w:r>
      <w:r>
        <w:rPr>
          <w:rFonts w:hint="eastAsia" w:ascii="仿宋" w:hAnsi="仿宋" w:eastAsia="仿宋" w:cs="仿宋"/>
          <w:bCs/>
          <w:color w:val="000000" w:themeColor="text1"/>
          <w:sz w:val="28"/>
          <w:szCs w:val="36"/>
          <w14:textFill>
            <w14:solidFill>
              <w14:schemeClr w14:val="tx1"/>
            </w14:solidFill>
          </w14:textFill>
        </w:rPr>
        <w:t>求，以供参考：</w:t>
      </w:r>
    </w:p>
    <w:p>
      <w:pPr>
        <w:spacing w:line="500" w:lineRule="exact"/>
        <w:ind w:firstLine="562" w:firstLineChars="20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一、审计业务要求</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（一）审计机构必须对企业以下资产状况进行核实并在审计报告中披露，同时保留核实的底稿。</w:t>
      </w:r>
    </w:p>
    <w:p>
      <w:pPr>
        <w:numPr>
          <w:ilvl w:val="0"/>
          <w:numId w:val="1"/>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通过发出询证函，确认企业银行开户情况及存款余额情况；</w:t>
      </w:r>
    </w:p>
    <w:p>
      <w:pPr>
        <w:numPr>
          <w:ilvl w:val="0"/>
          <w:numId w:val="1"/>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通过发出询证函，确认企业应收款情况，有无管理人可以行</w:t>
      </w:r>
    </w:p>
    <w:p>
      <w:p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使取回权、留置权、质权的；</w:t>
      </w:r>
    </w:p>
    <w:p>
      <w:pPr>
        <w:numPr>
          <w:ilvl w:val="0"/>
          <w:numId w:val="1"/>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企业存货情况，账外物资、单到货未到、货到单未到情况；</w:t>
      </w:r>
    </w:p>
    <w:p>
      <w:pPr>
        <w:numPr>
          <w:ilvl w:val="0"/>
          <w:numId w:val="1"/>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固定资产的账实情况，盘盈资产、盘亏资产、固定资产折旧</w:t>
      </w:r>
    </w:p>
    <w:p>
      <w:p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计提、账外固定资产情况；</w:t>
      </w:r>
    </w:p>
    <w:p>
      <w:pPr>
        <w:numPr>
          <w:ilvl w:val="0"/>
          <w:numId w:val="1"/>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无形资产、在建工程等情况；</w:t>
      </w:r>
    </w:p>
    <w:p>
      <w:pPr>
        <w:numPr>
          <w:ilvl w:val="0"/>
          <w:numId w:val="1"/>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企业的房屋、土地、设备等资产的归属及是否存在担保、查</w:t>
      </w:r>
    </w:p>
    <w:p>
      <w:p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封及相应债务数额情况；</w:t>
      </w:r>
    </w:p>
    <w:p>
      <w:pPr>
        <w:numPr>
          <w:ilvl w:val="0"/>
          <w:numId w:val="1"/>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企业是否存在转移资产，是否与其他企业存在债权债务、资</w:t>
      </w:r>
    </w:p>
    <w:p>
      <w:p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产混同情况；</w:t>
      </w:r>
    </w:p>
    <w:p>
      <w:pPr>
        <w:numPr>
          <w:ilvl w:val="0"/>
          <w:numId w:val="1"/>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通过发出询证函，了解企业应付款情况，有无权利人可以行</w:t>
      </w:r>
    </w:p>
    <w:p>
      <w:p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使取回权、留置权、质权的；</w:t>
      </w:r>
    </w:p>
    <w:p>
      <w:pPr>
        <w:numPr>
          <w:ilvl w:val="0"/>
          <w:numId w:val="1"/>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应当审计核实的其他事项。</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10、评估机构对破产企业的专项评估，参照上述要求执行。</w:t>
      </w:r>
    </w:p>
    <w:p>
      <w:pPr>
        <w:spacing w:line="500" w:lineRule="exact"/>
        <w:ind w:firstLine="562" w:firstLineChars="20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 xml:space="preserve">（二）行为撤销审计  </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审计机构必须对企业破产申请法院裁定受理之日前1年内，涉及企业财产的下列行为进行核实并在审计报告中披露，同时保留核实的审计底稿。</w:t>
      </w:r>
    </w:p>
    <w:p>
      <w:pPr>
        <w:numPr>
          <w:ilvl w:val="0"/>
          <w:numId w:val="2"/>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无偿转让财产的；</w:t>
      </w:r>
    </w:p>
    <w:p>
      <w:pPr>
        <w:numPr>
          <w:ilvl w:val="0"/>
          <w:numId w:val="2"/>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以明显不合理的价格进行交易的；</w:t>
      </w:r>
    </w:p>
    <w:p>
      <w:pPr>
        <w:numPr>
          <w:ilvl w:val="0"/>
          <w:numId w:val="2"/>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对没有财产担保的债务提供财产担保的；</w:t>
      </w:r>
    </w:p>
    <w:p>
      <w:pPr>
        <w:numPr>
          <w:ilvl w:val="0"/>
          <w:numId w:val="2"/>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对未到期的债务提前清偿的；</w:t>
      </w:r>
    </w:p>
    <w:p>
      <w:pPr>
        <w:numPr>
          <w:ilvl w:val="0"/>
          <w:numId w:val="2"/>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放弃债权的；</w:t>
      </w:r>
    </w:p>
    <w:p>
      <w:pPr>
        <w:numPr>
          <w:ilvl w:val="0"/>
          <w:numId w:val="2"/>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有无行使抵消权的</w:t>
      </w:r>
    </w:p>
    <w:p>
      <w:pPr>
        <w:numPr>
          <w:ilvl w:val="0"/>
          <w:numId w:val="3"/>
        </w:numPr>
        <w:spacing w:line="500" w:lineRule="exact"/>
        <w:ind w:firstLine="562" w:firstLineChars="20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 xml:space="preserve">个别清偿审计  </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审计机构必须对企业在破产申请前6个月内仍对个别债权人进行清偿的行为进行核实并在审计报告中披露，同时保留核实的审计底稿。</w:t>
      </w:r>
    </w:p>
    <w:p>
      <w:pPr>
        <w:spacing w:line="500" w:lineRule="exact"/>
        <w:ind w:firstLine="562" w:firstLineChars="20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 xml:space="preserve">（四）行为无效审计  </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审计机构必须对企业财产是否存在下列情形进行核实并在审计报告中披露，同时保留核实的审计底稿；</w:t>
      </w:r>
    </w:p>
    <w:p>
      <w:pPr>
        <w:numPr>
          <w:ilvl w:val="0"/>
          <w:numId w:val="4"/>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为逃避债务而隐匿、转移财产的；</w:t>
      </w:r>
    </w:p>
    <w:p>
      <w:pPr>
        <w:numPr>
          <w:ilvl w:val="0"/>
          <w:numId w:val="4"/>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虚构债务或者承认不真实的债务的。</w:t>
      </w:r>
    </w:p>
    <w:p>
      <w:pPr>
        <w:spacing w:line="500" w:lineRule="exact"/>
        <w:ind w:firstLine="422" w:firstLineChars="15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 xml:space="preserve">（五）出资情况审计  </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审计机构必须对企业出资情况进行核实并在审计报告中披露，同时保留核实的审计底稿。重点核实出资人有无虚假出资、出资是否全部到位或抽逃出资情况，以实物出资的，出资与实物当时的市场价是否接近。</w:t>
      </w:r>
    </w:p>
    <w:p>
      <w:pPr>
        <w:spacing w:line="500" w:lineRule="exact"/>
        <w:ind w:firstLine="422" w:firstLineChars="15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 xml:space="preserve">（六）高管收入审计  </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审计机构必须对企业高管人员有无利用职权获得非正常收入、私分或侵占企业财产情况进行核实并在审计报告中披露，同时保留核实的审计底稿。</w:t>
      </w:r>
    </w:p>
    <w:p>
      <w:pPr>
        <w:spacing w:line="500" w:lineRule="exact"/>
        <w:ind w:firstLine="56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在列支的应付职工工资中，有无高管人员的工资超出企业平均工资的情况，并标明企业职工的工资平均数额。</w:t>
      </w:r>
    </w:p>
    <w:p>
      <w:pPr>
        <w:spacing w:line="500" w:lineRule="exact"/>
        <w:ind w:firstLine="422" w:firstLineChars="15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 xml:space="preserve">（七）负债审计  </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审计机构必须对企业以下负债状况进行核实并在审计报告中披露，同时保留核实的审计底稿；</w:t>
      </w:r>
    </w:p>
    <w:p>
      <w:pPr>
        <w:numPr>
          <w:ilvl w:val="0"/>
          <w:numId w:val="5"/>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应付货款发生的实施情况，重点核实有关证据、数额及是否</w:t>
      </w:r>
    </w:p>
    <w:p>
      <w:p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存在财产担保情况；</w:t>
      </w:r>
    </w:p>
    <w:p>
      <w:pPr>
        <w:numPr>
          <w:ilvl w:val="0"/>
          <w:numId w:val="5"/>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银行贷款、企业借贷等借款情况，重点核实有关证据、截止</w:t>
      </w:r>
    </w:p>
    <w:p>
      <w:p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审计日的本息数额、借款期限、利率、有无财产担保情况；</w:t>
      </w:r>
    </w:p>
    <w:p>
      <w:pPr>
        <w:numPr>
          <w:ilvl w:val="0"/>
          <w:numId w:val="5"/>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核实或有债务中尚未执行的诉讼情况。</w:t>
      </w:r>
    </w:p>
    <w:p>
      <w:pPr>
        <w:numPr>
          <w:ilvl w:val="0"/>
          <w:numId w:val="5"/>
        </w:num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企业集资情况，重点核实是否有真实的集资履行证据及利息</w:t>
      </w:r>
    </w:p>
    <w:p>
      <w:pPr>
        <w:spacing w:line="5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支付情况，是否职工集资、是否是职工入厂集资、是否企业通过扣发工资方式集资、是否是企业通过优势地位强制性集资等情况，并应特别注明有无股权转集资情况；明确集资数额及集资人员名单，区分职工集资及社会集资情况。</w:t>
      </w:r>
    </w:p>
    <w:p>
      <w:pPr>
        <w:spacing w:line="500" w:lineRule="exact"/>
        <w:ind w:firstLine="422" w:firstLineChars="15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 xml:space="preserve">（八）对外投资审计  </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审计机构必须对企业向其他企业投资或者为他人提供担保、为公司股东或者实际控制人提供担保情况进行核实，并在审计报告中披露，同时保留核实的审计底稿。</w:t>
      </w:r>
    </w:p>
    <w:p>
      <w:pPr>
        <w:spacing w:line="500" w:lineRule="exact"/>
        <w:ind w:firstLine="422" w:firstLineChars="15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 xml:space="preserve">（九）损害债务人利益审计  </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审计机构必须对企业有无控股股东、实际控制人、董事、监事、高级管理人利用关联关系损害公司利益进行核实，并在审计报告中披露，同时保留核实的审计底稿。</w:t>
      </w:r>
    </w:p>
    <w:p>
      <w:pPr>
        <w:spacing w:line="500" w:lineRule="exact"/>
        <w:ind w:firstLine="422" w:firstLineChars="150"/>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 xml:space="preserve">（十）关联方及关联公司审计  </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审计机构必须对关联企业之间的具体关系模式、关联企业之间资产的混同程序及其持续时间、各企业之间的利益关系、法人人格高度混同的关联关系等进行核实，并在审计报告中披露，同时保留核实的审计底稿。</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二、评估机构对于破产企业的房地产、资产专项评估，参照以上要求执行。评估机构的报告要体现出市场价值和清算价值。</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三、为了有利于破产工作的顺利进行，对于审计、评估的时间进度进行要求：</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1、初稿出具时间：因</w:t>
      </w:r>
      <w:r>
        <w:rPr>
          <w:rFonts w:hint="eastAsia" w:ascii="仿宋" w:hAnsi="仿宋" w:eastAsia="仿宋" w:cs="仿宋"/>
          <w:color w:val="000000" w:themeColor="text1"/>
          <w:sz w:val="28"/>
          <w:szCs w:val="28"/>
          <w:shd w:val="clear" w:color="auto" w:fill="FFFFFF"/>
          <w14:textFill>
            <w14:solidFill>
              <w14:schemeClr w14:val="tx1"/>
            </w14:solidFill>
          </w14:textFill>
        </w:rPr>
        <w:t>山东汇丰石化集团有限公司、山东汇丰石化集团销售有限公司、山东公路重交沥青有限公司、淄博海益精细化工有限公司、桓台经济开发区热力有限公司、山东中汇物流实业有限公司</w:t>
      </w:r>
      <w:r>
        <w:rPr>
          <w:rFonts w:hint="eastAsia" w:ascii="仿宋" w:hAnsi="仿宋" w:eastAsia="仿宋" w:cs="仿宋"/>
          <w:color w:val="000000" w:themeColor="text1"/>
          <w:sz w:val="28"/>
          <w:szCs w:val="28"/>
          <w14:textFill>
            <w14:solidFill>
              <w14:schemeClr w14:val="tx1"/>
            </w14:solidFill>
          </w14:textFill>
        </w:rPr>
        <w:t>破产案件对于时间要求比较紧迫，接受委托后需按照遴选公告约定的日期出具审计和评估初稿，初稿出具后审计、评估机构接受听证。</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2、正式报告出具时间：接受听证后对于审计报告初稿进行必要修改，并在听证后5日内出具审计评估报告定稿。</w:t>
      </w:r>
    </w:p>
    <w:p>
      <w:pPr>
        <w:spacing w:line="50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3、要求：审计、评估报告的底稿应当齐全，并随时可以提供备查。</w:t>
      </w:r>
    </w:p>
    <w:p>
      <w:pPr>
        <w:spacing w:line="500" w:lineRule="exact"/>
        <w:ind w:firstLine="56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四、审计、评估机构参与人员要求</w:t>
      </w:r>
    </w:p>
    <w:p>
      <w:pPr>
        <w:spacing w:line="500" w:lineRule="exact"/>
        <w:ind w:firstLine="56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1、派出人员的要求</w:t>
      </w:r>
    </w:p>
    <w:p>
      <w:pPr>
        <w:spacing w:line="500" w:lineRule="exact"/>
        <w:ind w:firstLine="56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（1）要求审计、评估机构派出人员从数量和能力上都要能够保证工作需要。</w:t>
      </w:r>
    </w:p>
    <w:p>
      <w:pPr>
        <w:spacing w:line="500" w:lineRule="exact"/>
        <w:ind w:firstLine="56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（2）人员要求：审计机构派出人员不得少于</w:t>
      </w:r>
      <w:r>
        <w:rPr>
          <w:rFonts w:ascii="仿宋" w:hAnsi="仿宋" w:eastAsia="仿宋" w:cs="仿宋"/>
          <w:color w:val="000000" w:themeColor="text1"/>
          <w:sz w:val="28"/>
          <w:szCs w:val="28"/>
          <w14:textFill>
            <w14:solidFill>
              <w14:schemeClr w14:val="tx1"/>
            </w14:solidFill>
          </w14:textFill>
        </w:rPr>
        <w:t>20</w:t>
      </w:r>
      <w:r>
        <w:rPr>
          <w:rFonts w:hint="eastAsia" w:ascii="仿宋" w:hAnsi="仿宋" w:eastAsia="仿宋" w:cs="仿宋"/>
          <w:color w:val="000000" w:themeColor="text1"/>
          <w:sz w:val="28"/>
          <w:szCs w:val="28"/>
          <w14:textFill>
            <w14:solidFill>
              <w14:schemeClr w14:val="tx1"/>
            </w14:solidFill>
          </w14:textFill>
        </w:rPr>
        <w:t>人，评估机构派出人员不得少于</w:t>
      </w:r>
      <w:r>
        <w:rPr>
          <w:rFonts w:ascii="仿宋" w:hAnsi="仿宋" w:eastAsia="仿宋" w:cs="仿宋"/>
          <w:color w:val="000000" w:themeColor="text1"/>
          <w:sz w:val="28"/>
          <w:szCs w:val="28"/>
          <w14:textFill>
            <w14:solidFill>
              <w14:schemeClr w14:val="tx1"/>
            </w14:solidFill>
          </w14:textFill>
        </w:rPr>
        <w:t>15</w:t>
      </w:r>
      <w:r>
        <w:rPr>
          <w:rFonts w:hint="eastAsia" w:ascii="仿宋" w:hAnsi="仿宋" w:eastAsia="仿宋" w:cs="仿宋"/>
          <w:color w:val="000000" w:themeColor="text1"/>
          <w:sz w:val="28"/>
          <w:szCs w:val="28"/>
          <w14:textFill>
            <w14:solidFill>
              <w14:schemeClr w14:val="tx1"/>
            </w14:solidFill>
          </w14:textFill>
        </w:rPr>
        <w:t>人，同时应当提供人员名单以及联系方式，并出具书面保证函，保证派出人员在本案破产案件中的工作时间。</w:t>
      </w:r>
    </w:p>
    <w:p>
      <w:pPr>
        <w:spacing w:line="500" w:lineRule="exact"/>
        <w:ind w:firstLine="56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2、工作范围要求</w:t>
      </w:r>
    </w:p>
    <w:p>
      <w:pPr>
        <w:spacing w:line="500" w:lineRule="exact"/>
        <w:ind w:firstLine="56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（1）审计机构严格按照上述审计业务要求进行审计，报告中要全部体现。</w:t>
      </w:r>
    </w:p>
    <w:p>
      <w:pPr>
        <w:spacing w:line="500" w:lineRule="exact"/>
        <w:ind w:firstLine="56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（2）资产评估机构要对公司的全部资产分别进行评估。</w:t>
      </w:r>
    </w:p>
    <w:p>
      <w:pPr>
        <w:spacing w:line="500" w:lineRule="exact"/>
        <w:ind w:firstLine="56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（3）管理人根据实际情况要求的其他审计、评估事项。</w:t>
      </w:r>
    </w:p>
    <w:p>
      <w:pPr>
        <w:spacing w:line="500" w:lineRule="exact"/>
        <w:ind w:firstLine="56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五、审计、评估费用的支付</w:t>
      </w:r>
    </w:p>
    <w:p>
      <w:pPr>
        <w:spacing w:line="500" w:lineRule="exact"/>
        <w:ind w:firstLine="560"/>
        <w:rPr>
          <w:rFonts w:asciiTheme="minorEastAsia" w:hAnsiTheme="minorEastAsia" w:cstheme="minorEastAsia"/>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因破产案件的特殊性，审计、评估费用根据企业情况进行支付，采用先工作后付费的方式，最终由管理人确定于破产财产变卖后作为破产费用予以支付。</w:t>
      </w:r>
    </w:p>
    <w:p>
      <w:pPr>
        <w:rPr>
          <w:color w:val="000000" w:themeColor="text1"/>
          <w14:textFill>
            <w14:solidFill>
              <w14:schemeClr w14:val="tx1"/>
            </w14:solidFill>
          </w14:textFill>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A1EE87"/>
    <w:multiLevelType w:val="singleLevel"/>
    <w:tmpl w:val="A6A1EE87"/>
    <w:lvl w:ilvl="0" w:tentative="0">
      <w:start w:val="1"/>
      <w:numFmt w:val="decimal"/>
      <w:suff w:val="nothing"/>
      <w:lvlText w:val="%1、"/>
      <w:lvlJc w:val="left"/>
      <w:pPr>
        <w:ind w:left="560" w:firstLine="0"/>
      </w:pPr>
    </w:lvl>
  </w:abstractNum>
  <w:abstractNum w:abstractNumId="1">
    <w:nsid w:val="B27B4EAD"/>
    <w:multiLevelType w:val="singleLevel"/>
    <w:tmpl w:val="B27B4EAD"/>
    <w:lvl w:ilvl="0" w:tentative="0">
      <w:start w:val="1"/>
      <w:numFmt w:val="decimal"/>
      <w:suff w:val="nothing"/>
      <w:lvlText w:val="%1、"/>
      <w:lvlJc w:val="left"/>
      <w:pPr>
        <w:ind w:left="560" w:firstLine="0"/>
      </w:pPr>
    </w:lvl>
  </w:abstractNum>
  <w:abstractNum w:abstractNumId="2">
    <w:nsid w:val="C7A65B68"/>
    <w:multiLevelType w:val="singleLevel"/>
    <w:tmpl w:val="C7A65B68"/>
    <w:lvl w:ilvl="0" w:tentative="0">
      <w:start w:val="3"/>
      <w:numFmt w:val="chineseCounting"/>
      <w:suff w:val="nothing"/>
      <w:lvlText w:val="（%1）"/>
      <w:lvlJc w:val="left"/>
      <w:rPr>
        <w:rFonts w:hint="eastAsia"/>
      </w:rPr>
    </w:lvl>
  </w:abstractNum>
  <w:abstractNum w:abstractNumId="3">
    <w:nsid w:val="D661C873"/>
    <w:multiLevelType w:val="singleLevel"/>
    <w:tmpl w:val="D661C873"/>
    <w:lvl w:ilvl="0" w:tentative="0">
      <w:start w:val="1"/>
      <w:numFmt w:val="decimal"/>
      <w:suff w:val="nothing"/>
      <w:lvlText w:val="%1、"/>
      <w:lvlJc w:val="left"/>
      <w:pPr>
        <w:ind w:left="560" w:firstLine="0"/>
      </w:pPr>
    </w:lvl>
  </w:abstractNum>
  <w:abstractNum w:abstractNumId="4">
    <w:nsid w:val="5324B1BD"/>
    <w:multiLevelType w:val="singleLevel"/>
    <w:tmpl w:val="5324B1BD"/>
    <w:lvl w:ilvl="0" w:tentative="0">
      <w:start w:val="1"/>
      <w:numFmt w:val="decimal"/>
      <w:suff w:val="nothing"/>
      <w:lvlText w:val="%1、"/>
      <w:lvlJc w:val="left"/>
      <w:pPr>
        <w:ind w:left="560" w:firstLine="0"/>
      </w:pPr>
    </w:lvl>
  </w:abstractNum>
  <w:num w:numId="1">
    <w:abstractNumId w:val="4"/>
    <w:lvlOverride w:ilvl="0">
      <w:startOverride w:val="1"/>
    </w:lvlOverride>
  </w:num>
  <w:num w:numId="2">
    <w:abstractNumId w:val="1"/>
    <w:lvlOverride w:ilvl="0">
      <w:startOverride w:val="1"/>
    </w:lvlOverride>
  </w:num>
  <w:num w:numId="3">
    <w:abstractNumId w:val="2"/>
  </w:num>
  <w:num w:numId="4">
    <w:abstractNumId w:val="3"/>
    <w:lvlOverride w:ilvl="0">
      <w:startOverride w:val="1"/>
    </w:lvlOverride>
  </w:num>
  <w:num w:numId="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6FA937"/>
    <w:rsid w:val="726FA9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2025-09-05T13:04:00Z</dcterms:created>
  <dc:creator>律师</dc:creator>
  <cp:lastModifiedBy>律师</cp:lastModifiedBy>
  <dcterms:modified xsi:type="dcterms:W3CDTF">2025-09-05T13:05:25Z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652DBEEC40665040786FBA6889EABDBF_41</vt:lpwstr>
  </property>
</Properties>
</file>