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4B75F">
      <w:pPr>
        <w:keepNext w:val="0"/>
        <w:keepLines w:val="0"/>
        <w:pageBreakBefore w:val="0"/>
        <w:widowControl/>
        <w:kinsoku w:val="0"/>
        <w:wordWrap/>
        <w:overflowPunct/>
        <w:topLinePunct w:val="0"/>
        <w:autoSpaceDE w:val="0"/>
        <w:autoSpaceDN w:val="0"/>
        <w:bidi w:val="0"/>
        <w:adjustRightInd w:val="0"/>
        <w:snapToGrid/>
        <w:spacing w:line="360" w:lineRule="auto"/>
        <w:jc w:val="center"/>
        <w:textAlignment w:val="baseline"/>
        <w:rPr>
          <w:rFonts w:hint="eastAsia" w:ascii="Times New Roman Regular" w:hAnsi="Times New Roman Regular" w:eastAsia="仿宋" w:cs="Times New Roman Regular"/>
          <w:b/>
          <w:bCs/>
          <w:sz w:val="36"/>
          <w:szCs w:val="36"/>
          <w:highlight w:val="none"/>
          <w:lang w:val="en-US" w:eastAsia="zh-CN"/>
        </w:rPr>
      </w:pPr>
      <w:r>
        <w:rPr>
          <w:rFonts w:hint="default" w:ascii="Times New Roman Regular" w:hAnsi="Times New Roman Regular" w:eastAsia="仿宋" w:cs="Times New Roman Regular"/>
          <w:b/>
          <w:bCs/>
          <w:sz w:val="32"/>
          <w:szCs w:val="32"/>
          <w:highlight w:val="none"/>
          <w:lang w:val="en-US" w:eastAsia="zh-CN"/>
        </w:rPr>
        <w:t>千闻云计算科技（北京）有限公司管理人</w:t>
      </w:r>
    </w:p>
    <w:p w14:paraId="7217B536">
      <w:pPr>
        <w:jc w:val="center"/>
        <w:rPr>
          <w:rFonts w:hint="eastAsia" w:ascii="Times New Roman Regular" w:hAnsi="Times New Roman Regular" w:eastAsia="仿宋" w:cs="Times New Roman Regular"/>
          <w:b/>
          <w:bCs/>
          <w:sz w:val="36"/>
          <w:szCs w:val="36"/>
          <w:highlight w:val="none"/>
          <w:lang w:val="en-US" w:eastAsia="zh-CN"/>
        </w:rPr>
      </w:pPr>
      <w:r>
        <w:rPr>
          <w:rFonts w:hint="eastAsia" w:ascii="Times New Roman Regular" w:hAnsi="Times New Roman Regular" w:eastAsia="仿宋" w:cs="Times New Roman Regular"/>
          <w:b/>
          <w:bCs/>
          <w:sz w:val="36"/>
          <w:szCs w:val="36"/>
          <w:highlight w:val="none"/>
          <w:lang w:val="en-US" w:eastAsia="zh-CN"/>
        </w:rPr>
        <w:t>关于向债权人分配的公告</w:t>
      </w:r>
    </w:p>
    <w:p w14:paraId="28F4A0E8">
      <w:pPr>
        <w:jc w:val="center"/>
        <w:rPr>
          <w:rFonts w:hint="eastAsia" w:ascii="Times New Roman Regular" w:hAnsi="Times New Roman Regular" w:eastAsia="仿宋" w:cs="Times New Roman Regular"/>
          <w:b/>
          <w:bCs/>
          <w:sz w:val="36"/>
          <w:szCs w:val="36"/>
          <w:highlight w:val="none"/>
          <w:lang w:val="en-US" w:eastAsia="zh-CN"/>
        </w:rPr>
      </w:pPr>
    </w:p>
    <w:p w14:paraId="54C1A33B">
      <w:pPr>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各位债权人：</w:t>
      </w:r>
    </w:p>
    <w:p w14:paraId="1958E256">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2022年12月22日，北京市第一中级人民法院作出（2022）京01破申817号裁定书，依法受理千闻云计算科技（北京）有限公司（以下简称千闻云公司）破产清算一案，并于2023年1月17日作出（2023）京01破24号决定书，指定北京展达律师事务所担任千闻云公司管理人（以下简称管理人）。2025年9月14日北京市第一中级人民法院作出（2023）京01破24号之二裁定书，依法受理千闻云计算科技（北京）有限公司（以下简称千闻云公司）破产清算一案，</w:t>
      </w:r>
    </w:p>
    <w:p w14:paraId="271411D0">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现根据《中华人民共和国企业破产法》相关规定及千闻云公司第一次债权人会议决议，本管理人现已制定千闻云公司破产财产分配方案，并经北京市第一中级人民法院（2023）京01破24号之二裁定书裁定认可。现将本次分配有关事项公告如下：</w:t>
      </w:r>
    </w:p>
    <w:p w14:paraId="63D5BD66">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一、本次破产财产分配方案确定的分配比例为职工债权0.589%（即每100元债权分配0.589元），普通债权、劣后债权0%，无税收与社保债权。</w:t>
      </w:r>
    </w:p>
    <w:p w14:paraId="79ED4A5B">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二、请全体职工债权人尽早将以下收款信息材料邮寄至本管理人指定地址：</w:t>
      </w:r>
      <w:bookmarkStart w:id="0" w:name="_GoBack"/>
      <w:bookmarkEnd w:id="0"/>
    </w:p>
    <w:p w14:paraId="4C3BFBCA">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left"/>
        <w:textAlignment w:val="baseline"/>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1.债权人身份证复印件（正反面）；</w:t>
      </w:r>
    </w:p>
    <w:p w14:paraId="03706F86">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left"/>
        <w:textAlignment w:val="baseline"/>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2.地址确认书原件（模板见附件，写清开户银行名称及支行，需正楷书写或打印，并务必由债权人本人亲笔签名确认）。</w:t>
      </w:r>
    </w:p>
    <w:p w14:paraId="3FDC0C9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w:t>
      </w:r>
      <w:r>
        <w:rPr>
          <w:rFonts w:hint="default" w:ascii="仿宋" w:hAnsi="仿宋" w:eastAsia="仿宋" w:cs="仿宋"/>
          <w:b/>
          <w:bCs/>
          <w:sz w:val="32"/>
          <w:szCs w:val="32"/>
          <w:highlight w:val="none"/>
          <w:lang w:val="en-US" w:eastAsia="zh-CN"/>
        </w:rPr>
        <w:t>邮寄地址</w:t>
      </w:r>
      <w:r>
        <w:rPr>
          <w:rFonts w:hint="default" w:ascii="仿宋" w:hAnsi="仿宋" w:eastAsia="仿宋" w:cs="仿宋"/>
          <w:b w:val="0"/>
          <w:bCs w:val="0"/>
          <w:sz w:val="32"/>
          <w:szCs w:val="32"/>
          <w:highlight w:val="none"/>
          <w:lang w:val="en-US" w:eastAsia="zh-CN"/>
        </w:rPr>
        <w:t>：</w:t>
      </w:r>
      <w:r>
        <w:rPr>
          <w:rFonts w:hint="eastAsia" w:ascii="仿宋" w:hAnsi="仿宋" w:eastAsia="仿宋" w:cs="仿宋"/>
          <w:b w:val="0"/>
          <w:bCs w:val="0"/>
          <w:sz w:val="32"/>
          <w:szCs w:val="32"/>
          <w:highlight w:val="none"/>
          <w:lang w:val="en-US" w:eastAsia="zh-CN"/>
        </w:rPr>
        <w:t xml:space="preserve">北京市丰台区西三环南路55号顺和国际B339室 </w:t>
      </w:r>
      <w:r>
        <w:rPr>
          <w:rFonts w:hint="default" w:ascii="仿宋" w:hAnsi="仿宋" w:eastAsia="仿宋" w:cs="仿宋"/>
          <w:b w:val="0"/>
          <w:bCs w:val="0"/>
          <w:sz w:val="32"/>
          <w:szCs w:val="32"/>
          <w:highlight w:val="none"/>
          <w:lang w:val="en-US" w:eastAsia="zh-CN"/>
        </w:rPr>
        <w:t>收件人：</w:t>
      </w:r>
      <w:r>
        <w:rPr>
          <w:rFonts w:hint="eastAsia" w:ascii="仿宋" w:hAnsi="仿宋" w:eastAsia="仿宋" w:cs="仿宋"/>
          <w:b w:val="0"/>
          <w:bCs w:val="0"/>
          <w:sz w:val="32"/>
          <w:szCs w:val="32"/>
          <w:highlight w:val="none"/>
          <w:lang w:val="en-US" w:eastAsia="zh-CN"/>
        </w:rPr>
        <w:t>千闻云</w:t>
      </w:r>
      <w:r>
        <w:rPr>
          <w:rFonts w:hint="default" w:ascii="仿宋" w:hAnsi="仿宋" w:eastAsia="仿宋" w:cs="仿宋"/>
          <w:b w:val="0"/>
          <w:bCs w:val="0"/>
          <w:sz w:val="32"/>
          <w:szCs w:val="32"/>
          <w:highlight w:val="none"/>
          <w:lang w:val="en-US" w:eastAsia="zh-CN"/>
        </w:rPr>
        <w:t>破产管理人</w:t>
      </w:r>
      <w:r>
        <w:rPr>
          <w:rFonts w:hint="eastAsia" w:ascii="仿宋" w:hAnsi="仿宋" w:eastAsia="仿宋" w:cs="仿宋"/>
          <w:b w:val="0"/>
          <w:bCs w:val="0"/>
          <w:sz w:val="32"/>
          <w:szCs w:val="32"/>
          <w:highlight w:val="none"/>
          <w:lang w:val="en-US" w:eastAsia="zh-CN"/>
        </w:rPr>
        <w:t xml:space="preserve"> 联系电话：13329422040</w:t>
      </w:r>
    </w:p>
    <w:p w14:paraId="644477CC">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三</w:t>
      </w:r>
      <w:r>
        <w:rPr>
          <w:rFonts w:hint="default" w:ascii="仿宋" w:hAnsi="仿宋" w:eastAsia="仿宋" w:cs="仿宋"/>
          <w:b w:val="0"/>
          <w:bCs w:val="0"/>
          <w:sz w:val="32"/>
          <w:szCs w:val="32"/>
          <w:highlight w:val="none"/>
          <w:lang w:val="en-US" w:eastAsia="zh-CN"/>
        </w:rPr>
        <w:t>、注意事项：</w:t>
      </w:r>
    </w:p>
    <w:p w14:paraId="4135D706">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w:t>
      </w:r>
      <w:r>
        <w:rPr>
          <w:rFonts w:hint="default" w:ascii="仿宋" w:hAnsi="仿宋" w:eastAsia="仿宋" w:cs="仿宋"/>
          <w:b w:val="0"/>
          <w:bCs w:val="0"/>
          <w:sz w:val="32"/>
          <w:szCs w:val="32"/>
          <w:highlight w:val="none"/>
          <w:lang w:val="en-US" w:eastAsia="zh-CN"/>
        </w:rPr>
        <w:t>逾期未提供收款信息的，将暂缓发放分配款，后续补发可能产生延误</w:t>
      </w:r>
      <w:r>
        <w:rPr>
          <w:rFonts w:hint="eastAsia" w:ascii="仿宋" w:hAnsi="仿宋" w:eastAsia="仿宋" w:cs="仿宋"/>
          <w:b w:val="0"/>
          <w:bCs w:val="0"/>
          <w:sz w:val="32"/>
          <w:szCs w:val="32"/>
          <w:highlight w:val="none"/>
          <w:lang w:val="en-US" w:eastAsia="zh-CN"/>
        </w:rPr>
        <w:t>。</w:t>
      </w:r>
      <w:r>
        <w:rPr>
          <w:rFonts w:hint="default" w:ascii="仿宋" w:hAnsi="仿宋" w:eastAsia="仿宋" w:cs="仿宋"/>
          <w:b w:val="0"/>
          <w:bCs w:val="0"/>
          <w:sz w:val="32"/>
          <w:szCs w:val="32"/>
          <w:highlight w:val="none"/>
          <w:lang w:val="en-US" w:eastAsia="zh-CN"/>
        </w:rPr>
        <w:t>根据《企业破产法》第118条，分配公告满2个月未领取视为放弃权利</w:t>
      </w:r>
      <w:r>
        <w:rPr>
          <w:rFonts w:hint="eastAsia" w:ascii="仿宋" w:hAnsi="仿宋" w:eastAsia="仿宋" w:cs="仿宋"/>
          <w:b w:val="0"/>
          <w:bCs w:val="0"/>
          <w:sz w:val="32"/>
          <w:szCs w:val="32"/>
          <w:highlight w:val="none"/>
          <w:lang w:val="en-US" w:eastAsia="zh-CN"/>
        </w:rPr>
        <w:t>。请各位债权人及时提供收款信息</w:t>
      </w:r>
      <w:r>
        <w:rPr>
          <w:rFonts w:hint="default" w:ascii="仿宋" w:hAnsi="仿宋" w:eastAsia="仿宋" w:cs="仿宋"/>
          <w:b w:val="0"/>
          <w:bCs w:val="0"/>
          <w:sz w:val="32"/>
          <w:szCs w:val="32"/>
          <w:highlight w:val="none"/>
          <w:lang w:val="en-US" w:eastAsia="zh-CN"/>
        </w:rPr>
        <w:t>；</w:t>
      </w:r>
    </w:p>
    <w:p w14:paraId="125EF448">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2.</w:t>
      </w:r>
      <w:r>
        <w:rPr>
          <w:rFonts w:hint="default" w:ascii="仿宋" w:hAnsi="仿宋" w:eastAsia="仿宋" w:cs="仿宋"/>
          <w:b w:val="0"/>
          <w:bCs w:val="0"/>
          <w:sz w:val="32"/>
          <w:szCs w:val="32"/>
          <w:highlight w:val="none"/>
          <w:lang w:val="en-US" w:eastAsia="zh-CN"/>
        </w:rPr>
        <w:t>信息填写错误或不全导致分配失败的，由债权人自行承担责任；</w:t>
      </w:r>
    </w:p>
    <w:p w14:paraId="537C93B0">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w:t>
      </w:r>
      <w:r>
        <w:rPr>
          <w:rFonts w:hint="default" w:ascii="仿宋" w:hAnsi="仿宋" w:eastAsia="仿宋" w:cs="仿宋"/>
          <w:b w:val="0"/>
          <w:bCs w:val="0"/>
          <w:sz w:val="32"/>
          <w:szCs w:val="32"/>
          <w:highlight w:val="none"/>
          <w:lang w:val="en-US" w:eastAsia="zh-CN"/>
        </w:rPr>
        <w:t>如有疑问，请及时与管理人联系。</w:t>
      </w:r>
    </w:p>
    <w:p w14:paraId="66E2C8D7">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特此公告。</w:t>
      </w:r>
    </w:p>
    <w:p w14:paraId="0799818F">
      <w:pPr>
        <w:keepNext w:val="0"/>
        <w:keepLines w:val="0"/>
        <w:pageBreakBefore w:val="0"/>
        <w:widowControl/>
        <w:kinsoku w:val="0"/>
        <w:wordWrap/>
        <w:overflowPunct/>
        <w:topLinePunct w:val="0"/>
        <w:autoSpaceDE w:val="0"/>
        <w:autoSpaceDN w:val="0"/>
        <w:bidi w:val="0"/>
        <w:adjustRightInd w:val="0"/>
        <w:snapToGrid/>
        <w:spacing w:line="360" w:lineRule="auto"/>
        <w:jc w:val="both"/>
        <w:textAlignment w:val="baseline"/>
        <w:rPr>
          <w:rFonts w:hint="eastAsia" w:ascii="Times New Roman Regular" w:hAnsi="Times New Roman Regular" w:eastAsia="仿宋" w:cs="Times New Roman Regular"/>
          <w:spacing w:val="-6"/>
          <w:sz w:val="24"/>
          <w:szCs w:val="24"/>
          <w:lang w:val="en-US" w:eastAsia="zh-CN"/>
        </w:rPr>
      </w:pPr>
      <w:r>
        <w:rPr>
          <w:rFonts w:hint="eastAsia" w:ascii="Times New Roman Regular" w:hAnsi="Times New Roman Regular" w:eastAsia="仿宋" w:cs="Times New Roman Regular"/>
          <w:spacing w:val="-6"/>
          <w:sz w:val="24"/>
          <w:szCs w:val="24"/>
          <w:lang w:val="en-US" w:eastAsia="zh-CN"/>
        </w:rPr>
        <w:t>附：千闻云计算科技（北京）有限公司破产财产分配表；</w:t>
      </w:r>
    </w:p>
    <w:p w14:paraId="04D4454B">
      <w:pPr>
        <w:keepNext w:val="0"/>
        <w:keepLines w:val="0"/>
        <w:pageBreakBefore w:val="0"/>
        <w:widowControl/>
        <w:kinsoku w:val="0"/>
        <w:wordWrap/>
        <w:overflowPunct/>
        <w:topLinePunct w:val="0"/>
        <w:autoSpaceDE w:val="0"/>
        <w:autoSpaceDN w:val="0"/>
        <w:bidi w:val="0"/>
        <w:adjustRightInd w:val="0"/>
        <w:snapToGrid/>
        <w:spacing w:line="360" w:lineRule="auto"/>
        <w:jc w:val="both"/>
        <w:textAlignment w:val="baseline"/>
        <w:rPr>
          <w:rFonts w:hint="default" w:ascii="Times New Roman Regular" w:hAnsi="Times New Roman Regular" w:eastAsia="仿宋" w:cs="Times New Roman Regular"/>
          <w:spacing w:val="-6"/>
          <w:sz w:val="24"/>
          <w:szCs w:val="24"/>
          <w:lang w:val="en-US" w:eastAsia="zh-CN"/>
        </w:rPr>
      </w:pPr>
      <w:r>
        <w:rPr>
          <w:rFonts w:hint="eastAsia" w:ascii="Times New Roman Regular" w:hAnsi="Times New Roman Regular" w:eastAsia="仿宋" w:cs="Times New Roman Regular"/>
          <w:spacing w:val="-6"/>
          <w:sz w:val="24"/>
          <w:szCs w:val="24"/>
          <w:lang w:val="en-US" w:eastAsia="zh-CN"/>
        </w:rPr>
        <w:t xml:space="preserve">    地址确认书模板。</w:t>
      </w:r>
    </w:p>
    <w:p w14:paraId="21022298">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right"/>
        <w:textAlignment w:val="baseline"/>
        <w:rPr>
          <w:rFonts w:hint="default" w:ascii="Times New Roman Regular" w:hAnsi="Times New Roman Regular" w:eastAsia="仿宋" w:cs="Times New Roman Regular"/>
          <w:b/>
          <w:sz w:val="32"/>
          <w:szCs w:val="32"/>
          <w:lang w:eastAsia="zh-CN"/>
        </w:rPr>
      </w:pPr>
    </w:p>
    <w:p w14:paraId="49D23AFA">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right"/>
        <w:textAlignment w:val="baseline"/>
        <w:rPr>
          <w:rFonts w:hint="default" w:ascii="Times New Roman Regular" w:hAnsi="Times New Roman Regular" w:eastAsia="仿宋" w:cs="Times New Roman Regular"/>
          <w:b/>
          <w:bCs/>
          <w:sz w:val="32"/>
          <w:szCs w:val="32"/>
          <w:lang w:val="en-US" w:eastAsia="zh-CN"/>
        </w:rPr>
      </w:pPr>
      <w:r>
        <w:rPr>
          <w:rFonts w:hint="default" w:ascii="Times New Roman Regular" w:hAnsi="Times New Roman Regular" w:eastAsia="仿宋" w:cs="Times New Roman Regular"/>
          <w:b/>
          <w:sz w:val="32"/>
          <w:szCs w:val="32"/>
          <w:lang w:eastAsia="zh-CN"/>
        </w:rPr>
        <w:t>千闻云计算科技（北京）有限公司</w:t>
      </w:r>
      <w:r>
        <w:rPr>
          <w:rFonts w:hint="default" w:ascii="Times New Roman Regular" w:hAnsi="Times New Roman Regular" w:eastAsia="仿宋" w:cs="Times New Roman Regular"/>
          <w:b/>
          <w:bCs/>
          <w:sz w:val="32"/>
          <w:szCs w:val="32"/>
          <w:lang w:val="en-US" w:eastAsia="zh-CN"/>
        </w:rPr>
        <w:t>管理人</w:t>
      </w:r>
    </w:p>
    <w:p w14:paraId="0C519D68">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right"/>
        <w:textAlignment w:val="baseline"/>
        <w:rPr>
          <w:rFonts w:hint="default" w:ascii="Times New Roman Regular" w:hAnsi="Times New Roman Regular" w:eastAsia="仿宋" w:cs="Times New Roman Regular"/>
          <w:b/>
          <w:bCs/>
          <w:sz w:val="32"/>
          <w:szCs w:val="32"/>
          <w:lang w:val="en-US" w:eastAsia="zh-CN"/>
        </w:rPr>
      </w:pPr>
      <w:r>
        <w:rPr>
          <w:rFonts w:hint="eastAsia" w:ascii="Times New Roman Regular" w:hAnsi="Times New Roman Regular" w:eastAsia="仿宋" w:cs="Times New Roman Regular"/>
          <w:b/>
          <w:bCs/>
          <w:sz w:val="32"/>
          <w:szCs w:val="32"/>
          <w:lang w:val="en-US" w:eastAsia="zh-CN"/>
        </w:rPr>
        <w:t>二〇二五年九月二十九日</w:t>
      </w:r>
    </w:p>
    <w:p w14:paraId="7B15A03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default" w:ascii="仿宋" w:hAnsi="仿宋" w:eastAsia="仿宋" w:cs="仿宋"/>
          <w:b w:val="0"/>
          <w:bCs w:val="0"/>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227B9"/>
    <w:rsid w:val="11647E1B"/>
    <w:rsid w:val="265227B9"/>
    <w:rsid w:val="48DB568E"/>
    <w:rsid w:val="79D52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623</Words>
  <Characters>681</Characters>
  <Lines>0</Lines>
  <Paragraphs>0</Paragraphs>
  <TotalTime>8</TotalTime>
  <ScaleCrop>false</ScaleCrop>
  <LinksUpToDate>false</LinksUpToDate>
  <CharactersWithSpaces>687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2025-09-18T07:18:00Z</dcterms:created>
  <dc:creator>乔宇轩</dc:creator>
  <cp:lastModifiedBy>乔宇轩</cp:lastModifiedBy>
  <cp:lastPrinted>2025-09-18T08:45:00Z</cp:lastPrinted>
  <dcterms:modified xsi:type="dcterms:W3CDTF">2025-09-29T09:44:03Z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B4F4D2BDF84348C3AB53FF934854326D_13</vt:lpwstr>
  </property>
  <property fmtid="{D5CDD505-2E9C-101B-9397-08002B2CF9AE}" pid="4" name="KSOTemplateDocerSaveRecord">
    <vt:lpwstr>eyJoZGlkIjoiMTQ2OTBmNDlhOWM2MTA5YzQ3YTFiM2JjODRiMTdkMmMiLCJ1c2VySWQiOiI1Mjk3OTIyNzYifQ==</vt:lpwstr>
  </property>
</Properties>
</file>