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C6886">
      <w:pPr>
        <w:spacing w:line="440" w:lineRule="exact"/>
        <w:jc w:val="center"/>
        <w:rPr>
          <w:rFonts w:ascii="仿宋" w:hAnsi="仿宋" w:eastAsia="仿宋" w:cs="Times New Roman"/>
          <w:b/>
          <w:sz w:val="36"/>
          <w:szCs w:val="36"/>
        </w:rPr>
      </w:pPr>
      <w:r>
        <w:rPr>
          <w:rFonts w:hint="eastAsia" w:ascii="仿宋" w:hAnsi="仿宋" w:eastAsia="仿宋" w:cs="Times New Roman"/>
          <w:b/>
          <w:sz w:val="36"/>
          <w:szCs w:val="36"/>
          <w:lang w:eastAsia="zh-Hans"/>
        </w:rPr>
        <w:t>贵州九州名城房地产开发有限公司预</w:t>
      </w:r>
      <w:r>
        <w:rPr>
          <w:rFonts w:hint="eastAsia" w:ascii="仿宋" w:hAnsi="仿宋" w:eastAsia="仿宋" w:cs="Times New Roman"/>
          <w:b/>
          <w:sz w:val="36"/>
          <w:szCs w:val="36"/>
        </w:rPr>
        <w:t>重整案</w:t>
      </w:r>
    </w:p>
    <w:p w14:paraId="4F52BB63">
      <w:pPr>
        <w:spacing w:line="4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送达地址及银行账户确认书</w:t>
      </w:r>
    </w:p>
    <w:tbl>
      <w:tblPr>
        <w:tblStyle w:val="2"/>
        <w:tblpPr w:leftFromText="180" w:rightFromText="180" w:vertAnchor="text" w:horzAnchor="page" w:tblpX="1396" w:tblpY="407"/>
        <w:tblOverlap w:val="never"/>
        <w:tblW w:w="98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582"/>
      </w:tblGrid>
      <w:tr w14:paraId="2DFE5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289" w:type="dxa"/>
            <w:vAlign w:val="center"/>
          </w:tcPr>
          <w:p w14:paraId="38986BD8">
            <w:pPr>
              <w:jc w:val="center"/>
              <w:rPr>
                <w:rFonts w:ascii="仿宋" w:hAnsi="仿宋" w:eastAsia="仿宋"/>
                <w:bCs/>
                <w:sz w:val="24"/>
                <w:lang w:eastAsia="zh-Hans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Cs/>
                <w:sz w:val="24"/>
                <w:lang w:eastAsia="zh-Hans"/>
              </w:rPr>
              <w:t>债权人</w:t>
            </w:r>
          </w:p>
          <w:p w14:paraId="4944D98E"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名称</w:t>
            </w:r>
          </w:p>
        </w:tc>
        <w:tc>
          <w:tcPr>
            <w:tcW w:w="8582" w:type="dxa"/>
          </w:tcPr>
          <w:p w14:paraId="61813D72"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9935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9" w:type="dxa"/>
            <w:vAlign w:val="center"/>
          </w:tcPr>
          <w:p w14:paraId="60F3B3CF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告知事项</w:t>
            </w:r>
          </w:p>
        </w:tc>
        <w:tc>
          <w:tcPr>
            <w:tcW w:w="8582" w:type="dxa"/>
            <w:vAlign w:val="center"/>
          </w:tcPr>
          <w:p w14:paraId="6E480DEC">
            <w:pPr>
              <w:widowControl/>
              <w:spacing w:line="3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1、为便于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及时收到管理人各项文书，保证破产程序顺利进行，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应当如实提供确切的送达地址；</w:t>
            </w:r>
          </w:p>
          <w:p w14:paraId="0CB367F6">
            <w:pPr>
              <w:spacing w:line="3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、为便于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受领财产分配，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应当如实向破产管理人提供真实、准确的银行账户，破产管理人支付至债权人提供的银行账户的款项，视为债权人受领；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提供的银行账户应当是以自身名义开立的账户，提供其他人名义开立的，应当向破产管理人书面说明理由；</w:t>
            </w:r>
          </w:p>
          <w:p w14:paraId="31535C9C">
            <w:pPr>
              <w:widowControl/>
              <w:spacing w:line="3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3、</w:t>
            </w:r>
            <w:r>
              <w:rPr>
                <w:rFonts w:hint="eastAsia" w:ascii="仿宋" w:hAnsi="仿宋" w:eastAsia="仿宋"/>
                <w:sz w:val="24"/>
              </w:rPr>
              <w:t>确认的送达地址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及银行账户</w:t>
            </w:r>
            <w:r>
              <w:rPr>
                <w:rFonts w:hint="eastAsia" w:ascii="仿宋" w:hAnsi="仿宋" w:eastAsia="仿宋"/>
                <w:sz w:val="24"/>
              </w:rPr>
              <w:t>适用于各个破产程序，包括：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预重整、</w:t>
            </w:r>
            <w:r>
              <w:rPr>
                <w:rFonts w:hint="eastAsia" w:ascii="仿宋" w:hAnsi="仿宋" w:eastAsia="仿宋"/>
                <w:sz w:val="24"/>
              </w:rPr>
              <w:t>破产清算、和解、重整，以及同期与破产事务相关的其他事项；破产期间如果送达地址</w:t>
            </w:r>
            <w:r>
              <w:rPr>
                <w:rFonts w:ascii="仿宋" w:hAnsi="仿宋" w:eastAsia="仿宋"/>
                <w:sz w:val="24"/>
              </w:rPr>
              <w:t>、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银行账户</w:t>
            </w:r>
            <w:r>
              <w:rPr>
                <w:rFonts w:hint="eastAsia" w:ascii="仿宋" w:hAnsi="仿宋" w:eastAsia="仿宋"/>
                <w:sz w:val="24"/>
              </w:rPr>
              <w:t>有变更，应当及时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书面</w:t>
            </w:r>
            <w:r>
              <w:rPr>
                <w:rFonts w:hint="eastAsia" w:ascii="仿宋" w:hAnsi="仿宋" w:eastAsia="仿宋"/>
                <w:sz w:val="24"/>
              </w:rPr>
              <w:t>告知管理人变更后的送达地址</w:t>
            </w:r>
            <w:r>
              <w:rPr>
                <w:rFonts w:ascii="仿宋" w:hAnsi="仿宋" w:eastAsia="仿宋"/>
                <w:sz w:val="24"/>
              </w:rPr>
              <w:t>、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银行账户</w:t>
            </w:r>
            <w:r>
              <w:rPr>
                <w:rFonts w:hint="eastAsia" w:ascii="仿宋" w:hAnsi="仿宋" w:eastAsia="仿宋"/>
                <w:sz w:val="24"/>
              </w:rPr>
              <w:t>；</w:t>
            </w:r>
          </w:p>
          <w:p w14:paraId="2C7C08EC">
            <w:pPr>
              <w:spacing w:line="3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、如果提供的地址</w:t>
            </w:r>
            <w:r>
              <w:rPr>
                <w:rFonts w:ascii="仿宋" w:hAnsi="仿宋" w:eastAsia="仿宋"/>
                <w:sz w:val="24"/>
              </w:rPr>
              <w:t>、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银行账户</w:t>
            </w:r>
            <w:r>
              <w:rPr>
                <w:rFonts w:hint="eastAsia" w:ascii="仿宋" w:hAnsi="仿宋" w:eastAsia="仿宋"/>
                <w:sz w:val="24"/>
              </w:rPr>
              <w:t>不确切，或不及时告知变更后的地址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或银行账户</w:t>
            </w:r>
            <w:r>
              <w:rPr>
                <w:rFonts w:hint="eastAsia" w:ascii="仿宋" w:hAnsi="仿宋" w:eastAsia="仿宋"/>
                <w:sz w:val="24"/>
              </w:rPr>
              <w:t>，使破产相关文书无法送达或未及时送</w:t>
            </w:r>
            <w:r>
              <w:rPr>
                <w:rFonts w:hint="eastAsia" w:ascii="仿宋" w:hAnsi="仿宋" w:eastAsia="仿宋" w:cs="Times New Roman"/>
                <w:sz w:val="24"/>
              </w:rPr>
              <w:t>达或不能受领分配的</w:t>
            </w:r>
            <w:r>
              <w:rPr>
                <w:rFonts w:hint="eastAsia" w:ascii="仿宋" w:hAnsi="仿宋" w:eastAsia="仿宋"/>
                <w:sz w:val="24"/>
              </w:rPr>
              <w:t>，文书、材料等自退回之日视为送达之日</w:t>
            </w:r>
            <w:r>
              <w:rPr>
                <w:rFonts w:ascii="仿宋" w:hAnsi="仿宋" w:eastAsia="仿宋"/>
                <w:sz w:val="24"/>
                <w:lang w:eastAsia="zh-Hans"/>
              </w:rPr>
              <w:t>，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</w:rPr>
              <w:t>应承担由此引起的一切法律后果。</w:t>
            </w:r>
          </w:p>
        </w:tc>
      </w:tr>
      <w:tr w14:paraId="4B861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289" w:type="dxa"/>
            <w:vAlign w:val="center"/>
          </w:tcPr>
          <w:p w14:paraId="38BE695E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lang w:eastAsia="zh-Hans"/>
              </w:rPr>
              <w:t>债权人</w:t>
            </w:r>
          </w:p>
          <w:p w14:paraId="2E1C738C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送达地址</w:t>
            </w:r>
          </w:p>
        </w:tc>
        <w:tc>
          <w:tcPr>
            <w:tcW w:w="8582" w:type="dxa"/>
          </w:tcPr>
          <w:p w14:paraId="26C20C23">
            <w:pPr>
              <w:numPr>
                <w:ilvl w:val="255"/>
                <w:numId w:val="0"/>
              </w:numPr>
              <w:spacing w:line="500" w:lineRule="exact"/>
              <w:jc w:val="lef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本人确认下列地址为送达地址：</w:t>
            </w:r>
          </w:p>
          <w:p w14:paraId="5D654A99">
            <w:pPr>
              <w:spacing w:line="500" w:lineRule="exact"/>
              <w:jc w:val="lef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收件人：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/>
                <w:sz w:val="24"/>
              </w:rPr>
              <w:t>地址：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电话：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  <w:lang w:eastAsia="zh"/>
              </w:rPr>
              <w:t>电子邮箱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</w:t>
            </w:r>
          </w:p>
          <w:p w14:paraId="2B0A9F29">
            <w:pPr>
              <w:spacing w:line="500" w:lineRule="exact"/>
              <w:rPr>
                <w:rFonts w:ascii="仿宋" w:hAnsi="仿宋" w:eastAsia="仿宋"/>
                <w:b/>
                <w:sz w:val="24"/>
                <w:lang w:eastAsia="zh"/>
              </w:rPr>
            </w:pPr>
          </w:p>
        </w:tc>
      </w:tr>
      <w:tr w14:paraId="1ACB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289" w:type="dxa"/>
            <w:vAlign w:val="center"/>
          </w:tcPr>
          <w:p w14:paraId="4D3EAAFB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bCs/>
                <w:sz w:val="24"/>
                <w:lang w:eastAsia="zh-Hans"/>
              </w:rPr>
              <w:t>债权人银行账户</w:t>
            </w:r>
          </w:p>
        </w:tc>
        <w:tc>
          <w:tcPr>
            <w:tcW w:w="8582" w:type="dxa"/>
          </w:tcPr>
          <w:p w14:paraId="1EED22A2">
            <w:pPr>
              <w:spacing w:line="500" w:lineRule="exac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户名：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</w:t>
            </w:r>
            <w:r>
              <w:rPr>
                <w:rFonts w:hint="eastAsia" w:ascii="仿宋" w:hAnsi="仿宋" w:eastAsia="仿宋" w:cs="Times New Roman"/>
                <w:sz w:val="24"/>
              </w:rPr>
              <w:t xml:space="preserve"> 账号：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</w:t>
            </w:r>
            <w:r>
              <w:rPr>
                <w:rFonts w:hint="eastAsia" w:ascii="仿宋" w:hAnsi="仿宋" w:eastAsia="仿宋" w:cs="Times New Roman"/>
                <w:sz w:val="24"/>
              </w:rPr>
              <w:t xml:space="preserve">                              </w:t>
            </w:r>
          </w:p>
          <w:p w14:paraId="68C8100D">
            <w:pPr>
              <w:spacing w:line="500" w:lineRule="exac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开户行</w:t>
            </w:r>
            <w:r>
              <w:rPr>
                <w:rFonts w:hint="eastAsia" w:ascii="仿宋" w:hAnsi="仿宋" w:eastAsia="仿宋" w:cs="Times New Roman"/>
                <w:sz w:val="24"/>
                <w:lang w:eastAsia="zh-Hans"/>
              </w:rPr>
              <w:t>全称</w:t>
            </w:r>
            <w:r>
              <w:rPr>
                <w:rFonts w:hint="eastAsia" w:ascii="仿宋" w:hAnsi="仿宋" w:eastAsia="仿宋" w:cs="Times New Roman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</w:t>
            </w:r>
            <w:r>
              <w:rPr>
                <w:rFonts w:hint="eastAsia" w:ascii="仿宋" w:hAnsi="仿宋" w:eastAsia="仿宋" w:cs="Times New Roman"/>
                <w:sz w:val="24"/>
              </w:rPr>
              <w:t xml:space="preserve">                              </w:t>
            </w:r>
          </w:p>
        </w:tc>
      </w:tr>
      <w:tr w14:paraId="0F9B6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1289" w:type="dxa"/>
            <w:vAlign w:val="center"/>
          </w:tcPr>
          <w:p w14:paraId="0635BC67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申报人</w:t>
            </w:r>
          </w:p>
          <w:p w14:paraId="6DD93673">
            <w:pPr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的确认</w:t>
            </w:r>
          </w:p>
        </w:tc>
        <w:tc>
          <w:tcPr>
            <w:tcW w:w="8582" w:type="dxa"/>
          </w:tcPr>
          <w:p w14:paraId="61196F8C">
            <w:pPr>
              <w:spacing w:line="300" w:lineRule="exact"/>
              <w:ind w:firstLine="437"/>
              <w:rPr>
                <w:rFonts w:ascii="仿宋" w:hAnsi="仿宋" w:eastAsia="仿宋"/>
                <w:b/>
                <w:sz w:val="24"/>
              </w:rPr>
            </w:pPr>
          </w:p>
          <w:p w14:paraId="2CF28F94">
            <w:pPr>
              <w:spacing w:line="300" w:lineRule="exact"/>
              <w:ind w:firstLine="562" w:firstLineChars="200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本人已经收到管理人送达的各项债权申报文书材料，并已经阅读且充分了解管理人对申报人填写送达地址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eastAsia="zh-Hans"/>
              </w:rPr>
              <w:t>及银行账户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确认书的告知事项，并保证上述送达地址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eastAsia="zh-Hans"/>
              </w:rPr>
              <w:t>银行账户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是准确、有效的。</w:t>
            </w:r>
          </w:p>
          <w:p w14:paraId="467068BB">
            <w:pPr>
              <w:spacing w:line="300" w:lineRule="exact"/>
              <w:rPr>
                <w:rFonts w:ascii="仿宋" w:hAnsi="仿宋" w:eastAsia="仿宋"/>
                <w:b/>
                <w:sz w:val="28"/>
                <w:szCs w:val="28"/>
              </w:rPr>
            </w:pPr>
          </w:p>
          <w:p w14:paraId="07E45D5F">
            <w:pPr>
              <w:spacing w:line="300" w:lineRule="exact"/>
              <w:ind w:firstLine="437"/>
              <w:rPr>
                <w:rFonts w:ascii="仿宋" w:hAnsi="仿宋" w:eastAsia="仿宋"/>
                <w:sz w:val="28"/>
                <w:szCs w:val="28"/>
                <w:lang w:eastAsia="zh-Hans"/>
              </w:rPr>
            </w:pPr>
          </w:p>
          <w:p w14:paraId="2AD5B62C">
            <w:pPr>
              <w:spacing w:line="300" w:lineRule="exact"/>
              <w:ind w:firstLine="437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Hans"/>
              </w:rPr>
              <w:t>债权人（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签名</w:t>
            </w:r>
            <w:r>
              <w:rPr>
                <w:rFonts w:ascii="仿宋" w:hAnsi="仿宋" w:eastAsia="仿宋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盖章）：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 w14:paraId="1A8EB4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0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2025-09-30T02:42:17Z</dcterms:created>
  <dc:creator>憧憧月光</dc:creator>
  <cp:lastModifiedBy>中联贵阳-FJL</cp:lastModifiedBy>
  <dcterms:modified xsi:type="dcterms:W3CDTF">2025-09-30T02:42:55Z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B7FA132ABCA34F49AD57C32F02B598DF_12</vt:lpwstr>
  </property>
</Properties>
</file>