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4C1BC8">
      <w:pPr>
        <w:spacing w:line="540" w:lineRule="exact"/>
        <w:jc w:val="center"/>
        <w:rPr>
          <w:rFonts w:cs="方正小标宋简体" w:asciiTheme="minorEastAsia" w:hAnsiTheme="minorEastAsia"/>
          <w:b/>
          <w:sz w:val="32"/>
          <w:szCs w:val="32"/>
        </w:rPr>
      </w:pPr>
      <w:r>
        <w:rPr>
          <w:rFonts w:hint="eastAsia" w:cs="方正小标宋简体" w:asciiTheme="minorEastAsia" w:hAnsiTheme="minorEastAsia"/>
          <w:b/>
          <w:sz w:val="32"/>
          <w:szCs w:val="32"/>
        </w:rPr>
        <w:t>上海林谷鲜生物科技有限公司管理人</w:t>
      </w:r>
    </w:p>
    <w:p w14:paraId="4AF1C473">
      <w:pPr>
        <w:spacing w:line="540" w:lineRule="exact"/>
        <w:jc w:val="center"/>
        <w:rPr>
          <w:rFonts w:cs="方正小标宋简体" w:asciiTheme="minorEastAsia" w:hAnsiTheme="minorEastAsia"/>
          <w:b/>
          <w:sz w:val="32"/>
          <w:szCs w:val="32"/>
        </w:rPr>
      </w:pPr>
      <w:r>
        <w:rPr>
          <w:rFonts w:hint="eastAsia" w:cs="方正小标宋简体" w:asciiTheme="minorEastAsia" w:hAnsiTheme="minorEastAsia"/>
          <w:b/>
          <w:sz w:val="32"/>
          <w:szCs w:val="32"/>
          <w:lang w:val="en-US" w:eastAsia="zh-CN"/>
        </w:rPr>
        <w:t>第二次</w:t>
      </w:r>
      <w:r>
        <w:rPr>
          <w:rFonts w:hint="eastAsia" w:cs="方正小标宋简体" w:asciiTheme="minorEastAsia" w:hAnsiTheme="minorEastAsia"/>
          <w:b/>
          <w:sz w:val="32"/>
          <w:szCs w:val="32"/>
        </w:rPr>
        <w:t>车辆竞买公告</w:t>
      </w:r>
      <w:bookmarkStart w:id="0" w:name="_GoBack"/>
      <w:bookmarkEnd w:id="0"/>
    </w:p>
    <w:p w14:paraId="705B017E">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2025年6月3日，上海市第三中级人民法院作出（2025）沪03破492号民事裁定书，裁定受理上海林谷鲜生物科技有限公司破产清算，并于2025年6月16日作出（2025）沪03破492号决定书，指定上海汉盛律师事务所(以下简称“管理人”)担任本案管理人。</w:t>
      </w:r>
    </w:p>
    <w:p w14:paraId="379EF07D">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根据第一次债权人会议所确认的《财产变价方案》，管理人将于2025年10月10日上午10时至2025年10月11日上午10时止(延时除外)在淘宝网阿里资产·破产拍卖平台(网址: https://susong.taobao.com/)进行公开拍卖活动，现公告如下:</w:t>
      </w:r>
    </w:p>
    <w:p w14:paraId="14C82B5D">
      <w:pPr>
        <w:spacing w:line="540" w:lineRule="exact"/>
        <w:ind w:left="562"/>
        <w:rPr>
          <w:rFonts w:ascii="仿宋" w:hAnsi="仿宋" w:eastAsia="仿宋" w:cs="仿宋"/>
          <w:b/>
          <w:sz w:val="28"/>
          <w:szCs w:val="28"/>
        </w:rPr>
      </w:pPr>
      <w:r>
        <w:rPr>
          <w:rFonts w:hint="eastAsia" w:ascii="仿宋" w:hAnsi="仿宋" w:eastAsia="仿宋" w:cs="仿宋"/>
          <w:b/>
          <w:sz w:val="28"/>
          <w:szCs w:val="28"/>
        </w:rPr>
        <w:t>一、重要提示：</w:t>
      </w:r>
    </w:p>
    <w:p w14:paraId="113CF24C">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 xml:space="preserve"> (一)郑重声明:本标的系管理人依法独立履行《关于破产程序中财产网络拍卖的实施办法(试行)》开展的财产处分工作。</w:t>
      </w:r>
    </w:p>
    <w:p w14:paraId="3CC86E5F">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二)竞拍前请务必遵照《竞买公告》《竞买须知》要求，自行进行咨询、调查标的信息(如交付、过户要求等)、了解竞买资质、委托代理及尾款支付方式等内容。如违反相关约定，您的保证金可能会被划扣并产生其他法律责任，请理性参拍。</w:t>
      </w:r>
    </w:p>
    <w:p w14:paraId="5E030B2A">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(三)本次拍卖公告所作的情况说明，仅为竞买人参与竞买提供参考，不能作为竞买人判断、权衡价值的最终依据，竞买人根据自身需求可自行调查、了解、核实。未尽事宜，管理人不承担任何责任。</w:t>
      </w:r>
    </w:p>
    <w:p w14:paraId="5E345358">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四)本次拍卖标的情况以其交付现状为准，法院与管理人不承担拍卖标的的瑕疵保证责任。除拍卖文件披露外，竞买人应对拍卖标的的实际状况以及瑕疵(含显性、隐性瑕疵)等自行调查核实、承担投资风险，参与拍卖的竞买人视为对标的及相关实物现状的确认，责任自负。</w:t>
      </w:r>
    </w:p>
    <w:p w14:paraId="3A41274D">
      <w:pPr>
        <w:spacing w:line="540" w:lineRule="exact"/>
        <w:ind w:left="562"/>
        <w:rPr>
          <w:rFonts w:ascii="仿宋" w:hAnsi="仿宋" w:eastAsia="仿宋" w:cs="仿宋"/>
          <w:b/>
          <w:sz w:val="28"/>
          <w:szCs w:val="28"/>
        </w:rPr>
      </w:pPr>
      <w:r>
        <w:rPr>
          <w:rFonts w:hint="eastAsia" w:ascii="仿宋" w:hAnsi="仿宋" w:eastAsia="仿宋" w:cs="仿宋"/>
          <w:b/>
          <w:sz w:val="28"/>
          <w:szCs w:val="28"/>
        </w:rPr>
        <w:t>二、拍卖标的：</w:t>
      </w:r>
    </w:p>
    <w:p w14:paraId="0EBCC571">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一辆福田牌（瑞沃ES5）大型汽车。车牌号：沪</w:t>
      </w:r>
      <w:r>
        <w:rPr>
          <w:rFonts w:ascii="仿宋" w:hAnsi="仿宋" w:eastAsia="仿宋" w:cs="仿宋"/>
          <w:sz w:val="28"/>
          <w:szCs w:val="28"/>
        </w:rPr>
        <w:t>FD7163</w:t>
      </w:r>
      <w:r>
        <w:rPr>
          <w:rFonts w:hint="eastAsia" w:ascii="仿宋" w:hAnsi="仿宋" w:eastAsia="仿宋" w:cs="仿宋"/>
          <w:sz w:val="28"/>
          <w:szCs w:val="28"/>
        </w:rPr>
        <w:t>，车辆识别代号：</w:t>
      </w:r>
      <w:r>
        <w:rPr>
          <w:rFonts w:ascii="仿宋" w:hAnsi="仿宋" w:eastAsia="仿宋" w:cs="仿宋"/>
          <w:sz w:val="28"/>
          <w:szCs w:val="28"/>
        </w:rPr>
        <w:t>LVBV6PDC4LW063768</w:t>
      </w:r>
      <w:r>
        <w:rPr>
          <w:rFonts w:hint="eastAsia" w:ascii="仿宋" w:hAnsi="仿宋" w:eastAsia="仿宋" w:cs="仿宋"/>
          <w:sz w:val="28"/>
          <w:szCs w:val="28"/>
        </w:rPr>
        <w:t>；发动机号：</w:t>
      </w:r>
      <w:r>
        <w:rPr>
          <w:rFonts w:ascii="仿宋" w:hAnsi="仿宋" w:eastAsia="仿宋" w:cs="仿宋"/>
          <w:sz w:val="28"/>
          <w:szCs w:val="28"/>
        </w:rPr>
        <w:t>76537869</w:t>
      </w:r>
      <w:r>
        <w:rPr>
          <w:rFonts w:hint="eastAsia" w:ascii="仿宋" w:hAnsi="仿宋" w:eastAsia="仿宋" w:cs="仿宋"/>
          <w:sz w:val="28"/>
          <w:szCs w:val="28"/>
        </w:rPr>
        <w:t xml:space="preserve">；车架号：LZWACAGA681133221；使用性质：货运；是否抵押：未抵押；车辆状态：违法未处理|查封|逾期未检验；启用日期：不详；无车辆登记证、无行驶证、无购置证、有钥匙一把；暂无停车费；车辆停放地址：上海市上海市闵行区华漕镇北青公路688号锦江都城酒店停车场。 </w:t>
      </w:r>
    </w:p>
    <w:p w14:paraId="3218F266">
      <w:pPr>
        <w:spacing w:line="540" w:lineRule="exact"/>
        <w:ind w:firstLine="562" w:firstLineChars="200"/>
        <w:rPr>
          <w:rFonts w:ascii="仿宋" w:hAnsi="仿宋" w:eastAsia="仿宋" w:cs="仿宋"/>
          <w:b/>
          <w:sz w:val="28"/>
          <w:szCs w:val="28"/>
        </w:rPr>
      </w:pPr>
      <w:r>
        <w:rPr>
          <w:rFonts w:hint="eastAsia" w:ascii="仿宋" w:hAnsi="仿宋" w:eastAsia="仿宋" w:cs="仿宋"/>
          <w:b/>
          <w:sz w:val="28"/>
          <w:szCs w:val="28"/>
        </w:rPr>
        <w:t>关于拍卖标的特别声明和风险提示如下：</w:t>
      </w:r>
    </w:p>
    <w:p w14:paraId="7C8B60B7">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(一) 该车辆为沪籍车辆，参与竞买的，由竞买人提前自行向有关部门询问后续产权过户、车牌变更等手续流程，管理人对最终的变更登记办理结果不作任何承诺与保证，成交后不能过户转籍的风险由竞买人自行承担。</w:t>
      </w:r>
    </w:p>
    <w:p w14:paraId="1F31B1B4">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二）本次竞拍所涉拍卖标的全部依其现状进行处置，现状是指看样时点拍卖标的的外观、型号、质量、数量、新旧程度、配件是否原装，配件是否有损，是否存在改装、实际规格参数等现实状况，至竟价时点竟买人参与竞拍的，则表示竟买人认可看样时点与竞价时点标的现状一致。若请欲报名参与竞拍的竞买人充分考虑标的显性和隐性的瑕疵风险以及市场价格的波动，谨慎选择，慎重决定。竟买人不得在竞拍成交后以质量、新旧程度、使用现状等存在瑕疵或缺陷为由悔拍。</w:t>
      </w:r>
    </w:p>
    <w:p w14:paraId="1BE427E3">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三)除拍卖文件披露外，竞买人在竞拍前应对拍卖标的实际状况(包括但不限于外观、型号、质量、数量、新旧程度、配件是否原装，配件是否有损，是否存在改装、实际规格参数等)以及瑕疵(含显性、隐性瑕疵)、缺陷、损坏等情况自行调査核实了解，并自行承担购买风险。</w:t>
      </w:r>
    </w:p>
    <w:p w14:paraId="5F0BEBE4">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(四)除已经公示本次网络竞拍所涉拍卖标的已知的拍卖标的属性、抵押、査封、担保、侵权等情况外，拍卖标的存在的其他瑕疵风险均由竞买人承担。</w:t>
      </w:r>
    </w:p>
    <w:p w14:paraId="3AE9438C">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五)本标的物交付方式为自提，管理人不负责联系运输车辆或快递公司，竞买人应自行联系运输车辆。拍卖标的物成交后所涉及的搬运费、拆卸费、检测费、场地清理等费用（如有），参与竞价所产生的服务费等费用，以及标的物移交时的相关安全责任，均由竞买人自行承担。</w:t>
      </w:r>
    </w:p>
    <w:p w14:paraId="4A6AEC9B">
      <w:pPr>
        <w:spacing w:line="540" w:lineRule="exact"/>
        <w:ind w:firstLine="560" w:firstLineChars="200"/>
        <w:rPr>
          <w:rFonts w:ascii="仿宋" w:hAnsi="仿宋" w:eastAsia="仿宋" w:cs="仿宋"/>
          <w:sz w:val="28"/>
          <w:szCs w:val="28"/>
        </w:rPr>
      </w:pPr>
      <w:r>
        <w:rPr>
          <w:rFonts w:ascii="仿宋" w:hAnsi="仿宋" w:eastAsia="仿宋" w:cs="仿宋"/>
          <w:sz w:val="28"/>
          <w:szCs w:val="28"/>
        </w:rPr>
        <w:t>(</w:t>
      </w:r>
      <w:r>
        <w:rPr>
          <w:rFonts w:hint="eastAsia" w:ascii="仿宋" w:hAnsi="仿宋" w:eastAsia="仿宋" w:cs="仿宋"/>
          <w:sz w:val="28"/>
          <w:szCs w:val="28"/>
        </w:rPr>
        <w:t>六</w:t>
      </w:r>
      <w:r>
        <w:rPr>
          <w:rFonts w:ascii="仿宋" w:hAnsi="仿宋" w:eastAsia="仿宋" w:cs="仿宋"/>
          <w:sz w:val="28"/>
          <w:szCs w:val="28"/>
        </w:rPr>
        <w:t>)</w:t>
      </w:r>
      <w:r>
        <w:rPr>
          <w:rFonts w:hint="eastAsia" w:ascii="仿宋" w:hAnsi="仿宋" w:eastAsia="仿宋" w:cs="仿宋"/>
          <w:sz w:val="28"/>
          <w:szCs w:val="28"/>
        </w:rPr>
        <w:t>请竞买人在拍卖前必须仔细审查拍卖标的物，认真研究査看所竞买标的物的实际情况。拍卖标的物以实物现状为准，管理人对此次拍卖标的所作的说明和提供的图片、文字资料等，仅供竞买人参考，不构成对拍卖标的的任何担保。</w:t>
      </w:r>
    </w:p>
    <w:p w14:paraId="0D0E0167">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七)竞买人参与竞拍的，视为对拍卖标的现状(包括但不限于物理现状、产权现状、法律现状)完全了解，并接受拍卖标的的一切已知和未知瑕疵，也接受本公告和《竞买须知》的全部内容和约定。管理人已就前述相关拍卖标的相关文件的所有条款向竞买人如实告知并做出详细说明，竟买人和资产处置方双方不存在任何歧异和误认，竟买人承诺不再对前述文件的条款提出任何异议。</w:t>
      </w:r>
    </w:p>
    <w:p w14:paraId="2784D45D">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八）标的内部的设备可能存在老化、腐蚀等损坏后果或尚未发现的其他缺陷，本次拍卖标的质量、性能等按现状进行拍卖，竟买人现场査看标的时应仔细确认。竟买人不得在竞拍成交后以质量、新旧程度、使用现状等存在瑕疵或缺陷为由悔拍。</w:t>
      </w:r>
    </w:p>
    <w:p w14:paraId="7D870317">
      <w:pPr>
        <w:spacing w:line="540" w:lineRule="exact"/>
        <w:ind w:firstLine="562" w:firstLineChars="200"/>
        <w:rPr>
          <w:rFonts w:ascii="仿宋" w:hAnsi="仿宋" w:eastAsia="仿宋" w:cs="仿宋"/>
          <w:b/>
          <w:sz w:val="28"/>
          <w:szCs w:val="28"/>
        </w:rPr>
      </w:pPr>
      <w:r>
        <w:rPr>
          <w:rFonts w:hint="eastAsia" w:ascii="仿宋" w:hAnsi="仿宋" w:eastAsia="仿宋" w:cs="仿宋"/>
          <w:b/>
          <w:sz w:val="28"/>
          <w:szCs w:val="28"/>
        </w:rPr>
        <w:t>三、起拍价格、保证金及涨价幅度：</w:t>
      </w:r>
    </w:p>
    <w:p w14:paraId="048B7799">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上述债权拍卖起拍价:起拍价为50,000元、保证金为5,000元、每次涨价幅度为1,000元。</w:t>
      </w:r>
    </w:p>
    <w:p w14:paraId="68DE2141">
      <w:pPr>
        <w:spacing w:line="540" w:lineRule="exact"/>
        <w:ind w:firstLine="562" w:firstLineChars="200"/>
        <w:rPr>
          <w:rFonts w:ascii="仿宋" w:hAnsi="仿宋" w:eastAsia="仿宋" w:cs="仿宋"/>
          <w:b/>
          <w:sz w:val="28"/>
          <w:szCs w:val="28"/>
        </w:rPr>
      </w:pPr>
      <w:r>
        <w:rPr>
          <w:rFonts w:hint="eastAsia" w:ascii="仿宋" w:hAnsi="仿宋" w:eastAsia="仿宋" w:cs="仿宋"/>
          <w:b/>
          <w:sz w:val="28"/>
          <w:szCs w:val="28"/>
        </w:rPr>
        <w:t>四、竞买人条件：</w:t>
      </w:r>
    </w:p>
    <w:p w14:paraId="576BBB23">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1、凡具备完全民事行为能力的公民、法人和其他组织均可参加竞买;法律、行政法规、司法解释对买受人资格或者条件有特殊规定的，竞买人应当具备规定的资格或者条件。</w:t>
      </w:r>
    </w:p>
    <w:p w14:paraId="7419B80E">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2、因不符合条件参加竞买的，由竞买人自行承担相应的法律责任。竞买人是否符合受让条件，请各竞买人自行到相关主管部门进行了解核实。因不了解或不符合规定的资格或者条件参加竞买的，由竟买人自行承担相应的不利后果。</w:t>
      </w:r>
    </w:p>
    <w:p w14:paraId="787487CD">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3、竞买人是否符合各项过户、登记条件，请各竞买人自行向相关主管部门进行了解确认，管理人不承担任何责任。标的物拍卖成交后，如因竞买人自身原因导致无法过户的，相应的责任由竞买人自行承担。</w:t>
      </w:r>
    </w:p>
    <w:p w14:paraId="10830018">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4、负责案件审理的人民法院、管理人、网络服务提供者、承担拍卖辅助工作的社会机构或者组织及其工作人员不得参与本次竞买且不得委托他人代为竞买。</w:t>
      </w:r>
    </w:p>
    <w:p w14:paraId="18EAACF6">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5、注意:根据淘宝破产处置频道最新规则，2019年4月18日零点以后发布的拍品，淘宝平台将向买受人收取系统成交总额的0.5%作为淘宝软件使用费，单个标的软件服务费金额上限为50万元。该费用是在拍卖成交金额之外另行收取，由买受人直接向淘宝支付，非管理人收取。</w:t>
      </w:r>
    </w:p>
    <w:p w14:paraId="2DB2C804">
      <w:pPr>
        <w:spacing w:line="540" w:lineRule="exact"/>
        <w:ind w:firstLine="562" w:firstLineChars="200"/>
        <w:rPr>
          <w:rFonts w:ascii="仿宋" w:hAnsi="仿宋" w:eastAsia="仿宋" w:cs="仿宋"/>
          <w:b/>
          <w:sz w:val="28"/>
          <w:szCs w:val="28"/>
        </w:rPr>
      </w:pPr>
      <w:r>
        <w:rPr>
          <w:rFonts w:hint="eastAsia" w:ascii="仿宋" w:hAnsi="仿宋" w:eastAsia="仿宋" w:cs="仿宋"/>
          <w:b/>
          <w:sz w:val="28"/>
          <w:szCs w:val="28"/>
        </w:rPr>
        <w:t>五、咨询、展示看样时间与方式:</w:t>
      </w:r>
    </w:p>
    <w:p w14:paraId="093E3F6C">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拍卖公告期内接受咨询，有意者可向管理人咨询了解相关情况，但以管理人持有的资料为限，联系电话:李律师，15605155329，统一现场看样时间为2025年9月28日。</w:t>
      </w:r>
    </w:p>
    <w:p w14:paraId="7881A835">
      <w:pPr>
        <w:spacing w:line="540" w:lineRule="exact"/>
        <w:ind w:left="560"/>
        <w:rPr>
          <w:rFonts w:ascii="仿宋" w:hAnsi="仿宋" w:eastAsia="仿宋" w:cs="仿宋"/>
          <w:b/>
          <w:sz w:val="28"/>
          <w:szCs w:val="28"/>
        </w:rPr>
      </w:pPr>
      <w:r>
        <w:rPr>
          <w:rFonts w:hint="eastAsia" w:ascii="仿宋" w:hAnsi="仿宋" w:eastAsia="仿宋" w:cs="仿宋"/>
          <w:b/>
          <w:sz w:val="28"/>
          <w:szCs w:val="28"/>
        </w:rPr>
        <w:t>六、拍卖方式：</w:t>
      </w:r>
    </w:p>
    <w:p w14:paraId="4D5EEA92">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1、本次拍卖采取有保留价的涨价拍卖方式，保留价即为起拍价。竞价从起拍价开始以递增出价方式竞价，涨价幅度由管理人确定，按本公告第二条确定的涨价幅度竞价，竞买人以低于起拍价出价的无效。</w:t>
      </w:r>
    </w:p>
    <w:p w14:paraId="09FDA805">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2、本次拍卖活动设置延时出价功能，在拍卖活动结束前，每最后5分钟如果有竞买人出价，将自动延迟5分钟。</w:t>
      </w:r>
    </w:p>
    <w:p w14:paraId="149A7ABC">
      <w:pPr>
        <w:spacing w:line="540" w:lineRule="exact"/>
        <w:ind w:firstLine="562" w:firstLineChars="200"/>
        <w:rPr>
          <w:rFonts w:ascii="仿宋" w:hAnsi="仿宋" w:eastAsia="仿宋" w:cs="仿宋"/>
          <w:b/>
          <w:sz w:val="28"/>
          <w:szCs w:val="28"/>
        </w:rPr>
      </w:pPr>
      <w:r>
        <w:rPr>
          <w:rFonts w:hint="eastAsia" w:ascii="仿宋" w:hAnsi="仿宋" w:eastAsia="仿宋" w:cs="仿宋"/>
          <w:b/>
          <w:sz w:val="28"/>
          <w:szCs w:val="28"/>
        </w:rPr>
        <w:t>七、拍卖保证金及拍卖余款：</w:t>
      </w:r>
    </w:p>
    <w:p w14:paraId="153D85B9">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1、拍卖竞价前将通过阿里拍卖系统在竞买人支付宝账户内锁定相应资金作为应缴的保证金，拍卖结束后未能竞得者锁定的保证金自动解锁，锁定期间不计利息。</w:t>
      </w:r>
    </w:p>
    <w:p w14:paraId="0269FC55">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2、拍卖成交后，买受人缴纳的保证金抵充价款，本标的买受人原锁定的保证金将在买受人支付拍卖平台服务费以后的24小时以内自动转入本管理人指定账户。</w:t>
      </w:r>
    </w:p>
    <w:p w14:paraId="3B90328A">
      <w:pPr>
        <w:spacing w:line="540" w:lineRule="exact"/>
        <w:ind w:firstLine="562" w:firstLineChars="200"/>
        <w:rPr>
          <w:rFonts w:ascii="仿宋" w:hAnsi="仿宋" w:eastAsia="仿宋" w:cs="仿宋"/>
          <w:b/>
          <w:sz w:val="28"/>
          <w:szCs w:val="28"/>
        </w:rPr>
      </w:pPr>
      <w:r>
        <w:rPr>
          <w:rFonts w:hint="eastAsia" w:ascii="仿宋" w:hAnsi="仿宋" w:eastAsia="仿宋" w:cs="仿宋"/>
          <w:b/>
          <w:sz w:val="28"/>
          <w:szCs w:val="28"/>
        </w:rPr>
        <w:t>买受人应于成交之日起7日内将成交余款缴入管理人指定账户:</w:t>
      </w:r>
    </w:p>
    <w:p w14:paraId="5D5E1B46">
      <w:pPr>
        <w:spacing w:line="540" w:lineRule="exact"/>
        <w:ind w:firstLine="562" w:firstLineChars="200"/>
        <w:rPr>
          <w:rFonts w:ascii="仿宋" w:hAnsi="仿宋" w:eastAsia="仿宋" w:cs="仿宋"/>
          <w:b/>
          <w:sz w:val="28"/>
          <w:szCs w:val="28"/>
        </w:rPr>
      </w:pPr>
      <w:r>
        <w:rPr>
          <w:rFonts w:hint="eastAsia" w:ascii="仿宋" w:hAnsi="仿宋" w:eastAsia="仿宋" w:cs="仿宋"/>
          <w:b/>
          <w:sz w:val="28"/>
          <w:szCs w:val="28"/>
        </w:rPr>
        <w:t>户名:</w:t>
      </w:r>
      <w:r>
        <w:rPr>
          <w:rFonts w:hint="eastAsia"/>
          <w:b/>
        </w:rPr>
        <w:t xml:space="preserve"> </w:t>
      </w:r>
      <w:r>
        <w:rPr>
          <w:rFonts w:hint="eastAsia" w:ascii="仿宋" w:hAnsi="仿宋" w:eastAsia="仿宋" w:cs="仿宋"/>
          <w:b/>
          <w:sz w:val="28"/>
          <w:szCs w:val="28"/>
        </w:rPr>
        <w:t>上海林谷鲜生物科技有限公司管理人</w:t>
      </w:r>
    </w:p>
    <w:p w14:paraId="6FC1CE5D">
      <w:pPr>
        <w:spacing w:line="540" w:lineRule="exact"/>
        <w:ind w:firstLine="562" w:firstLineChars="200"/>
        <w:rPr>
          <w:rFonts w:ascii="仿宋" w:hAnsi="仿宋" w:eastAsia="仿宋" w:cs="仿宋"/>
          <w:b/>
          <w:sz w:val="28"/>
          <w:szCs w:val="28"/>
        </w:rPr>
      </w:pPr>
      <w:r>
        <w:rPr>
          <w:rFonts w:hint="eastAsia" w:ascii="仿宋" w:hAnsi="仿宋" w:eastAsia="仿宋" w:cs="仿宋"/>
          <w:b/>
          <w:sz w:val="28"/>
          <w:szCs w:val="28"/>
        </w:rPr>
        <w:t>账号:</w:t>
      </w:r>
      <w:r>
        <w:rPr>
          <w:b/>
        </w:rPr>
        <w:t xml:space="preserve"> </w:t>
      </w:r>
      <w:r>
        <w:rPr>
          <w:rFonts w:ascii="仿宋" w:hAnsi="仿宋" w:eastAsia="仿宋" w:cs="仿宋"/>
          <w:b/>
          <w:sz w:val="28"/>
          <w:szCs w:val="28"/>
        </w:rPr>
        <w:t>1</w:t>
      </w:r>
      <w:r>
        <w:rPr>
          <w:rFonts w:hint="eastAsia" w:ascii="仿宋" w:hAnsi="仿宋" w:eastAsia="仿宋" w:cs="仿宋"/>
          <w:b/>
          <w:sz w:val="28"/>
          <w:szCs w:val="28"/>
        </w:rPr>
        <w:t>2</w:t>
      </w:r>
      <w:r>
        <w:rPr>
          <w:rFonts w:ascii="仿宋" w:hAnsi="仿宋" w:eastAsia="仿宋" w:cs="仿宋"/>
          <w:b/>
          <w:sz w:val="28"/>
          <w:szCs w:val="28"/>
        </w:rPr>
        <w:t>1984547810001</w:t>
      </w:r>
    </w:p>
    <w:p w14:paraId="0421DB0F">
      <w:pPr>
        <w:spacing w:line="540" w:lineRule="exact"/>
        <w:ind w:firstLine="562" w:firstLineChars="200"/>
        <w:rPr>
          <w:rFonts w:ascii="仿宋" w:hAnsi="仿宋" w:eastAsia="仿宋" w:cs="仿宋"/>
          <w:b/>
          <w:sz w:val="28"/>
          <w:szCs w:val="28"/>
        </w:rPr>
      </w:pPr>
      <w:r>
        <w:rPr>
          <w:rFonts w:hint="eastAsia" w:ascii="仿宋" w:hAnsi="仿宋" w:eastAsia="仿宋" w:cs="仿宋"/>
          <w:b/>
          <w:sz w:val="28"/>
          <w:szCs w:val="28"/>
        </w:rPr>
        <w:t>开户行: 招商银行股份有限公司上海齐河路支行</w:t>
      </w:r>
    </w:p>
    <w:p w14:paraId="20ED6FF9">
      <w:pPr>
        <w:spacing w:line="540" w:lineRule="exact"/>
        <w:ind w:firstLine="562" w:firstLineChars="200"/>
        <w:rPr>
          <w:rFonts w:ascii="仿宋" w:hAnsi="仿宋" w:eastAsia="仿宋" w:cs="仿宋"/>
          <w:b/>
          <w:sz w:val="28"/>
          <w:szCs w:val="28"/>
        </w:rPr>
      </w:pPr>
      <w:r>
        <w:rPr>
          <w:rFonts w:hint="eastAsia" w:ascii="仿宋" w:hAnsi="仿宋" w:eastAsia="仿宋" w:cs="仿宋"/>
          <w:b/>
          <w:sz w:val="28"/>
          <w:szCs w:val="28"/>
        </w:rPr>
        <w:t>注明“上海林谷鲜生物科技有限公司车辆拍卖余款”</w:t>
      </w:r>
    </w:p>
    <w:p w14:paraId="3266BD43">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3、竞买人未按时支付拍卖款，或未支付拍卖服务费等原因导致管理人未能按期收到竞买人交付的保证金及拍卖款的，均视为悔拍。拍卖成交后买受人悔拍的，交纳的保证金不予退还，拍卖人就本标的重新拍卖，悔拍后原竞买人不得再参加竞买。再次拍卖成交价低于原成交价的差额部分由悔拍人补足差价，管理人可向悔拍人追索差价及损失。</w:t>
      </w:r>
    </w:p>
    <w:p w14:paraId="205A5F66">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4、拍卖因标的本身价值，其起拍价、保证金、竞拍成交价格相对较高的，竞买人参与竞拍，支付保证金及余款可能会遇到当天限额无法支付的情况，请竞买人根据自身情况选择网上充值银行。各大银行充值和支付的限额情况可上网查询，网址:https://www. taobao.com/market/paimai/sf-helpcenter.php?path=sf-hcright-content5#q1</w:t>
      </w:r>
    </w:p>
    <w:p w14:paraId="65F29859">
      <w:pPr>
        <w:spacing w:line="540" w:lineRule="exact"/>
        <w:ind w:firstLine="562" w:firstLineChars="200"/>
        <w:rPr>
          <w:rFonts w:ascii="仿宋" w:hAnsi="仿宋" w:eastAsia="仿宋" w:cs="仿宋"/>
          <w:b/>
          <w:sz w:val="28"/>
          <w:szCs w:val="28"/>
        </w:rPr>
      </w:pPr>
      <w:r>
        <w:rPr>
          <w:rFonts w:hint="eastAsia" w:ascii="仿宋" w:hAnsi="仿宋" w:eastAsia="仿宋" w:cs="仿宋"/>
          <w:b/>
          <w:sz w:val="28"/>
          <w:szCs w:val="28"/>
        </w:rPr>
        <w:t>八、标的物交付、权属及手续的办理</w:t>
      </w:r>
    </w:p>
    <w:p w14:paraId="34E7AF8F">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1、买受人在交齐全部拍卖成交款后5日内(凭付款凭证及相关身份材料、委托手续等原件)到管理人处(地址:上海市浦东新区世纪大道1768号)签署拍卖成交确认文件，并办理交接手续（以管理人掌握的材料为限，详见“拍卖标的”）。办理完毕交接手续后，标的物的一切风险转移至买受人。</w:t>
      </w:r>
    </w:p>
    <w:p w14:paraId="33120547">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买受人不配合签署的，不影响拍卖权利的转移，买受人不得据此悔拍。</w:t>
      </w:r>
    </w:p>
    <w:p w14:paraId="1591A90E">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2、买受人逾期未接收标的，买受人每天按成交额的1%支付保管费用，且买受人自逾期之日起承担拍卖标的可能发生的毁损、灭失等风险。</w:t>
      </w:r>
    </w:p>
    <w:p w14:paraId="2965C67F">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3、本次竞价活动计价货币为人民币，竞价时的起拍价、成交价均不含竞买人在竞价标的物交割、转让时所发生的全部费用、税费、淘宝网平台技术服务费等可能存在的全部费用。</w:t>
      </w:r>
    </w:p>
    <w:p w14:paraId="6AA6164C">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4、标的物转让所涉及的一切税费及明确的或潜在的一切关联费用根据法律规定由各自承担，竞买人在竞买前应向所涉税务部门确认成交后应缴纳的税费标准。法律、行政法规没有规定或规定不明确的税费，由竞买人承担。本次拍卖，委托拍卖的法院、管理人不承担无法开具发票的风险。</w:t>
      </w:r>
    </w:p>
    <w:p w14:paraId="3AA7BB09">
      <w:pPr>
        <w:spacing w:line="540" w:lineRule="exact"/>
        <w:ind w:firstLine="560" w:firstLineChars="200"/>
        <w:rPr>
          <w:rFonts w:ascii="仿宋" w:hAnsi="仿宋" w:eastAsia="仿宋" w:cs="仿宋"/>
          <w:sz w:val="28"/>
          <w:szCs w:val="28"/>
        </w:rPr>
      </w:pPr>
      <w:r>
        <w:rPr>
          <w:rFonts w:hint="eastAsia" w:ascii="仿宋" w:hAnsi="仿宋" w:eastAsia="仿宋" w:cs="仿宋"/>
          <w:sz w:val="28"/>
          <w:szCs w:val="28"/>
        </w:rPr>
        <w:t>特此公告。</w:t>
      </w:r>
    </w:p>
    <w:p w14:paraId="1079D923">
      <w:pPr>
        <w:spacing w:line="540" w:lineRule="exact"/>
        <w:rPr>
          <w:rFonts w:ascii="仿宋" w:hAnsi="仿宋" w:eastAsia="仿宋" w:cs="仿宋"/>
          <w:sz w:val="28"/>
          <w:szCs w:val="28"/>
        </w:rPr>
      </w:pPr>
    </w:p>
    <w:p w14:paraId="23F1D24F">
      <w:pPr>
        <w:spacing w:line="540" w:lineRule="exact"/>
        <w:ind w:firstLine="2800" w:firstLineChars="1000"/>
        <w:rPr>
          <w:rFonts w:ascii="仿宋" w:hAnsi="仿宋" w:eastAsia="仿宋" w:cs="仿宋"/>
          <w:sz w:val="28"/>
          <w:szCs w:val="28"/>
        </w:rPr>
      </w:pPr>
    </w:p>
    <w:p w14:paraId="688B2239">
      <w:pPr>
        <w:spacing w:line="540" w:lineRule="exact"/>
        <w:ind w:firstLine="3360" w:firstLineChars="1200"/>
        <w:rPr>
          <w:rFonts w:ascii="仿宋" w:hAnsi="仿宋" w:eastAsia="仿宋" w:cs="仿宋"/>
          <w:sz w:val="28"/>
          <w:szCs w:val="28"/>
        </w:rPr>
      </w:pPr>
      <w:r>
        <w:rPr>
          <w:rFonts w:hint="eastAsia" w:ascii="仿宋" w:hAnsi="仿宋" w:eastAsia="仿宋" w:cs="仿宋"/>
          <w:sz w:val="28"/>
          <w:szCs w:val="28"/>
        </w:rPr>
        <w:t>上海林谷鲜生物科技有限公司管理人</w:t>
      </w:r>
    </w:p>
    <w:p w14:paraId="37DD5E49">
      <w:pPr>
        <w:spacing w:line="540" w:lineRule="exact"/>
        <w:ind w:firstLine="4480" w:firstLineChars="1600"/>
      </w:pPr>
      <w:r>
        <w:rPr>
          <w:rFonts w:hint="eastAsia" w:ascii="仿宋" w:hAnsi="仿宋" w:eastAsia="仿宋" w:cs="仿宋"/>
          <w:sz w:val="28"/>
          <w:szCs w:val="28"/>
        </w:rPr>
        <w:t>2025年9月26日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86A3F891-20BB-4068-8B33-C4FFF8F9475C}"/>
  </w:font>
  <w:font w:name="方正小标宋简体">
    <w:altName w:val="方正舒体"/>
    <w:panose1 w:val="00000000000000000000"/>
    <w:charset w:val="86"/>
    <w:family w:val="script"/>
    <w:pitch w:val="default"/>
    <w:sig w:usb0="00000000" w:usb1="00000000" w:usb2="00000000" w:usb3="00000000" w:csb0="00040000" w:csb1="00000000"/>
    <w:embedRegular r:id="rId2" w:fontKey="{E0B30BCD-6BB3-4259-9015-F911BE0FA05A}"/>
  </w:font>
  <w:font w:name="Arial Unicode MS">
    <w:altName w:val="Arial"/>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embedRegular r:id="rId3" w:fontKey="{31EC413A-15F5-413D-A7C4-7E7CB412F6DD}"/>
  </w:font>
  <w:font w:name="方正舒体">
    <w:panose1 w:val="02010601030101010101"/>
    <w:charset w:val="86"/>
    <w:family w:val="auto"/>
    <w:pitch w:val="default"/>
    <w:sig w:usb0="00000003" w:usb1="080E0000" w:usb2="00000000" w:usb3="00000000" w:csb0="0004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22808654"/>
      <w:docPartObj>
        <w:docPartGallery w:val="AutoText"/>
      </w:docPartObj>
    </w:sdtPr>
    <w:sdtContent>
      <w:p w14:paraId="13C0A188">
        <w:pPr>
          <w:pStyle w:val="2"/>
          <w:jc w:val="center"/>
        </w:pPr>
        <w:r>
          <w:fldChar w:fldCharType="begin"/>
        </w:r>
        <w:r>
          <w:instrText xml:space="preserve">PAGE   \* MERGEFORMAT</w:instrText>
        </w:r>
        <w:r>
          <w:fldChar w:fldCharType="separate"/>
        </w:r>
        <w:r>
          <w:rPr>
            <w:lang w:val="zh-CN"/>
          </w:rPr>
          <w:t>5</w:t>
        </w:r>
        <w:r>
          <w:fldChar w:fldCharType="end"/>
        </w:r>
      </w:p>
    </w:sdtContent>
  </w:sdt>
  <w:p w14:paraId="61B2FB5D">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xYjE5ODVmOTFjZWRlZjk0ZmE4ZGQ4NTMyODI2YTMifQ=="/>
  </w:docVars>
  <w:rsids>
    <w:rsidRoot w:val="47DD6FED"/>
    <w:rsid w:val="0002702C"/>
    <w:rsid w:val="00067B02"/>
    <w:rsid w:val="00073FF7"/>
    <w:rsid w:val="000741B6"/>
    <w:rsid w:val="000D28A5"/>
    <w:rsid w:val="000D3F5F"/>
    <w:rsid w:val="00110EFB"/>
    <w:rsid w:val="00112F0D"/>
    <w:rsid w:val="001273C4"/>
    <w:rsid w:val="001A6E5C"/>
    <w:rsid w:val="002207CC"/>
    <w:rsid w:val="002C135C"/>
    <w:rsid w:val="002C45D6"/>
    <w:rsid w:val="002E6906"/>
    <w:rsid w:val="003A610E"/>
    <w:rsid w:val="003F2982"/>
    <w:rsid w:val="00425A6B"/>
    <w:rsid w:val="0045344D"/>
    <w:rsid w:val="004958F7"/>
    <w:rsid w:val="004A7F1F"/>
    <w:rsid w:val="00537FF0"/>
    <w:rsid w:val="00612D48"/>
    <w:rsid w:val="006E0996"/>
    <w:rsid w:val="00732F57"/>
    <w:rsid w:val="00741C14"/>
    <w:rsid w:val="00783D38"/>
    <w:rsid w:val="00830DA7"/>
    <w:rsid w:val="00854EF1"/>
    <w:rsid w:val="009532C3"/>
    <w:rsid w:val="00984E8D"/>
    <w:rsid w:val="00A176D1"/>
    <w:rsid w:val="00A505E2"/>
    <w:rsid w:val="00AA0749"/>
    <w:rsid w:val="00AB3A87"/>
    <w:rsid w:val="00AC20FF"/>
    <w:rsid w:val="00B11CAB"/>
    <w:rsid w:val="00B45E99"/>
    <w:rsid w:val="00BB58A9"/>
    <w:rsid w:val="00BC7A7C"/>
    <w:rsid w:val="00BD3356"/>
    <w:rsid w:val="00BE28DE"/>
    <w:rsid w:val="00C057E7"/>
    <w:rsid w:val="00C16434"/>
    <w:rsid w:val="00C45B4B"/>
    <w:rsid w:val="00C70E42"/>
    <w:rsid w:val="00CB13F0"/>
    <w:rsid w:val="00CC0C60"/>
    <w:rsid w:val="00CF6E78"/>
    <w:rsid w:val="00CF7285"/>
    <w:rsid w:val="00D211A6"/>
    <w:rsid w:val="00D66A80"/>
    <w:rsid w:val="00D734A3"/>
    <w:rsid w:val="00D850C8"/>
    <w:rsid w:val="00D91C8E"/>
    <w:rsid w:val="00DA0D7E"/>
    <w:rsid w:val="00DC0C88"/>
    <w:rsid w:val="00E57031"/>
    <w:rsid w:val="00E77D4A"/>
    <w:rsid w:val="00E952B1"/>
    <w:rsid w:val="00F32AAF"/>
    <w:rsid w:val="00F56BF8"/>
    <w:rsid w:val="00F735BA"/>
    <w:rsid w:val="204D7D98"/>
    <w:rsid w:val="22A15B5C"/>
    <w:rsid w:val="28E64C29"/>
    <w:rsid w:val="2CDA51E9"/>
    <w:rsid w:val="2D0E3DB9"/>
    <w:rsid w:val="36B37F10"/>
    <w:rsid w:val="42691183"/>
    <w:rsid w:val="47DD6FED"/>
    <w:rsid w:val="4A057900"/>
    <w:rsid w:val="5E146C58"/>
    <w:rsid w:val="61BA74F2"/>
    <w:rsid w:val="6761752B"/>
    <w:rsid w:val="682D5C98"/>
    <w:rsid w:val="69A037AE"/>
    <w:rsid w:val="6E956CEA"/>
    <w:rsid w:val="7C652B2F"/>
    <w:rsid w:val="7F2562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2730</Words>
  <Characters>2871</Characters>
  <Lines>27</Lines>
  <Paragraphs>7</Paragraphs>
  <TotalTime>107</TotalTime>
  <ScaleCrop>false</ScaleCrop>
  <LinksUpToDate>false</LinksUpToDate>
  <CharactersWithSpaces>2876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2024-04-20T09:29:00Z</dcterms:created>
  <dc:creator>吴云峰</dc:creator>
  <cp:lastModifiedBy>许建斌律师~汉盛</cp:lastModifiedBy>
  <cp:lastPrinted>2025-06-03T05:38:00Z</cp:lastPrinted>
  <dcterms:modified xsi:type="dcterms:W3CDTF">2025-09-28T12:17:30Z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2A93A529DDC44E2CB56A0BB53B24B30B_13</vt:lpwstr>
  </property>
  <property fmtid="{D5CDD505-2E9C-101B-9397-08002B2CF9AE}" pid="4" name="KSOTemplateDocerSaveRecord">
    <vt:lpwstr>eyJoZGlkIjoiNjMzNGVjN2UxNmNjYTM4Y2ZkMTYwNjg3YzE5YjA4Y2EiLCJ1c2VySWQiOiIxMTIwMjIxMDU4In0=</vt:lpwstr>
  </property>
</Properties>
</file>