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156" w:afterLines="50" w:line="520" w:lineRule="exact"/>
        <w:ind w:firstLine="720"/>
        <w:jc w:val="center"/>
        <w:rPr>
          <w:rFonts w:hint="eastAsia" w:ascii="仿宋_GB2312" w:eastAsia="仿宋_GB2312"/>
          <w:sz w:val="44"/>
        </w:rPr>
      </w:pPr>
      <w:r>
        <w:rPr>
          <w:rFonts w:hint="eastAsia" w:ascii="楷体_GB2312" w:eastAsia="楷体_GB2312"/>
          <w:kern w:val="0"/>
          <w:sz w:val="44"/>
          <w:lang w:val="zh-CN"/>
        </w:rPr>
        <w:t>河北省秦皇岛市</w:t>
      </w:r>
      <w:r>
        <w:rPr>
          <w:rFonts w:hint="eastAsia" w:ascii="楷体_GB2312" w:eastAsia="楷体_GB2312"/>
          <w:sz w:val="44"/>
        </w:rPr>
        <w:t>海港区人民法院</w:t>
      </w:r>
    </w:p>
    <w:p>
      <w:pPr>
        <w:spacing w:line="520" w:lineRule="exac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公        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righ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（2019）冀0302破1号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4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4月25日，兴奥公司管理人向本院申请宣告兴奥公司破产。本院查明：兴奥公司名下资产已于2018年1月被大连市中级人民法院执行拍卖，余款11162388.5元；管理人追回资产103845.96元，兴奥公司资产总计11266234.46元。2023年4月23日，本院确认中国石油天然气第一建设有限公司等32家债权人普通债权41011031.03元、劣后债权3007553元。兴奥公司另有职工债权4133032.41元（已清偿）及各项社保费未缴纳。兴奥公司资产负债额为-36885381.98元。本院认为，兴奥公司资不抵债，不能清偿到期债务，并且不具备重整、和解条件。依照《中华人民共和国破产企业法》第一百零七条之规定，裁定如下：宣告秦皇岛兴奥秦港能源储运有限公司破产。</w:t>
      </w:r>
      <w:bookmarkStart w:id="0" w:name="_GoBack"/>
      <w:bookmarkEnd w:id="0"/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jc w:val="left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jc w:val="right"/>
        <w:textAlignment w:val="auto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jc w:val="right"/>
        <w:textAlignment w:val="auto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jc w:val="right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二〇二三年六月一日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83091"/>
    <w:rsid w:val="025F52EB"/>
    <w:rsid w:val="09A864E6"/>
    <w:rsid w:val="1E5D4C05"/>
    <w:rsid w:val="20F83091"/>
    <w:rsid w:val="26B5008A"/>
    <w:rsid w:val="28FC3EE5"/>
    <w:rsid w:val="2D3610C2"/>
    <w:rsid w:val="2ECD37C4"/>
    <w:rsid w:val="4A210D7F"/>
    <w:rsid w:val="5848132D"/>
    <w:rsid w:val="60A5332F"/>
    <w:rsid w:val="74D97318"/>
    <w:rsid w:val="76A2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qFormat/>
    <w:uiPriority w:val="99"/>
    <w:pPr>
      <w:ind w:firstLine="420"/>
    </w:pPr>
  </w:style>
  <w:style w:type="paragraph" w:styleId="3">
    <w:name w:val="Plain Text"/>
    <w:basedOn w:val="1"/>
    <w:qFormat/>
    <w:uiPriority w:val="0"/>
    <w:pPr>
      <w:widowControl w:val="0"/>
      <w:jc w:val="both"/>
    </w:pPr>
    <w:rPr>
      <w:rFonts w:hAnsi="Courier New" w:cs="Times New Roman"/>
      <w:kern w:val="2"/>
      <w:sz w:val="21"/>
      <w:szCs w:val="20"/>
    </w:rPr>
  </w:style>
  <w:style w:type="character" w:customStyle="1" w:styleId="6">
    <w:name w:val="NormalCharacter"/>
    <w:link w:val="1"/>
    <w:semiHidden/>
    <w:qFormat/>
    <w:uiPriority w:val="0"/>
    <w:rPr>
      <w:rFonts w:ascii="Tahoma" w:hAnsi="Tahoma" w:eastAsia="微软雅黑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2024-05-21T06:28:00Z</dcterms:created>
  <dc:creator>李凤蕊</dc:creator>
  <cp:lastModifiedBy>李凤蕊</cp:lastModifiedBy>
  <cp:lastPrinted>2024-06-25T09:38:00Z</cp:lastPrinted>
  <dcterms:modified xsi:type="dcterms:W3CDTF">2025-09-11T08:10:35Z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