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A67E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sz w:val="44"/>
          <w:szCs w:val="44"/>
        </w:rPr>
      </w:pPr>
      <w:r>
        <w:rPr>
          <w:rFonts w:hint="eastAsia" w:ascii="宋体" w:hAnsi="宋体" w:eastAsia="宋体" w:cs="宋体"/>
          <w:b/>
          <w:bCs/>
          <w:sz w:val="44"/>
          <w:szCs w:val="44"/>
          <w:lang w:val="en-US" w:eastAsia="zh-CN"/>
        </w:rPr>
        <w:t>竞买公告</w:t>
      </w:r>
    </w:p>
    <w:p w14:paraId="0DAA5F7C">
      <w:pPr>
        <w:keepNext w:val="0"/>
        <w:keepLines w:val="0"/>
        <w:pageBreakBefore w:val="0"/>
        <w:widowControl w:val="0"/>
        <w:kinsoku/>
        <w:wordWrap/>
        <w:overflowPunct/>
        <w:topLinePunct w:val="0"/>
        <w:autoSpaceDE/>
        <w:autoSpaceDN/>
        <w:bidi w:val="0"/>
        <w:adjustRightInd/>
        <w:snapToGrid/>
        <w:spacing w:line="360" w:lineRule="auto"/>
        <w:ind w:firstLine="883" w:firstLineChars="200"/>
        <w:jc w:val="center"/>
        <w:textAlignment w:val="auto"/>
        <w:rPr>
          <w:rFonts w:ascii="宋体" w:hAnsi="宋体" w:eastAsia="宋体" w:cs="宋体"/>
          <w:b/>
          <w:bCs/>
          <w:sz w:val="44"/>
          <w:szCs w:val="44"/>
        </w:rPr>
      </w:pPr>
    </w:p>
    <w:p w14:paraId="394ED9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sz w:val="44"/>
          <w:szCs w:val="44"/>
        </w:rPr>
      </w:pPr>
      <w:r>
        <w:rPr>
          <w:rFonts w:hint="eastAsia" w:ascii="宋体" w:hAnsi="宋体" w:eastAsia="宋体" w:cs="宋体"/>
          <w:b/>
          <w:bCs/>
          <w:sz w:val="44"/>
          <w:szCs w:val="44"/>
        </w:rPr>
        <w:t>关于</w:t>
      </w:r>
      <w:r>
        <w:rPr>
          <w:rFonts w:hint="eastAsia" w:ascii="宋体" w:hAnsi="宋体" w:eastAsia="宋体" w:cs="宋体"/>
          <w:b/>
          <w:bCs/>
          <w:sz w:val="44"/>
          <w:szCs w:val="44"/>
          <w:lang w:eastAsia="zh-CN"/>
        </w:rPr>
        <w:t>河南新兴木塑科技有限公司</w:t>
      </w:r>
      <w:r>
        <w:rPr>
          <w:rFonts w:hint="eastAsia" w:ascii="宋体" w:hAnsi="宋体" w:eastAsia="宋体" w:cs="宋体"/>
          <w:b/>
          <w:bCs/>
          <w:sz w:val="44"/>
          <w:szCs w:val="44"/>
        </w:rPr>
        <w:t>名下</w:t>
      </w:r>
      <w:r>
        <w:rPr>
          <w:rFonts w:hint="eastAsia" w:ascii="宋体" w:hAnsi="宋体" w:eastAsia="宋体" w:cs="宋体"/>
          <w:b/>
          <w:bCs/>
          <w:sz w:val="44"/>
          <w:szCs w:val="44"/>
          <w:lang w:eastAsia="zh-CN"/>
        </w:rPr>
        <w:t>车辆</w:t>
      </w:r>
      <w:r>
        <w:rPr>
          <w:rFonts w:hint="eastAsia" w:ascii="宋体" w:hAnsi="宋体" w:eastAsia="宋体" w:cs="宋体"/>
          <w:b/>
          <w:bCs/>
          <w:sz w:val="44"/>
          <w:szCs w:val="44"/>
        </w:rPr>
        <w:t>的拍卖公告</w:t>
      </w:r>
    </w:p>
    <w:p w14:paraId="573EDED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rPr>
        <w:t> </w:t>
      </w:r>
    </w:p>
    <w:p w14:paraId="5868EDB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管理人将于</w:t>
      </w:r>
      <w:r>
        <w:rPr>
          <w:rFonts w:hint="eastAsia" w:ascii="宋体" w:hAnsi="宋体" w:eastAsia="宋体" w:cs="宋体"/>
          <w:color w:val="FF0000"/>
          <w:sz w:val="28"/>
          <w:szCs w:val="28"/>
        </w:rPr>
        <w:t>2025年</w:t>
      </w:r>
      <w:r>
        <w:rPr>
          <w:rFonts w:hint="eastAsia" w:ascii="宋体" w:hAnsi="宋体" w:eastAsia="宋体" w:cs="宋体"/>
          <w:color w:val="FF0000"/>
          <w:sz w:val="28"/>
          <w:szCs w:val="28"/>
          <w:lang w:val="en-US" w:eastAsia="zh-CN"/>
        </w:rPr>
        <w:t>9</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30</w:t>
      </w:r>
      <w:r>
        <w:rPr>
          <w:rFonts w:hint="eastAsia" w:ascii="宋体" w:hAnsi="宋体" w:eastAsia="宋体" w:cs="宋体"/>
          <w:color w:val="FF0000"/>
          <w:sz w:val="28"/>
          <w:szCs w:val="28"/>
        </w:rPr>
        <w:t>日10时至2025年</w:t>
      </w:r>
      <w:r>
        <w:rPr>
          <w:rFonts w:hint="eastAsia" w:ascii="宋体" w:hAnsi="宋体" w:eastAsia="宋体" w:cs="宋体"/>
          <w:color w:val="FF0000"/>
          <w:sz w:val="28"/>
          <w:szCs w:val="28"/>
          <w:lang w:val="en-US" w:eastAsia="zh-CN"/>
        </w:rPr>
        <w:t>10</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1</w:t>
      </w:r>
      <w:r>
        <w:rPr>
          <w:rFonts w:hint="eastAsia" w:ascii="宋体" w:hAnsi="宋体" w:eastAsia="宋体" w:cs="宋体"/>
          <w:color w:val="FF0000"/>
          <w:sz w:val="28"/>
          <w:szCs w:val="28"/>
        </w:rPr>
        <w:t>日10时止（延时除外）</w:t>
      </w:r>
      <w:r>
        <w:rPr>
          <w:rFonts w:hint="eastAsia" w:ascii="宋体" w:hAnsi="宋体" w:eastAsia="宋体" w:cs="宋体"/>
          <w:sz w:val="28"/>
          <w:szCs w:val="28"/>
        </w:rPr>
        <w:t>在</w:t>
      </w:r>
      <w:r>
        <w:rPr>
          <w:rFonts w:hint="eastAsia" w:ascii="宋体" w:hAnsi="宋体" w:eastAsia="宋体" w:cs="宋体"/>
          <w:sz w:val="28"/>
          <w:szCs w:val="28"/>
          <w:lang w:eastAsia="zh-CN"/>
        </w:rPr>
        <w:t>京东拍卖破产强清平台</w:t>
      </w:r>
      <w:r>
        <w:rPr>
          <w:rFonts w:hint="eastAsia" w:ascii="宋体" w:hAnsi="宋体" w:eastAsia="宋体" w:cs="宋体"/>
          <w:sz w:val="28"/>
          <w:szCs w:val="28"/>
        </w:rPr>
        <w:t>（处置单位：</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管理人，监督单位：</w:t>
      </w:r>
      <w:r>
        <w:rPr>
          <w:rFonts w:hint="eastAsia" w:ascii="宋体" w:hAnsi="宋体" w:eastAsia="宋体" w:cs="宋体"/>
          <w:sz w:val="28"/>
          <w:szCs w:val="28"/>
          <w:lang w:eastAsia="zh-CN"/>
        </w:rPr>
        <w:t>济源市人民法院</w:t>
      </w:r>
      <w:r>
        <w:rPr>
          <w:rFonts w:hint="eastAsia" w:ascii="宋体" w:hAnsi="宋体" w:eastAsia="宋体" w:cs="宋体"/>
          <w:sz w:val="28"/>
          <w:szCs w:val="28"/>
        </w:rPr>
        <w:t>，网址：</w:t>
      </w:r>
      <w:r>
        <w:rPr>
          <w:rFonts w:hint="eastAsia" w:ascii="宋体" w:hAnsi="宋体" w:eastAsia="宋体" w:cs="宋体"/>
          <w:sz w:val="28"/>
          <w:szCs w:val="28"/>
          <w:lang w:eastAsia="zh-CN"/>
        </w:rPr>
        <w:t>https://auction.jd.com/bankrupt.html</w:t>
      </w:r>
      <w:r>
        <w:rPr>
          <w:rFonts w:hint="eastAsia" w:ascii="宋体" w:hAnsi="宋体" w:eastAsia="宋体" w:cs="宋体"/>
          <w:sz w:val="28"/>
          <w:szCs w:val="28"/>
        </w:rPr>
        <w:t>）进行公开拍卖活动，现公告如下：</w:t>
      </w:r>
    </w:p>
    <w:p w14:paraId="4AAF137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一、拍卖标的物情况介绍</w:t>
      </w:r>
    </w:p>
    <w:p w14:paraId="3940DA2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标的物名称：</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名下</w:t>
      </w:r>
      <w:r>
        <w:rPr>
          <w:rFonts w:hint="eastAsia" w:ascii="宋体" w:hAnsi="宋体" w:eastAsia="宋体" w:cs="宋体"/>
          <w:sz w:val="28"/>
          <w:szCs w:val="28"/>
          <w:lang w:eastAsia="zh-CN"/>
        </w:rPr>
        <w:t>车辆</w:t>
      </w:r>
      <w:r>
        <w:rPr>
          <w:rFonts w:hint="eastAsia" w:ascii="宋体" w:hAnsi="宋体" w:eastAsia="宋体" w:cs="宋体"/>
          <w:sz w:val="28"/>
          <w:szCs w:val="28"/>
        </w:rPr>
        <w:t>（不包含车牌）</w:t>
      </w:r>
    </w:p>
    <w:p w14:paraId="60EB768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起拍价：45,900.</w:t>
      </w:r>
      <w:r>
        <w:rPr>
          <w:rFonts w:hint="eastAsia" w:ascii="宋体" w:hAnsi="宋体" w:eastAsia="宋体" w:cs="宋体"/>
          <w:sz w:val="28"/>
          <w:szCs w:val="28"/>
          <w:lang w:val="en-US" w:eastAsia="zh-CN"/>
        </w:rPr>
        <w:t>00</w:t>
      </w:r>
      <w:r>
        <w:rPr>
          <w:rFonts w:hint="eastAsia" w:ascii="宋体" w:hAnsi="宋体" w:eastAsia="宋体" w:cs="宋体"/>
          <w:sz w:val="28"/>
          <w:szCs w:val="28"/>
        </w:rPr>
        <w:t>元；</w:t>
      </w:r>
    </w:p>
    <w:p w14:paraId="6451D46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评估价：78,900.00元；</w:t>
      </w:r>
    </w:p>
    <w:p w14:paraId="6FB3CA7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保证金：</w:t>
      </w:r>
      <w:r>
        <w:rPr>
          <w:rFonts w:hint="eastAsia" w:ascii="宋体" w:hAnsi="宋体" w:eastAsia="宋体" w:cs="宋体"/>
          <w:sz w:val="28"/>
          <w:szCs w:val="28"/>
          <w:lang w:val="en-US" w:eastAsia="zh-CN"/>
        </w:rPr>
        <w:t>4</w:t>
      </w:r>
      <w:r>
        <w:rPr>
          <w:rFonts w:hint="eastAsia" w:ascii="宋体" w:hAnsi="宋体" w:eastAsia="宋体" w:cs="宋体"/>
          <w:sz w:val="28"/>
          <w:szCs w:val="28"/>
        </w:rPr>
        <w:t>,</w:t>
      </w:r>
      <w:r>
        <w:rPr>
          <w:rFonts w:hint="eastAsia" w:ascii="宋体" w:hAnsi="宋体" w:eastAsia="宋体" w:cs="宋体"/>
          <w:sz w:val="28"/>
          <w:szCs w:val="28"/>
          <w:lang w:val="en-US" w:eastAsia="zh-CN"/>
        </w:rPr>
        <w:t>6</w:t>
      </w:r>
      <w:r>
        <w:rPr>
          <w:rFonts w:hint="eastAsia" w:ascii="宋体" w:hAnsi="宋体" w:eastAsia="宋体" w:cs="宋体"/>
          <w:sz w:val="28"/>
          <w:szCs w:val="28"/>
        </w:rPr>
        <w:t>00.00元；</w:t>
      </w:r>
    </w:p>
    <w:p w14:paraId="543F22C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增价幅度：</w:t>
      </w:r>
      <w:r>
        <w:rPr>
          <w:rFonts w:hint="eastAsia" w:ascii="宋体" w:hAnsi="宋体" w:eastAsia="宋体" w:cs="宋体"/>
          <w:sz w:val="28"/>
          <w:szCs w:val="28"/>
          <w:lang w:val="en-US" w:eastAsia="zh-CN"/>
        </w:rPr>
        <w:t>200</w:t>
      </w:r>
      <w:r>
        <w:rPr>
          <w:rFonts w:hint="eastAsia" w:ascii="宋体" w:hAnsi="宋体" w:eastAsia="宋体" w:cs="宋体"/>
          <w:sz w:val="28"/>
          <w:szCs w:val="28"/>
        </w:rPr>
        <w:t>元（或整倍数）。</w:t>
      </w:r>
    </w:p>
    <w:p w14:paraId="6707CFD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车辆情况：</w:t>
      </w:r>
    </w:p>
    <w:p w14:paraId="31E79A1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车辆共计</w:t>
      </w:r>
      <w:r>
        <w:rPr>
          <w:rFonts w:hint="eastAsia" w:ascii="宋体" w:hAnsi="宋体" w:eastAsia="宋体" w:cs="宋体"/>
          <w:sz w:val="28"/>
          <w:szCs w:val="28"/>
          <w:lang w:val="en-US" w:eastAsia="zh-CN"/>
        </w:rPr>
        <w:t>4</w:t>
      </w:r>
      <w:r>
        <w:rPr>
          <w:rFonts w:hint="eastAsia" w:ascii="宋体" w:hAnsi="宋体" w:eastAsia="宋体" w:cs="宋体"/>
          <w:sz w:val="28"/>
          <w:szCs w:val="28"/>
        </w:rPr>
        <w:t>项，分别为：依维柯牌NJ6487SDES6一辆、依维柯牌NJ6483ATS6一辆、大众朗逸一辆、江淮牌HFC5048XXYL1LT一辆；标的以现状交付</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详见下表：</w:t>
      </w:r>
    </w:p>
    <w:p w14:paraId="455A976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p>
    <w:p w14:paraId="27EDDD8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sz w:val="28"/>
          <w:szCs w:val="28"/>
          <w:lang w:val="en-US" w:eastAsia="zh-CN"/>
        </w:rPr>
      </w:pPr>
    </w:p>
    <w:tbl>
      <w:tblPr>
        <w:tblStyle w:val="3"/>
        <w:tblW w:w="86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0"/>
        <w:gridCol w:w="1122"/>
        <w:gridCol w:w="2750"/>
        <w:gridCol w:w="725"/>
        <w:gridCol w:w="383"/>
        <w:gridCol w:w="1508"/>
        <w:gridCol w:w="1508"/>
      </w:tblGrid>
      <w:tr w14:paraId="25355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5" w:hRule="atLeast"/>
        </w:trPr>
        <w:tc>
          <w:tcPr>
            <w:tcW w:w="660" w:type="dxa"/>
            <w:vMerge w:val="restart"/>
            <w:shd w:val="clear" w:color="auto" w:fill="auto"/>
            <w:vAlign w:val="center"/>
          </w:tcPr>
          <w:p w14:paraId="29F49F07">
            <w:pPr>
              <w:jc w:val="center"/>
            </w:pPr>
            <w:r>
              <w:rPr>
                <w:lang w:val="en-US" w:eastAsia="zh-CN"/>
              </w:rPr>
              <w:t>序号</w:t>
            </w:r>
          </w:p>
        </w:tc>
        <w:tc>
          <w:tcPr>
            <w:tcW w:w="1122" w:type="dxa"/>
            <w:vMerge w:val="restart"/>
            <w:shd w:val="clear" w:color="auto" w:fill="auto"/>
            <w:vAlign w:val="center"/>
          </w:tcPr>
          <w:p w14:paraId="070B52EC">
            <w:pPr>
              <w:jc w:val="center"/>
            </w:pPr>
            <w:r>
              <w:rPr>
                <w:lang w:val="en-US" w:eastAsia="zh-CN"/>
              </w:rPr>
              <w:t>车辆牌号</w:t>
            </w:r>
          </w:p>
        </w:tc>
        <w:tc>
          <w:tcPr>
            <w:tcW w:w="2750" w:type="dxa"/>
            <w:vMerge w:val="restart"/>
            <w:shd w:val="clear" w:color="auto" w:fill="auto"/>
            <w:vAlign w:val="center"/>
          </w:tcPr>
          <w:p w14:paraId="0F6BB4E9">
            <w:pPr>
              <w:jc w:val="center"/>
            </w:pPr>
            <w:r>
              <w:rPr>
                <w:lang w:val="en-US" w:eastAsia="zh-CN"/>
              </w:rPr>
              <w:t>车辆名称及规格型号</w:t>
            </w:r>
          </w:p>
        </w:tc>
        <w:tc>
          <w:tcPr>
            <w:tcW w:w="725" w:type="dxa"/>
            <w:vMerge w:val="restart"/>
            <w:shd w:val="clear" w:color="auto" w:fill="auto"/>
            <w:vAlign w:val="center"/>
          </w:tcPr>
          <w:p w14:paraId="48929396">
            <w:pPr>
              <w:jc w:val="center"/>
            </w:pPr>
            <w:r>
              <w:rPr>
                <w:lang w:val="en-US" w:eastAsia="zh-CN"/>
              </w:rPr>
              <w:t>计量</w:t>
            </w:r>
            <w:r>
              <w:rPr>
                <w:lang w:val="en-US" w:eastAsia="zh-CN"/>
              </w:rPr>
              <w:br w:type="textWrapping"/>
            </w:r>
            <w:r>
              <w:rPr>
                <w:lang w:val="en-US" w:eastAsia="zh-CN"/>
              </w:rPr>
              <w:t>单位</w:t>
            </w:r>
          </w:p>
        </w:tc>
        <w:tc>
          <w:tcPr>
            <w:tcW w:w="383" w:type="dxa"/>
            <w:vMerge w:val="restart"/>
            <w:shd w:val="clear" w:color="auto" w:fill="auto"/>
            <w:vAlign w:val="center"/>
          </w:tcPr>
          <w:p w14:paraId="32013BE1">
            <w:pPr>
              <w:jc w:val="center"/>
            </w:pPr>
            <w:r>
              <w:rPr>
                <w:lang w:val="en-US" w:eastAsia="zh-CN"/>
              </w:rPr>
              <w:t>数量</w:t>
            </w:r>
          </w:p>
        </w:tc>
        <w:tc>
          <w:tcPr>
            <w:tcW w:w="1508" w:type="dxa"/>
            <w:vMerge w:val="restart"/>
            <w:shd w:val="clear" w:color="auto" w:fill="auto"/>
            <w:vAlign w:val="center"/>
          </w:tcPr>
          <w:p w14:paraId="6D888D6C">
            <w:pPr>
              <w:jc w:val="center"/>
            </w:pPr>
            <w:r>
              <w:rPr>
                <w:lang w:val="en-US" w:eastAsia="zh-CN"/>
              </w:rPr>
              <w:t>注册日期</w:t>
            </w:r>
          </w:p>
        </w:tc>
        <w:tc>
          <w:tcPr>
            <w:tcW w:w="1508" w:type="dxa"/>
            <w:vMerge w:val="restart"/>
            <w:shd w:val="clear" w:color="auto" w:fill="auto"/>
            <w:vAlign w:val="center"/>
          </w:tcPr>
          <w:p w14:paraId="64F164E0">
            <w:pPr>
              <w:jc w:val="center"/>
            </w:pPr>
            <w:r>
              <w:rPr>
                <w:lang w:val="en-US" w:eastAsia="zh-CN"/>
              </w:rPr>
              <w:t>已行驶里程</w:t>
            </w:r>
            <w:r>
              <w:rPr>
                <w:rFonts w:hint="eastAsia"/>
                <w:lang w:val="en-US" w:eastAsia="zh-CN"/>
              </w:rPr>
              <w:t>（</w:t>
            </w:r>
            <w:r>
              <w:rPr>
                <w:lang w:val="en-US" w:eastAsia="zh-CN"/>
              </w:rPr>
              <w:t>公里</w:t>
            </w:r>
            <w:r>
              <w:rPr>
                <w:rFonts w:hint="eastAsia"/>
                <w:lang w:val="en-US" w:eastAsia="zh-CN"/>
              </w:rPr>
              <w:t>）</w:t>
            </w:r>
          </w:p>
        </w:tc>
      </w:tr>
      <w:tr w14:paraId="5924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60" w:type="dxa"/>
            <w:vMerge w:val="continue"/>
            <w:shd w:val="clear" w:color="auto" w:fill="auto"/>
            <w:vAlign w:val="center"/>
          </w:tcPr>
          <w:p w14:paraId="589A561C">
            <w:pPr>
              <w:jc w:val="center"/>
              <w:rPr>
                <w:rFonts w:hint="eastAsia"/>
              </w:rPr>
            </w:pPr>
          </w:p>
        </w:tc>
        <w:tc>
          <w:tcPr>
            <w:tcW w:w="1122" w:type="dxa"/>
            <w:vMerge w:val="continue"/>
            <w:shd w:val="clear" w:color="auto" w:fill="auto"/>
            <w:vAlign w:val="center"/>
          </w:tcPr>
          <w:p w14:paraId="3F70C0F5">
            <w:pPr>
              <w:jc w:val="center"/>
              <w:rPr>
                <w:rFonts w:hint="eastAsia"/>
              </w:rPr>
            </w:pPr>
          </w:p>
        </w:tc>
        <w:tc>
          <w:tcPr>
            <w:tcW w:w="2750" w:type="dxa"/>
            <w:vMerge w:val="continue"/>
            <w:shd w:val="clear" w:color="auto" w:fill="auto"/>
            <w:vAlign w:val="center"/>
          </w:tcPr>
          <w:p w14:paraId="77EA411F">
            <w:pPr>
              <w:jc w:val="center"/>
              <w:rPr>
                <w:rFonts w:hint="eastAsia"/>
              </w:rPr>
            </w:pPr>
          </w:p>
        </w:tc>
        <w:tc>
          <w:tcPr>
            <w:tcW w:w="725" w:type="dxa"/>
            <w:vMerge w:val="continue"/>
            <w:shd w:val="clear" w:color="auto" w:fill="auto"/>
            <w:vAlign w:val="center"/>
          </w:tcPr>
          <w:p w14:paraId="07BE5A3A">
            <w:pPr>
              <w:jc w:val="center"/>
              <w:rPr>
                <w:rFonts w:hint="eastAsia"/>
              </w:rPr>
            </w:pPr>
          </w:p>
        </w:tc>
        <w:tc>
          <w:tcPr>
            <w:tcW w:w="383" w:type="dxa"/>
            <w:vMerge w:val="continue"/>
            <w:shd w:val="clear" w:color="auto" w:fill="auto"/>
            <w:vAlign w:val="center"/>
          </w:tcPr>
          <w:p w14:paraId="6A0BC99E">
            <w:pPr>
              <w:jc w:val="center"/>
              <w:rPr>
                <w:rFonts w:hint="eastAsia"/>
              </w:rPr>
            </w:pPr>
          </w:p>
        </w:tc>
        <w:tc>
          <w:tcPr>
            <w:tcW w:w="1508" w:type="dxa"/>
            <w:vMerge w:val="continue"/>
            <w:shd w:val="clear" w:color="auto" w:fill="auto"/>
            <w:vAlign w:val="center"/>
          </w:tcPr>
          <w:p w14:paraId="489A181E">
            <w:pPr>
              <w:jc w:val="center"/>
              <w:rPr>
                <w:rFonts w:hint="eastAsia"/>
              </w:rPr>
            </w:pPr>
          </w:p>
        </w:tc>
        <w:tc>
          <w:tcPr>
            <w:tcW w:w="1508" w:type="dxa"/>
            <w:vMerge w:val="continue"/>
            <w:shd w:val="clear" w:color="auto" w:fill="auto"/>
            <w:vAlign w:val="center"/>
          </w:tcPr>
          <w:p w14:paraId="76F2808D">
            <w:pPr>
              <w:jc w:val="center"/>
              <w:rPr>
                <w:rFonts w:hint="eastAsia"/>
              </w:rPr>
            </w:pPr>
          </w:p>
        </w:tc>
      </w:tr>
      <w:tr w14:paraId="52C13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0" w:hRule="atLeast"/>
        </w:trPr>
        <w:tc>
          <w:tcPr>
            <w:tcW w:w="660" w:type="dxa"/>
            <w:shd w:val="clear" w:color="auto" w:fill="auto"/>
            <w:vAlign w:val="center"/>
          </w:tcPr>
          <w:p w14:paraId="176E76FF">
            <w:pPr>
              <w:jc w:val="center"/>
            </w:pPr>
            <w:r>
              <w:rPr>
                <w:lang w:val="en-US" w:eastAsia="zh-CN"/>
              </w:rPr>
              <w:t>1</w:t>
            </w:r>
          </w:p>
        </w:tc>
        <w:tc>
          <w:tcPr>
            <w:tcW w:w="1122" w:type="dxa"/>
            <w:shd w:val="clear" w:color="auto" w:fill="auto"/>
            <w:vAlign w:val="center"/>
          </w:tcPr>
          <w:p w14:paraId="3F11C68A">
            <w:pPr>
              <w:jc w:val="center"/>
            </w:pPr>
            <w:r>
              <w:rPr>
                <w:lang w:val="en-US" w:eastAsia="zh-CN"/>
              </w:rPr>
              <w:t>豫U82586</w:t>
            </w:r>
          </w:p>
        </w:tc>
        <w:tc>
          <w:tcPr>
            <w:tcW w:w="2750" w:type="dxa"/>
            <w:shd w:val="clear" w:color="auto" w:fill="auto"/>
            <w:vAlign w:val="center"/>
          </w:tcPr>
          <w:p w14:paraId="3C8FFD2A">
            <w:pPr>
              <w:jc w:val="center"/>
            </w:pPr>
            <w:r>
              <w:rPr>
                <w:lang w:val="en-US" w:eastAsia="zh-CN"/>
              </w:rPr>
              <w:t>依维柯牌NJ6487SDES6</w:t>
            </w:r>
          </w:p>
        </w:tc>
        <w:tc>
          <w:tcPr>
            <w:tcW w:w="725" w:type="dxa"/>
            <w:shd w:val="clear" w:color="auto" w:fill="auto"/>
            <w:vAlign w:val="center"/>
          </w:tcPr>
          <w:p w14:paraId="437EC4C9">
            <w:pPr>
              <w:jc w:val="center"/>
            </w:pPr>
            <w:r>
              <w:rPr>
                <w:lang w:val="en-US" w:eastAsia="zh-CN"/>
              </w:rPr>
              <w:t>辆</w:t>
            </w:r>
          </w:p>
        </w:tc>
        <w:tc>
          <w:tcPr>
            <w:tcW w:w="383" w:type="dxa"/>
            <w:shd w:val="clear" w:color="auto" w:fill="auto"/>
            <w:vAlign w:val="center"/>
          </w:tcPr>
          <w:p w14:paraId="3E881E0B">
            <w:pPr>
              <w:jc w:val="center"/>
            </w:pPr>
            <w:r>
              <w:rPr>
                <w:lang w:val="en-US" w:eastAsia="zh-CN"/>
              </w:rPr>
              <w:t>1</w:t>
            </w:r>
          </w:p>
        </w:tc>
        <w:tc>
          <w:tcPr>
            <w:tcW w:w="1508" w:type="dxa"/>
            <w:shd w:val="clear" w:color="auto" w:fill="auto"/>
            <w:vAlign w:val="center"/>
          </w:tcPr>
          <w:p w14:paraId="609D165D">
            <w:pPr>
              <w:jc w:val="center"/>
            </w:pPr>
            <w:r>
              <w:rPr>
                <w:lang w:val="en-US" w:eastAsia="zh-CN"/>
              </w:rPr>
              <w:t>2009-10-14</w:t>
            </w:r>
          </w:p>
        </w:tc>
        <w:tc>
          <w:tcPr>
            <w:tcW w:w="1508" w:type="dxa"/>
            <w:shd w:val="clear" w:color="auto" w:fill="auto"/>
            <w:vAlign w:val="center"/>
          </w:tcPr>
          <w:p w14:paraId="50274A99">
            <w:pPr>
              <w:jc w:val="center"/>
            </w:pPr>
            <w:r>
              <w:rPr>
                <w:lang w:val="en-US" w:eastAsia="zh-CN"/>
              </w:rPr>
              <w:t>265,320.00</w:t>
            </w:r>
          </w:p>
        </w:tc>
      </w:tr>
      <w:tr w14:paraId="0515F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0" w:hRule="atLeast"/>
        </w:trPr>
        <w:tc>
          <w:tcPr>
            <w:tcW w:w="660" w:type="dxa"/>
            <w:shd w:val="clear" w:color="auto" w:fill="auto"/>
            <w:vAlign w:val="center"/>
          </w:tcPr>
          <w:p w14:paraId="560F40A4">
            <w:pPr>
              <w:jc w:val="center"/>
            </w:pPr>
            <w:r>
              <w:rPr>
                <w:lang w:val="en-US" w:eastAsia="zh-CN"/>
              </w:rPr>
              <w:t>2</w:t>
            </w:r>
          </w:p>
        </w:tc>
        <w:tc>
          <w:tcPr>
            <w:tcW w:w="1122" w:type="dxa"/>
            <w:shd w:val="clear" w:color="auto" w:fill="auto"/>
            <w:vAlign w:val="center"/>
          </w:tcPr>
          <w:p w14:paraId="2316FFE9">
            <w:pPr>
              <w:jc w:val="center"/>
            </w:pPr>
            <w:r>
              <w:rPr>
                <w:lang w:val="en-US" w:eastAsia="zh-CN"/>
              </w:rPr>
              <w:t>豫U81258</w:t>
            </w:r>
          </w:p>
        </w:tc>
        <w:tc>
          <w:tcPr>
            <w:tcW w:w="2750" w:type="dxa"/>
            <w:shd w:val="clear" w:color="auto" w:fill="auto"/>
            <w:vAlign w:val="center"/>
          </w:tcPr>
          <w:p w14:paraId="74578F7B">
            <w:pPr>
              <w:jc w:val="center"/>
            </w:pPr>
            <w:r>
              <w:rPr>
                <w:lang w:val="en-US" w:eastAsia="zh-CN"/>
              </w:rPr>
              <w:t>大众朗逸</w:t>
            </w:r>
          </w:p>
        </w:tc>
        <w:tc>
          <w:tcPr>
            <w:tcW w:w="725" w:type="dxa"/>
            <w:shd w:val="clear" w:color="auto" w:fill="auto"/>
            <w:vAlign w:val="center"/>
          </w:tcPr>
          <w:p w14:paraId="5C6DFCF3">
            <w:pPr>
              <w:jc w:val="center"/>
            </w:pPr>
            <w:r>
              <w:rPr>
                <w:lang w:val="en-US" w:eastAsia="zh-CN"/>
              </w:rPr>
              <w:t>辆</w:t>
            </w:r>
          </w:p>
        </w:tc>
        <w:tc>
          <w:tcPr>
            <w:tcW w:w="383" w:type="dxa"/>
            <w:shd w:val="clear" w:color="auto" w:fill="auto"/>
            <w:vAlign w:val="center"/>
          </w:tcPr>
          <w:p w14:paraId="3E1E691F">
            <w:pPr>
              <w:jc w:val="center"/>
            </w:pPr>
            <w:r>
              <w:rPr>
                <w:lang w:val="en-US" w:eastAsia="zh-CN"/>
              </w:rPr>
              <w:t>1</w:t>
            </w:r>
          </w:p>
        </w:tc>
        <w:tc>
          <w:tcPr>
            <w:tcW w:w="1508" w:type="dxa"/>
            <w:shd w:val="clear" w:color="auto" w:fill="auto"/>
            <w:vAlign w:val="center"/>
          </w:tcPr>
          <w:p w14:paraId="6A56370B">
            <w:pPr>
              <w:jc w:val="center"/>
            </w:pPr>
            <w:r>
              <w:rPr>
                <w:lang w:val="en-US" w:eastAsia="zh-CN"/>
              </w:rPr>
              <w:t>2012-1-14</w:t>
            </w:r>
          </w:p>
        </w:tc>
        <w:tc>
          <w:tcPr>
            <w:tcW w:w="1508" w:type="dxa"/>
            <w:shd w:val="clear" w:color="auto" w:fill="auto"/>
            <w:vAlign w:val="center"/>
          </w:tcPr>
          <w:p w14:paraId="1E6CD97A">
            <w:pPr>
              <w:jc w:val="center"/>
            </w:pPr>
            <w:r>
              <w:rPr>
                <w:lang w:val="en-US" w:eastAsia="zh-CN"/>
              </w:rPr>
              <w:t>164,669.00</w:t>
            </w:r>
          </w:p>
        </w:tc>
      </w:tr>
      <w:tr w14:paraId="67DCA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0" w:hRule="atLeast"/>
        </w:trPr>
        <w:tc>
          <w:tcPr>
            <w:tcW w:w="660" w:type="dxa"/>
            <w:shd w:val="clear" w:color="auto" w:fill="auto"/>
            <w:vAlign w:val="center"/>
          </w:tcPr>
          <w:p w14:paraId="2EFE1851">
            <w:pPr>
              <w:jc w:val="center"/>
            </w:pPr>
            <w:r>
              <w:rPr>
                <w:lang w:val="en-US" w:eastAsia="zh-CN"/>
              </w:rPr>
              <w:t>3</w:t>
            </w:r>
          </w:p>
        </w:tc>
        <w:tc>
          <w:tcPr>
            <w:tcW w:w="1122" w:type="dxa"/>
            <w:shd w:val="clear" w:color="auto" w:fill="auto"/>
            <w:vAlign w:val="center"/>
          </w:tcPr>
          <w:p w14:paraId="6BA95A28">
            <w:pPr>
              <w:jc w:val="center"/>
            </w:pPr>
            <w:r>
              <w:rPr>
                <w:lang w:val="en-US" w:eastAsia="zh-CN"/>
              </w:rPr>
              <w:t>豫U82851</w:t>
            </w:r>
          </w:p>
        </w:tc>
        <w:tc>
          <w:tcPr>
            <w:tcW w:w="2750" w:type="dxa"/>
            <w:shd w:val="clear" w:color="auto" w:fill="auto"/>
            <w:vAlign w:val="center"/>
          </w:tcPr>
          <w:p w14:paraId="632587F7">
            <w:pPr>
              <w:jc w:val="center"/>
            </w:pPr>
            <w:r>
              <w:rPr>
                <w:lang w:val="en-US" w:eastAsia="zh-CN"/>
              </w:rPr>
              <w:t>依维柯牌NJ6483ATS6</w:t>
            </w:r>
          </w:p>
        </w:tc>
        <w:tc>
          <w:tcPr>
            <w:tcW w:w="725" w:type="dxa"/>
            <w:shd w:val="clear" w:color="auto" w:fill="auto"/>
            <w:vAlign w:val="center"/>
          </w:tcPr>
          <w:p w14:paraId="4322A798">
            <w:pPr>
              <w:jc w:val="center"/>
            </w:pPr>
            <w:r>
              <w:rPr>
                <w:lang w:val="en-US" w:eastAsia="zh-CN"/>
              </w:rPr>
              <w:t>辆</w:t>
            </w:r>
          </w:p>
        </w:tc>
        <w:tc>
          <w:tcPr>
            <w:tcW w:w="383" w:type="dxa"/>
            <w:shd w:val="clear" w:color="auto" w:fill="auto"/>
            <w:vAlign w:val="center"/>
          </w:tcPr>
          <w:p w14:paraId="329E43A7">
            <w:pPr>
              <w:jc w:val="center"/>
            </w:pPr>
            <w:r>
              <w:rPr>
                <w:lang w:val="en-US" w:eastAsia="zh-CN"/>
              </w:rPr>
              <w:t>1</w:t>
            </w:r>
          </w:p>
        </w:tc>
        <w:tc>
          <w:tcPr>
            <w:tcW w:w="1508" w:type="dxa"/>
            <w:shd w:val="clear" w:color="auto" w:fill="auto"/>
            <w:vAlign w:val="center"/>
          </w:tcPr>
          <w:p w14:paraId="318F0206">
            <w:pPr>
              <w:jc w:val="center"/>
            </w:pPr>
            <w:r>
              <w:rPr>
                <w:lang w:val="en-US" w:eastAsia="zh-CN"/>
              </w:rPr>
              <w:t>2010-3-30</w:t>
            </w:r>
          </w:p>
        </w:tc>
        <w:tc>
          <w:tcPr>
            <w:tcW w:w="1508" w:type="dxa"/>
            <w:shd w:val="clear" w:color="auto" w:fill="auto"/>
            <w:vAlign w:val="center"/>
          </w:tcPr>
          <w:p w14:paraId="5947728C">
            <w:pPr>
              <w:jc w:val="center"/>
            </w:pPr>
            <w:r>
              <w:rPr>
                <w:lang w:val="en-US" w:eastAsia="zh-CN"/>
              </w:rPr>
              <w:t>5,900.00</w:t>
            </w:r>
          </w:p>
        </w:tc>
      </w:tr>
      <w:tr w14:paraId="774AE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660" w:type="dxa"/>
            <w:shd w:val="clear" w:color="auto" w:fill="auto"/>
            <w:vAlign w:val="center"/>
          </w:tcPr>
          <w:p w14:paraId="39019A09">
            <w:pPr>
              <w:jc w:val="center"/>
            </w:pPr>
            <w:r>
              <w:rPr>
                <w:lang w:val="en-US" w:eastAsia="zh-CN"/>
              </w:rPr>
              <w:t>4</w:t>
            </w:r>
          </w:p>
        </w:tc>
        <w:tc>
          <w:tcPr>
            <w:tcW w:w="1122" w:type="dxa"/>
            <w:shd w:val="clear" w:color="auto" w:fill="auto"/>
            <w:vAlign w:val="center"/>
          </w:tcPr>
          <w:p w14:paraId="398DF8F2">
            <w:pPr>
              <w:jc w:val="center"/>
            </w:pPr>
            <w:r>
              <w:rPr>
                <w:lang w:val="en-US" w:eastAsia="zh-CN"/>
              </w:rPr>
              <w:t>豫U82857</w:t>
            </w:r>
          </w:p>
        </w:tc>
        <w:tc>
          <w:tcPr>
            <w:tcW w:w="2750" w:type="dxa"/>
            <w:shd w:val="clear" w:color="auto" w:fill="auto"/>
            <w:vAlign w:val="center"/>
          </w:tcPr>
          <w:p w14:paraId="5BA81A04">
            <w:pPr>
              <w:jc w:val="center"/>
            </w:pPr>
            <w:r>
              <w:rPr>
                <w:lang w:val="en-US" w:eastAsia="zh-CN"/>
              </w:rPr>
              <w:t>江淮牌HFC5048XXYLILT</w:t>
            </w:r>
          </w:p>
        </w:tc>
        <w:tc>
          <w:tcPr>
            <w:tcW w:w="725" w:type="dxa"/>
            <w:shd w:val="clear" w:color="auto" w:fill="auto"/>
            <w:vAlign w:val="center"/>
          </w:tcPr>
          <w:p w14:paraId="2ECD974D">
            <w:pPr>
              <w:jc w:val="center"/>
            </w:pPr>
            <w:r>
              <w:rPr>
                <w:lang w:val="en-US" w:eastAsia="zh-CN"/>
              </w:rPr>
              <w:t>辆</w:t>
            </w:r>
          </w:p>
        </w:tc>
        <w:tc>
          <w:tcPr>
            <w:tcW w:w="383" w:type="dxa"/>
            <w:shd w:val="clear" w:color="auto" w:fill="auto"/>
            <w:vAlign w:val="center"/>
          </w:tcPr>
          <w:p w14:paraId="7CFD380B">
            <w:pPr>
              <w:jc w:val="center"/>
            </w:pPr>
            <w:r>
              <w:rPr>
                <w:lang w:val="en-US" w:eastAsia="zh-CN"/>
              </w:rPr>
              <w:t>1</w:t>
            </w:r>
          </w:p>
        </w:tc>
        <w:tc>
          <w:tcPr>
            <w:tcW w:w="1508" w:type="dxa"/>
            <w:shd w:val="clear" w:color="auto" w:fill="auto"/>
            <w:vAlign w:val="center"/>
          </w:tcPr>
          <w:p w14:paraId="0420C46B">
            <w:pPr>
              <w:jc w:val="center"/>
            </w:pPr>
            <w:r>
              <w:rPr>
                <w:lang w:val="en-US" w:eastAsia="zh-CN"/>
              </w:rPr>
              <w:t>2013-6-3</w:t>
            </w:r>
          </w:p>
        </w:tc>
        <w:tc>
          <w:tcPr>
            <w:tcW w:w="1508" w:type="dxa"/>
            <w:shd w:val="clear" w:color="auto" w:fill="auto"/>
            <w:vAlign w:val="center"/>
          </w:tcPr>
          <w:p w14:paraId="406E6A26">
            <w:pPr>
              <w:jc w:val="center"/>
            </w:pPr>
            <w:r>
              <w:rPr>
                <w:lang w:val="en-US" w:eastAsia="zh-CN"/>
              </w:rPr>
              <w:t>61,106.00</w:t>
            </w:r>
          </w:p>
        </w:tc>
      </w:tr>
    </w:tbl>
    <w:p w14:paraId="48E5C08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特别说明：</w:t>
      </w:r>
    </w:p>
    <w:p w14:paraId="0C8A7F5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除拍卖文件披露外，竞买人应对拍卖标的的实际状况以及瑕疵（含显性、隐性瑕疵）等自行调查核实，并承担全部风险。</w:t>
      </w:r>
    </w:p>
    <w:p w14:paraId="7FCECE7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对上述标的权属有异议者，请于本公告发布之日起至开拍前三日内与管理人联系。 </w:t>
      </w:r>
    </w:p>
    <w:p w14:paraId="3BF4FDC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二</w:t>
      </w:r>
      <w:r>
        <w:rPr>
          <w:rFonts w:hint="eastAsia" w:ascii="宋体" w:hAnsi="宋体" w:eastAsia="宋体" w:cs="宋体"/>
          <w:sz w:val="28"/>
          <w:szCs w:val="28"/>
        </w:rPr>
        <w:t>、咨询、展示、看样的时间与方式</w:t>
      </w:r>
    </w:p>
    <w:p w14:paraId="7A23FF7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咨询、展示看样的时间与方式：自发布公告之日起至拍卖结束之日止（周一至周五的工作日（上午8</w:t>
      </w:r>
      <w:r>
        <w:rPr>
          <w:rFonts w:hint="eastAsia" w:ascii="宋体" w:hAnsi="宋体" w:eastAsia="宋体" w:cs="宋体"/>
          <w:sz w:val="28"/>
          <w:szCs w:val="28"/>
          <w:lang w:eastAsia="zh-CN"/>
        </w:rPr>
        <w:t>:</w:t>
      </w:r>
      <w:r>
        <w:rPr>
          <w:rFonts w:hint="eastAsia" w:ascii="宋体" w:hAnsi="宋体" w:eastAsia="宋体" w:cs="宋体"/>
          <w:sz w:val="28"/>
          <w:szCs w:val="28"/>
        </w:rPr>
        <w:t>30至12:00，下午3:30至18</w:t>
      </w:r>
      <w:r>
        <w:rPr>
          <w:rFonts w:hint="eastAsia" w:ascii="宋体" w:hAnsi="宋体" w:eastAsia="宋体" w:cs="宋体"/>
          <w:sz w:val="28"/>
          <w:szCs w:val="28"/>
          <w:lang w:eastAsia="zh-CN"/>
        </w:rPr>
        <w:t>:</w:t>
      </w:r>
      <w:r>
        <w:rPr>
          <w:rFonts w:hint="eastAsia" w:ascii="宋体" w:hAnsi="宋体" w:eastAsia="宋体" w:cs="宋体"/>
          <w:sz w:val="28"/>
          <w:szCs w:val="28"/>
        </w:rPr>
        <w:t>00）节假日除外）接受咨询，有意者请与孙律师13137161956/马律师18272727316联系。本标的统一安排现场看样，意向竞买人请亲自实地看样，详细情况可向相关部门了解或自行进行调查，未看样的竞买人视为对本标的实物现状的确认，责任自负，请谨慎参拍。</w:t>
      </w:r>
    </w:p>
    <w:p w14:paraId="329F2F1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为维护实地看样现场的正常秩序，现场看样时应听从工作人员的指挥，现场看样人员不服从指挥，扰乱现场秩序的，会被请出看样场地。</w:t>
      </w:r>
    </w:p>
    <w:p w14:paraId="1A9AF74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三</w:t>
      </w:r>
      <w:r>
        <w:rPr>
          <w:rFonts w:hint="eastAsia" w:ascii="宋体" w:hAnsi="宋体" w:eastAsia="宋体" w:cs="宋体"/>
          <w:sz w:val="28"/>
          <w:szCs w:val="28"/>
        </w:rPr>
        <w:t>、竞买人条件</w:t>
      </w:r>
    </w:p>
    <w:p w14:paraId="1B218D3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614A88F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竞买人可委托代理人（具备完全民事行为能力的自然人）进行竞价，但须在拍卖开始日的五日前与管理人沟通办理委托手续；竞买成功后，竞买人（法定代表人、其他组织的负责人）或其委托代理人应到管理人处办理交付或权属转移手续。如委托手续不全，竞买活动认定为委托代理人的个人行为。因不符合条件参加竞买的，由竞买人自行承担相应的法律责任。</w:t>
      </w:r>
    </w:p>
    <w:p w14:paraId="67492A7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3、负责承办本案件的人民法院、破产企业管理人、网络服务提供者或者组织的工作人员及其近亲属不得参与竞买，并不得委托他人代为竞买与其行为相关的拍卖标的物。因不符合条件参加竞买的，由竞买人/买受人自行承担相应的法律责任。</w:t>
      </w:r>
    </w:p>
    <w:p w14:paraId="38B511C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、优先购买权人</w:t>
      </w:r>
    </w:p>
    <w:p w14:paraId="234B970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1、本标的物优先购买权人相关说明：暂无。</w:t>
      </w:r>
    </w:p>
    <w:p w14:paraId="56E40E5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如有竞买者行使优先购买权，按以下2、3、4条处理。</w:t>
      </w:r>
    </w:p>
    <w:p w14:paraId="0096ED6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本标的物优先购买权相关说明：优先购买权人参加竞买的，应于竞价活动开始三个工作日前向管理人提交合法有效的证明（登记的证件信息必须与平台实名认证相一致），资格经管理人确认后才能以优先购买权人的身份参与竞买，逾期提交的，视为放弃对本标的物享有优先购买权。本标的优先购买权人未参加竞价，亦视为放弃优先购买权。</w:t>
      </w:r>
    </w:p>
    <w:p w14:paraId="27389FC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3、优先购买权人参与竞买的，以与其他竞买人以相同的价格出价，没有更高出价的，拍卖财产由优先购买权人竞得。</w:t>
      </w:r>
    </w:p>
    <w:p w14:paraId="0F077F7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897C2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五</w:t>
      </w:r>
      <w:r>
        <w:rPr>
          <w:rFonts w:hint="eastAsia" w:ascii="宋体" w:hAnsi="宋体" w:eastAsia="宋体" w:cs="宋体"/>
          <w:sz w:val="28"/>
          <w:szCs w:val="28"/>
        </w:rPr>
        <w:t>、拍卖方式</w:t>
      </w:r>
    </w:p>
    <w:p w14:paraId="041D368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本次拍卖采取有保留价的增价拍卖方式，保留价即为起拍价，至少一人报名且出价不低于起拍价，方可成交。无人报名或出价的，竞价会流拍。</w:t>
      </w:r>
    </w:p>
    <w:p w14:paraId="2E8FC13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本次拍卖活动设置延时出价功能，在拍卖活动结束前，最后5分钟如果有竞买人出价，就自动延迟5分钟。</w:t>
      </w:r>
    </w:p>
    <w:p w14:paraId="745CBC2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六</w:t>
      </w:r>
      <w:r>
        <w:rPr>
          <w:rFonts w:hint="eastAsia" w:ascii="宋体" w:hAnsi="宋体" w:eastAsia="宋体" w:cs="宋体"/>
          <w:sz w:val="28"/>
          <w:szCs w:val="28"/>
        </w:rPr>
        <w:t>、保证金和余款支付</w:t>
      </w:r>
    </w:p>
    <w:p w14:paraId="794B652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1、拍卖竞价前将通过破产强清平台系统在竞买人</w:t>
      </w:r>
      <w:r>
        <w:rPr>
          <w:rFonts w:hint="eastAsia" w:ascii="宋体" w:hAnsi="宋体" w:eastAsia="宋体" w:cs="宋体"/>
          <w:sz w:val="28"/>
          <w:szCs w:val="28"/>
          <w:lang w:eastAsia="zh-CN"/>
        </w:rPr>
        <w:t>京东</w:t>
      </w:r>
      <w:r>
        <w:rPr>
          <w:rFonts w:hint="eastAsia" w:ascii="宋体" w:hAnsi="宋体" w:eastAsia="宋体" w:cs="宋体"/>
          <w:sz w:val="28"/>
          <w:szCs w:val="28"/>
        </w:rPr>
        <w:t>账户内锁定相应资金作为应缴的保证金，拍卖结束后未能竞得者锁定的保证金自动解锁，锁定期间不计利息。</w:t>
      </w:r>
    </w:p>
    <w:p w14:paraId="583C44A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2、拍卖成交后，买受人交纳的保证金可以冲抵价款，本标的物买受人原锁定的保证金将在买受人支付</w:t>
      </w:r>
      <w:r>
        <w:rPr>
          <w:rFonts w:hint="eastAsia" w:ascii="宋体" w:hAnsi="宋体" w:eastAsia="宋体" w:cs="宋体"/>
          <w:sz w:val="28"/>
          <w:szCs w:val="28"/>
          <w:lang w:eastAsia="zh-CN"/>
        </w:rPr>
        <w:t>技术服务费</w:t>
      </w:r>
      <w:r>
        <w:rPr>
          <w:rFonts w:hint="eastAsia" w:ascii="宋体" w:hAnsi="宋体" w:eastAsia="宋体" w:cs="宋体"/>
          <w:sz w:val="28"/>
          <w:szCs w:val="28"/>
        </w:rPr>
        <w:t>以后的24小时以内自动转入本管理人指定账户。</w:t>
      </w:r>
    </w:p>
    <w:p w14:paraId="433AD78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本次拍卖余款请在拍卖成交后</w:t>
      </w:r>
      <w:r>
        <w:rPr>
          <w:rFonts w:hint="eastAsia" w:ascii="宋体" w:hAnsi="宋体" w:eastAsia="宋体" w:cs="宋体"/>
          <w:sz w:val="28"/>
          <w:szCs w:val="28"/>
          <w:lang w:val="en-US" w:eastAsia="zh-CN"/>
        </w:rPr>
        <w:t>10</w:t>
      </w:r>
      <w:r>
        <w:rPr>
          <w:rFonts w:hint="eastAsia" w:ascii="宋体" w:hAnsi="宋体" w:eastAsia="宋体" w:cs="宋体"/>
          <w:sz w:val="28"/>
          <w:szCs w:val="28"/>
        </w:rPr>
        <w:t>日内汇款至本管理人指定账户：</w:t>
      </w:r>
    </w:p>
    <w:p w14:paraId="6E39BDB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 xml:space="preserve">户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名：</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w:t>
      </w:r>
    </w:p>
    <w:p w14:paraId="490C952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开户行：中国银行济源黄河路支行</w:t>
      </w:r>
    </w:p>
    <w:p w14:paraId="357659D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账</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号：2637 9655 3611</w:t>
      </w:r>
    </w:p>
    <w:p w14:paraId="16B759F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汇款时备注</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破产财产成交价款</w:t>
      </w:r>
      <w:r>
        <w:rPr>
          <w:rFonts w:hint="eastAsia" w:ascii="宋体" w:hAnsi="宋体" w:eastAsia="宋体" w:cs="宋体"/>
          <w:sz w:val="28"/>
          <w:szCs w:val="28"/>
          <w:lang w:eastAsia="zh-CN"/>
        </w:rPr>
        <w:t>”</w:t>
      </w:r>
      <w:r>
        <w:rPr>
          <w:rFonts w:hint="eastAsia" w:ascii="宋体" w:hAnsi="宋体" w:eastAsia="宋体" w:cs="宋体"/>
          <w:sz w:val="28"/>
          <w:szCs w:val="28"/>
        </w:rPr>
        <w:t>。</w:t>
      </w:r>
    </w:p>
    <w:p w14:paraId="1799293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4、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1200434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银行支付限额：https://help.jd.com/user/issue/359-1659.html个人/企业参拍流程：https://auction.jd.com/bankrupt.html</w:t>
      </w:r>
    </w:p>
    <w:p w14:paraId="639DD71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在参拍、缴纳保证金过程中，如有疑问，请拨打京东拍卖服务热线：4006229586。</w:t>
      </w:r>
    </w:p>
    <w:p w14:paraId="23B8A06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七</w:t>
      </w:r>
      <w:r>
        <w:rPr>
          <w:rFonts w:hint="eastAsia" w:ascii="宋体" w:hAnsi="宋体" w:eastAsia="宋体" w:cs="宋体"/>
          <w:sz w:val="28"/>
          <w:szCs w:val="28"/>
        </w:rPr>
        <w:t>、税费及其他费用承担</w:t>
      </w:r>
    </w:p>
    <w:p w14:paraId="6A2A23A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竞价成交时，拍卖标的物的各项过户、登记等手续由买受人自行办理并承担相应风险。买受人应当及时办理过户、登记等手续，如买受人怠于办理相应手续导致管理人产生损失的，全部由买受人承担。拍卖标的物具体情况以实物为准，如有违章记录、年检、过户、单证补换、违章处理、相应罚款及停车费、拖车费、修理费、手续费、保险费等所涉及的一切费用均由买受人自行承担。过户提档是否有限制（限牌、环保）的相关事宜请竞买人自行咨询落户地、提档地市车管所。请竞买人实地看车，了解具体情况后慎重决定是否购买，管理人对此不负责任。标的物转让登记所涉及的一切税费及明确的或潜在的一切关联费用均由买受人承担，买受人在竞买前应向所涉</w:t>
      </w:r>
      <w:r>
        <w:rPr>
          <w:rFonts w:hint="eastAsia" w:ascii="宋体" w:hAnsi="宋体" w:eastAsia="宋体" w:cs="宋体"/>
          <w:sz w:val="28"/>
          <w:szCs w:val="28"/>
          <w:lang w:eastAsia="zh-CN"/>
        </w:rPr>
        <w:t>税务</w:t>
      </w:r>
      <w:r>
        <w:rPr>
          <w:rFonts w:hint="eastAsia" w:ascii="宋体" w:hAnsi="宋体" w:eastAsia="宋体" w:cs="宋体"/>
          <w:sz w:val="28"/>
          <w:szCs w:val="28"/>
        </w:rPr>
        <w:t>部门确认成交后应缴纳的税费标准。未明确缴费义务人的费用由买受人承担，具体费用请买受人到相关部门自行咨询。</w:t>
      </w:r>
    </w:p>
    <w:p w14:paraId="30858B3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2、买受人竞买成交后，本标的物存在0.5%</w:t>
      </w:r>
      <w:r>
        <w:rPr>
          <w:rFonts w:hint="eastAsia" w:ascii="宋体" w:hAnsi="宋体" w:eastAsia="宋体" w:cs="宋体"/>
          <w:sz w:val="28"/>
          <w:szCs w:val="28"/>
          <w:lang w:eastAsia="zh-CN"/>
        </w:rPr>
        <w:t>技术服务费</w:t>
      </w:r>
      <w:r>
        <w:rPr>
          <w:rFonts w:hint="eastAsia" w:ascii="宋体" w:hAnsi="宋体" w:eastAsia="宋体" w:cs="宋体"/>
          <w:sz w:val="28"/>
          <w:szCs w:val="28"/>
        </w:rPr>
        <w:t>，由买受人承担，买受人依据该订单支付相关费用。</w:t>
      </w:r>
    </w:p>
    <w:p w14:paraId="7E007BA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上述</w:t>
      </w:r>
      <w:r>
        <w:rPr>
          <w:rFonts w:hint="eastAsia" w:ascii="宋体" w:hAnsi="宋体" w:eastAsia="宋体" w:cs="宋体"/>
          <w:sz w:val="28"/>
          <w:szCs w:val="28"/>
          <w:lang w:eastAsia="zh-CN"/>
        </w:rPr>
        <w:t>技术服务费</w:t>
      </w:r>
      <w:r>
        <w:rPr>
          <w:rFonts w:hint="eastAsia" w:ascii="宋体" w:hAnsi="宋体" w:eastAsia="宋体" w:cs="宋体"/>
          <w:sz w:val="28"/>
          <w:szCs w:val="28"/>
        </w:rPr>
        <w:t>，买受人逾期未全额缴纳的，</w:t>
      </w:r>
      <w:r>
        <w:rPr>
          <w:rFonts w:hint="eastAsia" w:ascii="宋体" w:hAnsi="宋体" w:eastAsia="宋体" w:cs="宋体"/>
          <w:sz w:val="28"/>
          <w:szCs w:val="28"/>
          <w:lang w:eastAsia="zh-CN"/>
        </w:rPr>
        <w:t>京东</w:t>
      </w:r>
      <w:r>
        <w:rPr>
          <w:rFonts w:hint="eastAsia" w:ascii="宋体" w:hAnsi="宋体" w:eastAsia="宋体" w:cs="宋体"/>
          <w:sz w:val="28"/>
          <w:szCs w:val="28"/>
        </w:rPr>
        <w:t>拍卖平台可对其进行依法追缴。</w:t>
      </w:r>
    </w:p>
    <w:p w14:paraId="34D9DEE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3、如买受人在竞买成功后，届时交付拍品可能涉及的因拆卸、搬运等相关费用（包括但不限于搬迁、拆卸、吊装、运输费、安装费、维修费等）及相关安全责任均由买受人自行承担。</w:t>
      </w:r>
    </w:p>
    <w:p w14:paraId="7E15E6B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八</w:t>
      </w:r>
      <w:r>
        <w:rPr>
          <w:rFonts w:hint="eastAsia" w:ascii="宋体" w:hAnsi="宋体" w:eastAsia="宋体" w:cs="宋体"/>
          <w:sz w:val="28"/>
          <w:szCs w:val="28"/>
        </w:rPr>
        <w:t>、拍品交付</w:t>
      </w:r>
    </w:p>
    <w:p w14:paraId="0123063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1、买受人应于付清全部拍卖成交款后5日内（遇节假日顺延）凭付款凭证及相关身份材料到破产管理人处签署拍卖成交确认文件。并在尾款支付后10日内前往标的物所在地办理交割手续。</w:t>
      </w:r>
    </w:p>
    <w:p w14:paraId="2073A4E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未按照前述期限内办理交割手续的，由此产生的全部责任、损失和风险（包括但不限于支付场地费、保管费、标的物损毁或灭失等）由买受人自行负责。若超出前述期限内未办理交割手续视为悔拍，此期间买受人悔拍，除扣除竞价保证金外另从竞价尾款中扣取相应的库管费用。</w:t>
      </w:r>
    </w:p>
    <w:p w14:paraId="0FD2804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2、拍卖成交后，由</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管理人协助买受人到相关主管部门办理产权过户手续，如无特殊情况，人民法院不予出具裁定书和协助执行通知书。</w:t>
      </w:r>
    </w:p>
    <w:p w14:paraId="76FCC5E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九</w:t>
      </w:r>
      <w:r>
        <w:rPr>
          <w:rFonts w:hint="eastAsia" w:ascii="宋体" w:hAnsi="宋体" w:eastAsia="宋体" w:cs="宋体"/>
          <w:sz w:val="28"/>
          <w:szCs w:val="28"/>
        </w:rPr>
        <w:t>、重要提示</w:t>
      </w:r>
    </w:p>
    <w:p w14:paraId="6B36FEA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1、郑重声明：本标的系管理人依法独立履行《中华人民共和国企业破产法》</w:t>
      </w:r>
      <w:r>
        <w:rPr>
          <w:rFonts w:hint="eastAsia" w:ascii="宋体" w:hAnsi="宋体" w:eastAsia="宋体" w:cs="宋体"/>
          <w:sz w:val="28"/>
          <w:szCs w:val="28"/>
          <w:lang w:eastAsia="zh-CN"/>
        </w:rPr>
        <w:t>第二十五条</w:t>
      </w:r>
      <w:r>
        <w:rPr>
          <w:rFonts w:hint="eastAsia" w:ascii="宋体" w:hAnsi="宋体" w:eastAsia="宋体" w:cs="宋体"/>
          <w:sz w:val="28"/>
          <w:szCs w:val="28"/>
        </w:rPr>
        <w:t>第6项的职责在破产强清平台处分债务人财产，并承担相应责任。</w:t>
      </w:r>
    </w:p>
    <w:p w14:paraId="1153CCA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2、竞买人在竞拍前请务必遵照《竞买公告</w:t>
      </w:r>
      <w:r>
        <w:rPr>
          <w:rFonts w:hint="eastAsia" w:ascii="宋体" w:hAnsi="宋体" w:eastAsia="宋体" w:cs="宋体"/>
          <w:sz w:val="28"/>
          <w:szCs w:val="28"/>
          <w:lang w:eastAsia="zh-CN"/>
        </w:rPr>
        <w:t>》《</w:t>
      </w:r>
      <w:r>
        <w:rPr>
          <w:rFonts w:hint="eastAsia" w:ascii="宋体" w:hAnsi="宋体" w:eastAsia="宋体" w:cs="宋体"/>
          <w:sz w:val="28"/>
          <w:szCs w:val="28"/>
        </w:rPr>
        <w:t>竞买须知》及《拍卖标的物调查情况表》要求，进行实地看样、调查标的物信息、了解竞买资质、委托代理及尾款支付方式等内容。如违反相关约定，您的保证金可能会被划扣并产生其他法律责任，请理性参拍。</w:t>
      </w:r>
    </w:p>
    <w:p w14:paraId="585370E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3、拍卖公告所作的情况说明，仅为竞买人参与竞买提供参考，不能作为竞买人判断、权衡价值的最终依据，竞买人根据自身需求可自行调查、了解、核实。此次拍卖标的物状况以标的物现状为准，未尽事宜管理人不承担任何责任。</w:t>
      </w:r>
    </w:p>
    <w:p w14:paraId="5953E34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4、拍卖标的可能还存在尚未被发现及未说明的瑕疵，竞买人应当亲自了解和查验，并自行承担拍卖标的存在尚未被发现及未说明瑕疵的风险。买受人应在亲自了解和查验的基础上，独立判断该权属变更权利人为买受人的手续如何办理，并自行承担无法变更权利人的风险。买受人不得以该标的无法变更权利人或存在其他障碍为由，拒绝履行或不完全履行本次拍卖的任何义务。</w:t>
      </w:r>
    </w:p>
    <w:p w14:paraId="0F5DBA1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特别提示：</w:t>
      </w:r>
    </w:p>
    <w:p w14:paraId="341134B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1、本次拍卖标的物仅为</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名下</w:t>
      </w:r>
      <w:r>
        <w:rPr>
          <w:rFonts w:hint="eastAsia" w:ascii="宋体" w:hAnsi="宋体" w:eastAsia="宋体" w:cs="宋体"/>
          <w:sz w:val="28"/>
          <w:szCs w:val="28"/>
          <w:lang w:eastAsia="zh-CN"/>
        </w:rPr>
        <w:t>车辆</w:t>
      </w:r>
      <w:r>
        <w:rPr>
          <w:rFonts w:hint="eastAsia" w:ascii="宋体" w:hAnsi="宋体" w:eastAsia="宋体" w:cs="宋体"/>
          <w:sz w:val="28"/>
          <w:szCs w:val="28"/>
        </w:rPr>
        <w:t>（不包含车牌），按实物现状交付为准。</w:t>
      </w:r>
    </w:p>
    <w:p w14:paraId="1EE2529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2、标的物状况以标的物的现状、数量、质量、型号及使用状态等以拍卖成交后移交时的现状、数量、质量、型号及使用状态等为准。若标的物交付时与拍卖公告载明的现状、数量、质量、型号及使用状态等有出入，拍卖成交价不作调整。管理人不承担本标的物瑕疵保证。拍卖标的物其他隐性的信息或损失管理人无法查知，具体以实物及实际情况为准。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w:t>
      </w:r>
    </w:p>
    <w:p w14:paraId="3D433F7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本次网络竞价所涉标的物已知的标的物属性、质押等情况已经公示，买受人需自行承担标的物存在的全部权利瑕疵风险及其他未知相关风险，如应充分考虑解除质押等所需时间对标的物交付可能产生的影响并自行承担相关风险。如果因标的物存在权利瑕疵或其他原因导致交易行为无法顺利完成的，管理人与网络竞价平台不承担任何责任。对于已经公示披露的权利瑕疵及风险，竞买人仍参与竞买则视为对本标的物权利瑕疵及风险的确认，责任自负。</w:t>
      </w:r>
    </w:p>
    <w:p w14:paraId="2ACAF4E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、与本标的物有利害关系的人可参加竞拍，不参加竞拍的请关注本次拍卖活动的整个过程。</w:t>
      </w:r>
    </w:p>
    <w:p w14:paraId="461F81D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该材料仅为竞价成功确认书，非《拍卖成交确认书》。</w:t>
      </w:r>
    </w:p>
    <w:p w14:paraId="2001C60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、竞买过程中及竞买后严格按照本公告及其他相关文件履行相应义务。如竞买人不严格履行或存在违约的，管理人有权要求竞买人继续履行，或者对竞买标的进行重新拍卖等，竞买人完全知悉且无任何异议。</w:t>
      </w:r>
    </w:p>
    <w:p w14:paraId="6D2FA72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十、管理人根据法律规定有权在拍卖开始前中止拍卖或撤回拍卖。</w:t>
      </w:r>
    </w:p>
    <w:p w14:paraId="4DE7FA3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拍卖成交后买受人悔拍（包括但不限于买受人未在拍卖成交后规定时间内将拍卖成交全部余款缴入指定账户，以及买受人明示或暗示其悔拍等情形）的，管理人可重新委托拍卖，买受人交纳的保证金不予退还。重新拍卖的成交价低于原拍卖成交价造成的差价、费用损失（包括但不限于因此而增加产生的场地费、保管费等），均由原买受人承担，管理人直接从原买受人交纳的保证金中扣除。扣除后保证金有剩余的，剩余部分将纳入破产财产范围，</w:t>
      </w:r>
      <w:r>
        <w:rPr>
          <w:rFonts w:hint="eastAsia" w:ascii="宋体" w:hAnsi="宋体" w:eastAsia="宋体" w:cs="宋体"/>
          <w:sz w:val="28"/>
          <w:szCs w:val="28"/>
          <w:lang w:eastAsia="zh-CN"/>
        </w:rPr>
        <w:t>依法定程序</w:t>
      </w:r>
      <w:r>
        <w:rPr>
          <w:rFonts w:hint="eastAsia" w:ascii="宋体" w:hAnsi="宋体" w:eastAsia="宋体" w:cs="宋体"/>
          <w:sz w:val="28"/>
          <w:szCs w:val="28"/>
        </w:rPr>
        <w:t>进行清偿；保证金数额不足的，管理人有权责令原买受人补交，拒不补交的，管理人有权提起诉讼。重新拍卖时，原买受人不得参加竞买。</w:t>
      </w:r>
    </w:p>
    <w:p w14:paraId="39356B9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val="en-US" w:eastAsia="zh-CN"/>
        </w:rPr>
        <w:t>一</w:t>
      </w:r>
      <w:r>
        <w:rPr>
          <w:rFonts w:hint="eastAsia" w:ascii="宋体" w:hAnsi="宋体" w:eastAsia="宋体" w:cs="宋体"/>
          <w:sz w:val="28"/>
          <w:szCs w:val="28"/>
        </w:rPr>
        <w:t>、竞买人应当遵守拍卖规定，不得阻挠其他竞买人竞拍，不得操纵、垄断竞拍价格，严禁竞买人恶意串标，上述行为一经发现，将取消其竞买资格，并追究相关的法律责任。</w:t>
      </w:r>
    </w:p>
    <w:p w14:paraId="1EF6858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val="en-US" w:eastAsia="zh-CN"/>
        </w:rPr>
        <w:t>二</w:t>
      </w:r>
      <w:r>
        <w:rPr>
          <w:rFonts w:hint="eastAsia" w:ascii="宋体" w:hAnsi="宋体" w:eastAsia="宋体" w:cs="宋体"/>
          <w:sz w:val="28"/>
          <w:szCs w:val="28"/>
        </w:rPr>
        <w:t>、竞买人在拍卖竞价前请务必再仔细阅读《竞买公告》《竞买须知》《拍卖标的物调查情况表》。</w:t>
      </w:r>
    </w:p>
    <w:p w14:paraId="72B955B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val="en-US" w:eastAsia="zh-CN"/>
        </w:rPr>
        <w:t>三</w:t>
      </w:r>
      <w:r>
        <w:rPr>
          <w:rFonts w:hint="eastAsia" w:ascii="宋体" w:hAnsi="宋体" w:eastAsia="宋体" w:cs="宋体"/>
          <w:sz w:val="28"/>
          <w:szCs w:val="28"/>
        </w:rPr>
        <w:t>、本标的物披露的公告信息包括但不限于拍卖价格错误、公示日期、账户信息、瑕疵披露等其他信息如有误的，管理人有权在竞价结束后、交付资产前做出悔拍处理，竞买人参与拍卖中所涉及已缴纳的拍卖费用（</w:t>
      </w:r>
      <w:r>
        <w:rPr>
          <w:rFonts w:hint="eastAsia" w:ascii="宋体" w:hAnsi="宋体" w:eastAsia="宋体" w:cs="宋体"/>
          <w:sz w:val="28"/>
          <w:szCs w:val="28"/>
          <w:lang w:eastAsia="zh-CN"/>
        </w:rPr>
        <w:t>技术服务费</w:t>
      </w:r>
      <w:r>
        <w:rPr>
          <w:rFonts w:hint="eastAsia" w:ascii="宋体" w:hAnsi="宋体" w:eastAsia="宋体" w:cs="宋体"/>
          <w:sz w:val="28"/>
          <w:szCs w:val="28"/>
        </w:rPr>
        <w:t>、拍卖保证金、拍卖尾款）管理人将无计息全额退还至竞买人账户。参与本标的物竞价行为的竞买人即默认上述条款。</w:t>
      </w:r>
    </w:p>
    <w:p w14:paraId="079C1E5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val="en-US" w:eastAsia="zh-CN"/>
        </w:rPr>
        <w:t>四</w:t>
      </w:r>
      <w:r>
        <w:rPr>
          <w:rFonts w:hint="eastAsia" w:ascii="宋体" w:hAnsi="宋体" w:eastAsia="宋体" w:cs="宋体"/>
          <w:sz w:val="28"/>
          <w:szCs w:val="28"/>
        </w:rPr>
        <w:t>、凡发现拍卖中有违规行为，可如实举报。破产案件监督单位：</w:t>
      </w:r>
      <w:r>
        <w:rPr>
          <w:rFonts w:hint="eastAsia" w:ascii="宋体" w:hAnsi="宋体" w:eastAsia="宋体" w:cs="宋体"/>
          <w:sz w:val="28"/>
          <w:szCs w:val="28"/>
          <w:lang w:eastAsia="zh-CN"/>
        </w:rPr>
        <w:t>济源市人民法院</w:t>
      </w:r>
      <w:r>
        <w:rPr>
          <w:rFonts w:hint="eastAsia" w:ascii="宋体" w:hAnsi="宋体" w:eastAsia="宋体" w:cs="宋体"/>
          <w:sz w:val="28"/>
          <w:szCs w:val="28"/>
        </w:rPr>
        <w:t>。</w:t>
      </w:r>
    </w:p>
    <w:p w14:paraId="1B7AC27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咨询看样：孙律师13137161956/马律师18272727316。</w:t>
      </w:r>
    </w:p>
    <w:p w14:paraId="4E8C3D9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eastAsia="zh-CN"/>
        </w:rPr>
        <w:t>京东</w:t>
      </w:r>
      <w:r>
        <w:rPr>
          <w:rFonts w:hint="eastAsia" w:ascii="宋体" w:hAnsi="宋体" w:eastAsia="宋体" w:cs="宋体"/>
          <w:sz w:val="28"/>
          <w:szCs w:val="28"/>
        </w:rPr>
        <w:t>技术咨询：</w:t>
      </w:r>
      <w:r>
        <w:rPr>
          <w:rFonts w:hint="eastAsia" w:ascii="宋体" w:hAnsi="宋体" w:eastAsia="宋体" w:cs="宋体"/>
          <w:sz w:val="28"/>
          <w:szCs w:val="28"/>
          <w:lang w:eastAsia="zh-CN"/>
        </w:rPr>
        <w:t>400-622-9586</w:t>
      </w:r>
      <w:r>
        <w:rPr>
          <w:rFonts w:hint="eastAsia" w:ascii="宋体" w:hAnsi="宋体" w:eastAsia="宋体" w:cs="宋体"/>
          <w:sz w:val="28"/>
          <w:szCs w:val="28"/>
        </w:rPr>
        <w:t>。</w:t>
      </w:r>
    </w:p>
    <w:p w14:paraId="5F9CDA4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本公告未尽事宜，请向管理人咨询，管理人具有最终解释权。</w:t>
      </w:r>
    </w:p>
    <w:p w14:paraId="3543739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eastAsia="zh-CN"/>
        </w:rPr>
      </w:pPr>
    </w:p>
    <w:p w14:paraId="5AFCD85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宋体" w:hAnsi="宋体" w:eastAsia="宋体" w:cs="宋体"/>
          <w:sz w:val="28"/>
          <w:szCs w:val="28"/>
        </w:rPr>
      </w:pP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w:t>
      </w:r>
    </w:p>
    <w:p w14:paraId="4ED92A8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宋体" w:hAnsi="宋体" w:eastAsia="宋体" w:cs="宋体"/>
          <w:color w:val="FF0000"/>
          <w:sz w:val="28"/>
          <w:szCs w:val="28"/>
        </w:rPr>
      </w:pPr>
      <w:r>
        <w:rPr>
          <w:rFonts w:hint="eastAsia" w:ascii="宋体" w:hAnsi="宋体" w:eastAsia="宋体" w:cs="宋体"/>
          <w:color w:val="FF0000"/>
          <w:sz w:val="28"/>
          <w:szCs w:val="28"/>
        </w:rPr>
        <w:t>2025年</w:t>
      </w:r>
      <w:r>
        <w:rPr>
          <w:rFonts w:hint="eastAsia" w:ascii="宋体" w:hAnsi="宋体" w:eastAsia="宋体" w:cs="宋体"/>
          <w:color w:val="FF0000"/>
          <w:sz w:val="28"/>
          <w:szCs w:val="28"/>
          <w:lang w:val="en-US" w:eastAsia="zh-CN"/>
        </w:rPr>
        <w:t>9</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22</w:t>
      </w:r>
      <w:r>
        <w:rPr>
          <w:rFonts w:hint="eastAsia" w:ascii="宋体" w:hAnsi="宋体" w:eastAsia="宋体" w:cs="宋体"/>
          <w:color w:val="FF0000"/>
          <w:sz w:val="28"/>
          <w:szCs w:val="28"/>
        </w:rPr>
        <w:t>日</w:t>
      </w:r>
    </w:p>
    <w:p w14:paraId="6F4699B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lang w:val="en-US" w:eastAsia="zh-CN"/>
        </w:rPr>
      </w:pPr>
    </w:p>
    <w:p w14:paraId="1E60DD0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44"/>
          <w:szCs w:val="44"/>
          <w:lang w:val="en-US" w:eastAsia="zh-CN"/>
        </w:rPr>
      </w:pPr>
    </w:p>
    <w:p w14:paraId="192DA78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44"/>
          <w:szCs w:val="44"/>
          <w:lang w:val="en-US" w:eastAsia="zh-CN"/>
        </w:rPr>
      </w:pPr>
    </w:p>
    <w:p w14:paraId="10C9130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val="en-US" w:eastAsia="zh-CN"/>
        </w:rPr>
        <w:t>竞买须知</w:t>
      </w:r>
    </w:p>
    <w:p w14:paraId="47792D9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hint="default" w:ascii="宋体" w:hAnsi="宋体" w:eastAsia="宋体" w:cs="宋体"/>
          <w:sz w:val="28"/>
          <w:szCs w:val="28"/>
          <w:lang w:val="en-US" w:eastAsia="zh-CN"/>
        </w:rPr>
        <w:t> </w:t>
      </w:r>
    </w:p>
    <w:p w14:paraId="4E10469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w:t>
      </w:r>
      <w:bookmarkStart w:id="0" w:name="_GoBack"/>
      <w:bookmarkEnd w:id="0"/>
      <w:r>
        <w:rPr>
          <w:rFonts w:hint="eastAsia" w:ascii="宋体" w:hAnsi="宋体" w:eastAsia="宋体" w:cs="宋体"/>
          <w:sz w:val="28"/>
          <w:szCs w:val="28"/>
        </w:rPr>
        <w:t>将于</w:t>
      </w:r>
      <w:r>
        <w:rPr>
          <w:rFonts w:hint="eastAsia" w:ascii="宋体" w:hAnsi="宋体" w:eastAsia="宋体" w:cs="宋体"/>
          <w:color w:val="FF0000"/>
          <w:sz w:val="28"/>
          <w:szCs w:val="28"/>
        </w:rPr>
        <w:t>2025年</w:t>
      </w:r>
      <w:r>
        <w:rPr>
          <w:rFonts w:hint="eastAsia" w:ascii="宋体" w:hAnsi="宋体" w:eastAsia="宋体" w:cs="宋体"/>
          <w:color w:val="FF0000"/>
          <w:sz w:val="28"/>
          <w:szCs w:val="28"/>
          <w:lang w:val="en-US" w:eastAsia="zh-CN"/>
        </w:rPr>
        <w:t>9</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30</w:t>
      </w:r>
      <w:r>
        <w:rPr>
          <w:rFonts w:hint="eastAsia" w:ascii="宋体" w:hAnsi="宋体" w:eastAsia="宋体" w:cs="宋体"/>
          <w:color w:val="FF0000"/>
          <w:sz w:val="28"/>
          <w:szCs w:val="28"/>
        </w:rPr>
        <w:t>日10时至2025年</w:t>
      </w:r>
      <w:r>
        <w:rPr>
          <w:rFonts w:hint="eastAsia" w:ascii="宋体" w:hAnsi="宋体" w:eastAsia="宋体" w:cs="宋体"/>
          <w:color w:val="FF0000"/>
          <w:sz w:val="28"/>
          <w:szCs w:val="28"/>
          <w:lang w:val="en-US" w:eastAsia="zh-CN"/>
        </w:rPr>
        <w:t>10</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1</w:t>
      </w:r>
      <w:r>
        <w:rPr>
          <w:rFonts w:hint="eastAsia" w:ascii="宋体" w:hAnsi="宋体" w:eastAsia="宋体" w:cs="宋体"/>
          <w:color w:val="FF0000"/>
          <w:sz w:val="28"/>
          <w:szCs w:val="28"/>
        </w:rPr>
        <w:t>日10时止</w:t>
      </w:r>
      <w:r>
        <w:rPr>
          <w:rFonts w:hint="eastAsia" w:ascii="宋体" w:hAnsi="宋体" w:eastAsia="宋体" w:cs="宋体"/>
          <w:sz w:val="28"/>
          <w:szCs w:val="28"/>
        </w:rPr>
        <w:t>（延时除外）在</w:t>
      </w:r>
      <w:r>
        <w:rPr>
          <w:rFonts w:hint="eastAsia" w:ascii="宋体" w:hAnsi="宋体" w:eastAsia="宋体" w:cs="宋体"/>
          <w:sz w:val="28"/>
          <w:szCs w:val="28"/>
          <w:lang w:eastAsia="zh-CN"/>
        </w:rPr>
        <w:t>京东拍卖破产强清平台</w:t>
      </w:r>
      <w:r>
        <w:rPr>
          <w:rFonts w:hint="eastAsia" w:ascii="宋体" w:hAnsi="宋体" w:eastAsia="宋体" w:cs="宋体"/>
          <w:sz w:val="28"/>
          <w:szCs w:val="28"/>
        </w:rPr>
        <w:t>进行公开拍卖活动（网址：</w:t>
      </w:r>
      <w:r>
        <w:rPr>
          <w:rFonts w:hint="eastAsia" w:ascii="宋体" w:hAnsi="宋体" w:eastAsia="宋体" w:cs="宋体"/>
          <w:sz w:val="28"/>
          <w:szCs w:val="28"/>
          <w:lang w:eastAsia="zh-CN"/>
        </w:rPr>
        <w:t>https://auction.jd.com/bankrupt.html</w:t>
      </w:r>
      <w:r>
        <w:rPr>
          <w:rFonts w:hint="eastAsia" w:ascii="宋体" w:hAnsi="宋体" w:eastAsia="宋体" w:cs="宋体"/>
          <w:sz w:val="28"/>
          <w:szCs w:val="28"/>
        </w:rPr>
        <w:t>），现就网上拍卖有关事宜敬告各位竞买人：</w:t>
      </w:r>
    </w:p>
    <w:p w14:paraId="75168F4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一、本《竞买须知》根据最高人民法院《</w:t>
      </w:r>
      <w:r>
        <w:rPr>
          <w:rFonts w:hint="eastAsia" w:ascii="宋体" w:hAnsi="宋体" w:eastAsia="宋体" w:cs="宋体"/>
          <w:sz w:val="28"/>
          <w:szCs w:val="28"/>
          <w:lang w:eastAsia="zh-CN"/>
        </w:rPr>
        <w:t>最高人民法院关于人民法院网络司法拍卖若干问题的规定</w:t>
      </w:r>
      <w:r>
        <w:rPr>
          <w:rFonts w:hint="eastAsia" w:ascii="宋体" w:hAnsi="宋体" w:eastAsia="宋体" w:cs="宋体"/>
          <w:sz w:val="28"/>
          <w:szCs w:val="28"/>
        </w:rPr>
        <w:t>》【法释</w:t>
      </w:r>
      <w:r>
        <w:rPr>
          <w:rFonts w:hint="eastAsia" w:ascii="宋体" w:hAnsi="宋体" w:eastAsia="宋体" w:cs="宋体"/>
          <w:sz w:val="28"/>
          <w:szCs w:val="28"/>
          <w:lang w:eastAsia="zh-CN"/>
        </w:rPr>
        <w:t>〔2016〕18号</w:t>
      </w:r>
      <w:r>
        <w:rPr>
          <w:rFonts w:hint="eastAsia" w:ascii="宋体" w:hAnsi="宋体" w:eastAsia="宋体" w:cs="宋体"/>
          <w:sz w:val="28"/>
          <w:szCs w:val="28"/>
        </w:rPr>
        <w:t>】等相关法律规定所制订，竞买人应认真仔细阅读，了解本须知的全部内容。</w:t>
      </w:r>
    </w:p>
    <w:p w14:paraId="766BDC2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二、本次拍卖活动遵循“公开、公平、公正、诚实守信”的原则，拍卖活动具备法律效力。参加本次拍卖活动的竞买人必须遵守本须知的各项条款，并对自己的行为承担法律责任。</w:t>
      </w:r>
    </w:p>
    <w:p w14:paraId="4F39E9B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 </w:t>
      </w:r>
    </w:p>
    <w:p w14:paraId="50E0725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四、优先购买权人参加竞买的应于竞价活动开始前三个工作日向管理人提交合法有效的证明，资格经管理人确认并添加至破产强清平台后台系统后才能参与竞买，逾期不提交的，视为放弃对本标的物享有优先购买权。</w:t>
      </w:r>
    </w:p>
    <w:p w14:paraId="14531BA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五、与本标的物有利害关系的当事人可参加竞拍，不参加竞拍的请关注本次拍卖活动的整个过程。</w:t>
      </w:r>
    </w:p>
    <w:p w14:paraId="2E097AB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六、本次拍卖活动设置延时出价功能，在拍卖活动结束前，最后5分钟如果有竞买人出价，就自动延迟5分钟。</w:t>
      </w:r>
    </w:p>
    <w:p w14:paraId="28BB13A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七、拍卖成交的，本标的物竞得者（又称“买受人”）原冻结的保证金将在买受人支付</w:t>
      </w:r>
      <w:r>
        <w:rPr>
          <w:rFonts w:hint="eastAsia" w:ascii="宋体" w:hAnsi="宋体" w:eastAsia="宋体" w:cs="宋体"/>
          <w:sz w:val="28"/>
          <w:szCs w:val="28"/>
          <w:lang w:eastAsia="zh-CN"/>
        </w:rPr>
        <w:t>技术服务费</w:t>
      </w:r>
      <w:r>
        <w:rPr>
          <w:rFonts w:hint="eastAsia" w:ascii="宋体" w:hAnsi="宋体" w:eastAsia="宋体" w:cs="宋体"/>
          <w:sz w:val="28"/>
          <w:szCs w:val="28"/>
        </w:rPr>
        <w:t>以后的24小时以内自动转入指定账户冲抵价款，其他竞买人的保证金在拍卖后即时解冻。拍卖未成交的（即流拍的），竞买人的保证金在拍卖活动结束后即时解冻，保证金冻结期间不计利息。</w:t>
      </w:r>
    </w:p>
    <w:p w14:paraId="17431DC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help.jd.com/user/issue/359-1659.html。</w:t>
      </w:r>
    </w:p>
    <w:p w14:paraId="05AB36D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八、请买受人于付清全部拍卖成交款后5个工作日内（遇节假日顺延）主动与管理人取得联系以确认相关事项。</w:t>
      </w:r>
    </w:p>
    <w:p w14:paraId="41020AB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九、买受人在按要求缴纳全部拍卖款后应及时签署成交相关文件，并由管理人协助办理交接手续，逾期不办理的，将承担本标的物可能发生的损毁、灭失等后果。能否办理交接手续及办理交付手续的时间请竞买人在竞买前自行到相关部门咨询确认，标的物现状及存在瑕疵等原因不能或者延迟办理交付手续造成的费用增加的后果自负，管理人不作交付的任何承诺。</w:t>
      </w:r>
    </w:p>
    <w:p w14:paraId="6D60A17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十、本次拍卖活动计价货币为人民币，拍卖时的起拍价、成交价均不含买受人在拍卖标的物交付、过户时所发生的费用和税费。</w:t>
      </w:r>
    </w:p>
    <w:p w14:paraId="7144CE9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十一、管理人根据法律规定有权在拍卖开始前中止拍卖或撤回拍卖。</w:t>
      </w:r>
    </w:p>
    <w:p w14:paraId="2C7231C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十二、为便于买受人及时收到拍卖相关的文书，竞买人在拍卖竞价前如实向</w:t>
      </w:r>
      <w:r>
        <w:rPr>
          <w:rFonts w:hint="eastAsia" w:ascii="宋体" w:hAnsi="宋体" w:eastAsia="宋体" w:cs="宋体"/>
          <w:sz w:val="28"/>
          <w:szCs w:val="28"/>
          <w:lang w:eastAsia="zh-CN"/>
        </w:rPr>
        <w:t>京东</w:t>
      </w:r>
      <w:r>
        <w:rPr>
          <w:rFonts w:hint="eastAsia" w:ascii="宋体" w:hAnsi="宋体" w:eastAsia="宋体" w:cs="宋体"/>
          <w:sz w:val="28"/>
          <w:szCs w:val="28"/>
          <w:lang w:val="en-US" w:eastAsia="zh-CN"/>
        </w:rPr>
        <w:t>破产</w:t>
      </w:r>
      <w:r>
        <w:rPr>
          <w:rFonts w:hint="eastAsia" w:ascii="宋体" w:hAnsi="宋体" w:eastAsia="宋体" w:cs="宋体"/>
          <w:sz w:val="28"/>
          <w:szCs w:val="28"/>
        </w:rPr>
        <w:t>拍卖网络平台提供确切的送达地址或者主动与管理人联系。如需更改地址，买受人应及时与管理人联系确认更改。因提供的送达地址不确切，或未及时告知变更地址，导致有关法律文书无法送达的，由竞买人自行承担由此可能产生的法律后果。</w:t>
      </w:r>
    </w:p>
    <w:p w14:paraId="10C45F4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三、标的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59619AE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四、本标的物披露的公告信息包括但不限于拍卖价格错误、公示日期、账户信息、瑕疵披露等其他信息如有误的，管理人有权在竞价结束后、交付资产前做出悔拍处理，竞买人参与拍卖中所涉及已缴纳的拍卖费用（</w:t>
      </w:r>
      <w:r>
        <w:rPr>
          <w:rFonts w:hint="eastAsia" w:ascii="宋体" w:hAnsi="宋体" w:eastAsia="宋体" w:cs="宋体"/>
          <w:sz w:val="28"/>
          <w:szCs w:val="28"/>
          <w:lang w:eastAsia="zh-CN"/>
        </w:rPr>
        <w:t>技术服务费</w:t>
      </w:r>
      <w:r>
        <w:rPr>
          <w:rFonts w:hint="eastAsia" w:ascii="宋体" w:hAnsi="宋体" w:eastAsia="宋体" w:cs="宋体"/>
          <w:sz w:val="28"/>
          <w:szCs w:val="28"/>
        </w:rPr>
        <w:t>、拍卖保证金、拍卖尾款）管理人将无计息全额退还至竞买人账户。参与本标的物竞价行为的竞买人即默认上述条款。</w:t>
      </w:r>
    </w:p>
    <w:p w14:paraId="698F1C8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十五、凡发现拍卖中有违规行为，可如实举报。破产案件监督单位：</w:t>
      </w:r>
      <w:r>
        <w:rPr>
          <w:rFonts w:hint="eastAsia" w:ascii="宋体" w:hAnsi="宋体" w:eastAsia="宋体" w:cs="宋体"/>
          <w:sz w:val="28"/>
          <w:szCs w:val="28"/>
          <w:lang w:eastAsia="zh-CN"/>
        </w:rPr>
        <w:t>济源市人民法院</w:t>
      </w:r>
      <w:r>
        <w:rPr>
          <w:rFonts w:hint="eastAsia" w:ascii="宋体" w:hAnsi="宋体" w:eastAsia="宋体" w:cs="宋体"/>
          <w:sz w:val="28"/>
          <w:szCs w:val="28"/>
        </w:rPr>
        <w:t>。</w:t>
      </w:r>
    </w:p>
    <w:p w14:paraId="03F0C2D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咨询看样：孙律师13137161956/马律师18272727316。</w:t>
      </w:r>
    </w:p>
    <w:p w14:paraId="4CF98AB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lang w:eastAsia="zh-CN"/>
        </w:rPr>
        <w:t>京东</w:t>
      </w:r>
      <w:r>
        <w:rPr>
          <w:rFonts w:hint="eastAsia" w:ascii="宋体" w:hAnsi="宋体" w:eastAsia="宋体" w:cs="宋体"/>
          <w:sz w:val="28"/>
          <w:szCs w:val="28"/>
        </w:rPr>
        <w:t>技术咨询：</w:t>
      </w:r>
      <w:r>
        <w:rPr>
          <w:rFonts w:hint="eastAsia" w:ascii="宋体" w:hAnsi="宋体" w:eastAsia="宋体" w:cs="宋体"/>
          <w:sz w:val="28"/>
          <w:szCs w:val="28"/>
          <w:lang w:eastAsia="zh-CN"/>
        </w:rPr>
        <w:t>400-622-9586</w:t>
      </w:r>
      <w:r>
        <w:rPr>
          <w:rFonts w:hint="eastAsia" w:ascii="宋体" w:hAnsi="宋体" w:eastAsia="宋体" w:cs="宋体"/>
          <w:sz w:val="28"/>
          <w:szCs w:val="28"/>
        </w:rPr>
        <w:t>。</w:t>
      </w:r>
    </w:p>
    <w:p w14:paraId="480657D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本公告未尽事宜，请向管理人咨询，管理人具有最终解释权。 </w:t>
      </w:r>
    </w:p>
    <w:p w14:paraId="1A2B9C9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 </w:t>
      </w:r>
    </w:p>
    <w:p w14:paraId="235C8AE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 </w:t>
      </w:r>
    </w:p>
    <w:p w14:paraId="07A67C4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 </w:t>
      </w:r>
    </w:p>
    <w:p w14:paraId="252F095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rPr>
        <w:t> </w:t>
      </w:r>
    </w:p>
    <w:p w14:paraId="1A7ECB42">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宋体" w:hAnsi="宋体" w:eastAsia="宋体" w:cs="宋体"/>
          <w:sz w:val="28"/>
          <w:szCs w:val="28"/>
        </w:rPr>
      </w:pP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管理人</w:t>
      </w:r>
    </w:p>
    <w:p w14:paraId="141316E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宋体" w:hAnsi="宋体" w:eastAsia="宋体" w:cs="宋体"/>
          <w:sz w:val="28"/>
          <w:szCs w:val="28"/>
        </w:rPr>
      </w:pPr>
      <w:r>
        <w:rPr>
          <w:rFonts w:hint="eastAsia" w:ascii="宋体" w:hAnsi="宋体" w:eastAsia="宋体" w:cs="宋体"/>
          <w:color w:val="FF0000"/>
          <w:sz w:val="28"/>
          <w:szCs w:val="28"/>
        </w:rPr>
        <w:t>2025年</w:t>
      </w:r>
      <w:r>
        <w:rPr>
          <w:rFonts w:hint="eastAsia" w:ascii="宋体" w:hAnsi="宋体" w:eastAsia="宋体" w:cs="宋体"/>
          <w:color w:val="FF0000"/>
          <w:sz w:val="28"/>
          <w:szCs w:val="28"/>
          <w:lang w:val="en-US" w:eastAsia="zh-CN"/>
        </w:rPr>
        <w:t>9</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22</w:t>
      </w:r>
      <w:r>
        <w:rPr>
          <w:rFonts w:hint="eastAsia" w:ascii="宋体" w:hAnsi="宋体" w:eastAsia="宋体" w:cs="宋体"/>
          <w:color w:val="FF0000"/>
          <w:sz w:val="28"/>
          <w:szCs w:val="28"/>
        </w:rPr>
        <w:t>日</w:t>
      </w:r>
    </w:p>
    <w:p w14:paraId="3FCDB93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4A7F722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704E7DA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730FE55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684EF80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6B9CC9A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455F971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4B1030F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p>
    <w:p w14:paraId="184CE68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sz w:val="44"/>
          <w:szCs w:val="44"/>
        </w:rPr>
      </w:pPr>
    </w:p>
    <w:p w14:paraId="789088E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sz w:val="44"/>
          <w:szCs w:val="44"/>
        </w:rPr>
      </w:pPr>
      <w:r>
        <w:rPr>
          <w:rFonts w:ascii="宋体" w:hAnsi="宋体" w:eastAsia="宋体" w:cs="宋体"/>
          <w:b/>
          <w:bCs/>
          <w:sz w:val="44"/>
          <w:szCs w:val="44"/>
        </w:rPr>
        <w:t>标的物介绍</w:t>
      </w:r>
    </w:p>
    <w:p w14:paraId="47B057F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ascii="宋体" w:hAnsi="宋体" w:eastAsia="宋体" w:cs="宋体"/>
          <w:sz w:val="28"/>
          <w:szCs w:val="28"/>
        </w:rPr>
        <w:t>标的为</w:t>
      </w:r>
      <w:r>
        <w:rPr>
          <w:rFonts w:hint="eastAsia" w:ascii="宋体" w:hAnsi="宋体" w:eastAsia="宋体" w:cs="宋体"/>
          <w:sz w:val="28"/>
          <w:szCs w:val="28"/>
          <w:lang w:eastAsia="zh-CN"/>
        </w:rPr>
        <w:t>河南新兴木塑科技有限公司</w:t>
      </w:r>
      <w:r>
        <w:rPr>
          <w:rFonts w:hint="eastAsia" w:ascii="宋体" w:hAnsi="宋体" w:eastAsia="宋体" w:cs="宋体"/>
          <w:sz w:val="28"/>
          <w:szCs w:val="28"/>
        </w:rPr>
        <w:t>拟破产清算涉及的资产，具体为</w:t>
      </w:r>
      <w:r>
        <w:rPr>
          <w:rFonts w:hint="eastAsia" w:ascii="宋体" w:hAnsi="宋体" w:eastAsia="宋体" w:cs="宋体"/>
          <w:sz w:val="28"/>
          <w:szCs w:val="28"/>
          <w:lang w:eastAsia="zh-CN"/>
        </w:rPr>
        <w:t>车辆</w:t>
      </w:r>
      <w:r>
        <w:rPr>
          <w:rFonts w:hint="eastAsia" w:ascii="宋体" w:hAnsi="宋体" w:eastAsia="宋体" w:cs="宋体"/>
          <w:sz w:val="28"/>
          <w:szCs w:val="28"/>
        </w:rPr>
        <w:t>（不包含车牌）。</w:t>
      </w:r>
    </w:p>
    <w:p w14:paraId="0F3A86D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sz w:val="28"/>
          <w:szCs w:val="28"/>
        </w:rPr>
      </w:pPr>
      <w:r>
        <w:rPr>
          <w:rFonts w:hint="eastAsia" w:ascii="宋体" w:hAnsi="宋体" w:eastAsia="宋体" w:cs="宋体"/>
          <w:sz w:val="28"/>
          <w:szCs w:val="28"/>
          <w:lang w:eastAsia="zh-CN"/>
        </w:rPr>
        <w:t>详情</w:t>
      </w:r>
      <w:r>
        <w:rPr>
          <w:rFonts w:hint="eastAsia" w:ascii="宋体" w:hAnsi="宋体" w:eastAsia="宋体" w:cs="宋体"/>
          <w:sz w:val="28"/>
          <w:szCs w:val="28"/>
        </w:rPr>
        <w:t>见下表：</w:t>
      </w:r>
    </w:p>
    <w:tbl>
      <w:tblPr>
        <w:tblStyle w:val="3"/>
        <w:tblW w:w="8400" w:type="dxa"/>
        <w:jc w:val="center"/>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34"/>
        <w:gridCol w:w="859"/>
        <w:gridCol w:w="6407"/>
      </w:tblGrid>
      <w:tr w14:paraId="26CB4592">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84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F17E778">
            <w:pPr>
              <w:jc w:val="center"/>
              <w:rPr>
                <w:rFonts w:hint="eastAsia" w:ascii="宋体" w:hAnsi="宋体" w:eastAsia="宋体" w:cs="宋体"/>
              </w:rPr>
            </w:pPr>
            <w:r>
              <w:rPr>
                <w:rFonts w:hint="eastAsia" w:ascii="宋体" w:hAnsi="宋体" w:eastAsia="宋体" w:cs="宋体"/>
              </w:rPr>
              <w:t>标的物调查表</w:t>
            </w:r>
          </w:p>
        </w:tc>
      </w:tr>
      <w:tr w14:paraId="26644B01">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2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017714C">
            <w:pPr>
              <w:rPr>
                <w:rFonts w:hint="eastAsia" w:ascii="宋体" w:hAnsi="宋体" w:eastAsia="宋体" w:cs="宋体"/>
              </w:rPr>
            </w:pPr>
            <w:r>
              <w:rPr>
                <w:rFonts w:hint="eastAsia" w:ascii="宋体" w:hAnsi="宋体" w:eastAsia="宋体" w:cs="宋体"/>
              </w:rPr>
              <w:t>标的名称</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FC6CA80">
            <w:pPr>
              <w:rPr>
                <w:rFonts w:hint="eastAsia" w:ascii="宋体" w:hAnsi="宋体" w:eastAsia="宋体" w:cs="宋体"/>
                <w:lang w:eastAsia="zh-CN"/>
              </w:rPr>
            </w:pPr>
            <w:r>
              <w:rPr>
                <w:rFonts w:hint="eastAsia" w:ascii="宋体" w:hAnsi="宋体" w:eastAsia="宋体" w:cs="宋体"/>
                <w:lang w:eastAsia="zh-CN"/>
              </w:rPr>
              <w:t>河南新兴木塑科技有限公司</w:t>
            </w:r>
            <w:r>
              <w:rPr>
                <w:rFonts w:hint="eastAsia" w:ascii="宋体" w:hAnsi="宋体" w:eastAsia="宋体" w:cs="宋体"/>
              </w:rPr>
              <w:t>名下</w:t>
            </w:r>
            <w:r>
              <w:rPr>
                <w:rFonts w:hint="eastAsia" w:ascii="宋体" w:hAnsi="宋体" w:eastAsia="宋体" w:cs="宋体"/>
                <w:lang w:eastAsia="zh-CN"/>
              </w:rPr>
              <w:t>车辆（不包含车牌）</w:t>
            </w:r>
          </w:p>
        </w:tc>
      </w:tr>
      <w:tr w14:paraId="11B9CCB4">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4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6EB17C6">
            <w:pPr>
              <w:jc w:val="center"/>
              <w:rPr>
                <w:rFonts w:hint="default" w:ascii="宋体" w:hAnsi="宋体" w:eastAsia="宋体" w:cs="宋体"/>
                <w:lang w:val="en-US" w:eastAsia="zh-CN"/>
              </w:rPr>
            </w:pPr>
            <w:r>
              <w:rPr>
                <w:rFonts w:hint="eastAsia" w:ascii="宋体" w:hAnsi="宋体" w:eastAsia="宋体" w:cs="宋体"/>
                <w:lang w:val="en-US" w:eastAsia="zh-CN"/>
              </w:rPr>
              <w:t>详细位置</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7CCD3BB">
            <w:pPr>
              <w:rPr>
                <w:rFonts w:hint="eastAsia" w:ascii="宋体" w:hAnsi="宋体" w:eastAsia="宋体" w:cs="宋体"/>
              </w:rPr>
            </w:pPr>
            <w:r>
              <w:rPr>
                <w:rFonts w:hint="eastAsia" w:ascii="宋体" w:hAnsi="宋体" w:eastAsia="宋体" w:cs="宋体"/>
              </w:rPr>
              <w:t>济源市虎岭产业集聚区</w:t>
            </w:r>
          </w:p>
        </w:tc>
      </w:tr>
      <w:tr w14:paraId="25FF1052">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4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34AEF4C">
            <w:pPr>
              <w:rPr>
                <w:rFonts w:hint="eastAsia" w:ascii="宋体" w:hAnsi="宋体" w:eastAsia="宋体" w:cs="宋体"/>
              </w:rPr>
            </w:pPr>
            <w:r>
              <w:rPr>
                <w:rFonts w:hint="eastAsia" w:ascii="宋体" w:hAnsi="宋体" w:eastAsia="宋体" w:cs="宋体"/>
              </w:rPr>
              <w:t>权利来源</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93BF52C">
            <w:pPr>
              <w:rPr>
                <w:rFonts w:hint="eastAsia" w:ascii="宋体" w:hAnsi="宋体" w:eastAsia="宋体" w:cs="宋体"/>
              </w:rPr>
            </w:pPr>
            <w:r>
              <w:rPr>
                <w:rFonts w:hint="eastAsia" w:ascii="宋体" w:hAnsi="宋体" w:eastAsia="宋体" w:cs="宋体"/>
              </w:rPr>
              <w:t>破产财产</w:t>
            </w:r>
            <w:r>
              <w:rPr>
                <w:rFonts w:hint="eastAsia" w:ascii="宋体" w:hAnsi="宋体" w:eastAsia="宋体" w:cs="宋体"/>
                <w:lang w:eastAsia="zh-CN"/>
              </w:rPr>
              <w:t>（</w:t>
            </w:r>
            <w:r>
              <w:rPr>
                <w:rFonts w:hint="eastAsia" w:ascii="宋体" w:hAnsi="宋体" w:eastAsia="宋体" w:cs="宋体"/>
              </w:rPr>
              <w:t>2025</w:t>
            </w:r>
            <w:r>
              <w:rPr>
                <w:rFonts w:hint="eastAsia" w:ascii="宋体" w:hAnsi="宋体" w:eastAsia="宋体" w:cs="宋体"/>
                <w:lang w:eastAsia="zh-CN"/>
              </w:rPr>
              <w:t>）</w:t>
            </w:r>
            <w:r>
              <w:rPr>
                <w:rFonts w:hint="eastAsia" w:ascii="宋体" w:hAnsi="宋体" w:eastAsia="宋体" w:cs="宋体"/>
              </w:rPr>
              <w:t>豫9001破1号</w:t>
            </w:r>
          </w:p>
        </w:tc>
      </w:tr>
      <w:tr w14:paraId="13B250F3">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0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5293229">
            <w:pPr>
              <w:rPr>
                <w:rFonts w:hint="eastAsia" w:ascii="宋体" w:hAnsi="宋体" w:eastAsia="宋体" w:cs="宋体"/>
              </w:rPr>
            </w:pPr>
            <w:r>
              <w:rPr>
                <w:rFonts w:hint="eastAsia" w:ascii="宋体" w:hAnsi="宋体" w:eastAsia="宋体" w:cs="宋体"/>
              </w:rPr>
              <w:t>拍品所有人</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259101E">
            <w:pPr>
              <w:rPr>
                <w:rFonts w:hint="eastAsia" w:ascii="宋体" w:hAnsi="宋体" w:eastAsia="宋体" w:cs="宋体"/>
                <w:lang w:eastAsia="zh-CN"/>
              </w:rPr>
            </w:pPr>
            <w:r>
              <w:rPr>
                <w:rFonts w:hint="eastAsia" w:ascii="宋体" w:hAnsi="宋体" w:eastAsia="宋体" w:cs="宋体"/>
                <w:lang w:eastAsia="zh-CN"/>
              </w:rPr>
              <w:t>河南新兴木塑科技有限公司</w:t>
            </w:r>
          </w:p>
        </w:tc>
      </w:tr>
      <w:tr w14:paraId="1F672385">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0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57ED6A7">
            <w:pPr>
              <w:rPr>
                <w:rFonts w:hint="eastAsia" w:ascii="宋体" w:hAnsi="宋体" w:eastAsia="宋体" w:cs="宋体"/>
              </w:rPr>
            </w:pPr>
            <w:r>
              <w:rPr>
                <w:rFonts w:hint="eastAsia" w:ascii="宋体" w:hAnsi="宋体" w:eastAsia="宋体" w:cs="宋体"/>
              </w:rPr>
              <w:t>提供的文件</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67FAF6F">
            <w:pPr>
              <w:rPr>
                <w:rFonts w:hint="eastAsia" w:ascii="宋体" w:hAnsi="宋体" w:eastAsia="宋体" w:cs="宋体"/>
              </w:rPr>
            </w:pPr>
            <w:r>
              <w:rPr>
                <w:rFonts w:hint="eastAsia" w:ascii="宋体" w:hAnsi="宋体" w:eastAsia="宋体" w:cs="宋体"/>
              </w:rPr>
              <w:t>《拍卖成交确认书》</w:t>
            </w:r>
          </w:p>
        </w:tc>
      </w:tr>
      <w:tr w14:paraId="678DD9EB">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402"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E39365B">
            <w:pPr>
              <w:rPr>
                <w:rFonts w:hint="eastAsia" w:ascii="宋体" w:hAnsi="宋体" w:eastAsia="宋体" w:cs="宋体"/>
              </w:rPr>
            </w:pPr>
            <w:r>
              <w:rPr>
                <w:rFonts w:hint="eastAsia" w:ascii="宋体" w:hAnsi="宋体" w:eastAsia="宋体" w:cs="宋体"/>
              </w:rPr>
              <w:t>拍品介绍</w:t>
            </w:r>
          </w:p>
        </w:tc>
        <w:tc>
          <w:tcPr>
            <w:tcW w:w="859"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2DCAE45">
            <w:pPr>
              <w:rPr>
                <w:rFonts w:hint="eastAsia" w:ascii="宋体" w:hAnsi="宋体" w:eastAsia="宋体" w:cs="宋体"/>
              </w:rPr>
            </w:pPr>
            <w:r>
              <w:rPr>
                <w:rFonts w:hint="eastAsia" w:ascii="宋体" w:hAnsi="宋体" w:eastAsia="宋体" w:cs="宋体"/>
              </w:rPr>
              <w:t>车辆</w:t>
            </w:r>
          </w:p>
        </w:tc>
        <w:tc>
          <w:tcPr>
            <w:tcW w:w="640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28FE41F">
            <w:pPr>
              <w:rPr>
                <w:rFonts w:hint="eastAsia" w:ascii="宋体" w:hAnsi="宋体" w:eastAsia="宋体" w:cs="宋体"/>
                <w:lang w:eastAsia="zh-CN"/>
              </w:rPr>
            </w:pPr>
            <w:r>
              <w:rPr>
                <w:rFonts w:hint="eastAsia" w:ascii="宋体" w:hAnsi="宋体" w:eastAsia="宋体" w:cs="宋体"/>
              </w:rPr>
              <w:t>车辆共计4项，分别为：依维柯牌NJ6487SDES6一辆、依维柯牌NJ6483ATS6一辆、大众朗逸一辆、江淮牌HFC5048XXYL1LT一辆；标的以现状交付</w:t>
            </w:r>
            <w:r>
              <w:rPr>
                <w:rFonts w:hint="eastAsia" w:ascii="宋体" w:hAnsi="宋体" w:eastAsia="宋体" w:cs="宋体"/>
                <w:lang w:eastAsia="zh-CN"/>
              </w:rPr>
              <w:t>。</w:t>
            </w:r>
          </w:p>
        </w:tc>
      </w:tr>
      <w:tr w14:paraId="5656EC54">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0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29020FC">
            <w:pPr>
              <w:rPr>
                <w:rFonts w:hint="eastAsia" w:ascii="宋体" w:hAnsi="宋体" w:eastAsia="宋体" w:cs="宋体"/>
              </w:rPr>
            </w:pPr>
            <w:r>
              <w:rPr>
                <w:rFonts w:hint="eastAsia" w:ascii="宋体" w:hAnsi="宋体" w:eastAsia="宋体" w:cs="宋体"/>
              </w:rPr>
              <w:t>竞买人资格</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5A44ED3">
            <w:pPr>
              <w:rPr>
                <w:rFonts w:hint="eastAsia" w:ascii="宋体" w:hAnsi="宋体" w:eastAsia="宋体" w:cs="宋体"/>
              </w:rPr>
            </w:pPr>
            <w:r>
              <w:rPr>
                <w:rFonts w:hint="eastAsia" w:ascii="宋体" w:hAnsi="宋体" w:eastAsia="宋体" w:cs="宋体"/>
              </w:rPr>
              <w:t>竞买人须具有完全民事行为能力，符合竞买条件。</w:t>
            </w:r>
          </w:p>
        </w:tc>
      </w:tr>
      <w:tr w14:paraId="60AD1586">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56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08CC291">
            <w:pPr>
              <w:rPr>
                <w:rFonts w:hint="eastAsia" w:ascii="宋体" w:hAnsi="宋体" w:eastAsia="宋体" w:cs="宋体"/>
              </w:rPr>
            </w:pPr>
            <w:r>
              <w:rPr>
                <w:rFonts w:hint="eastAsia" w:ascii="宋体" w:hAnsi="宋体" w:eastAsia="宋体" w:cs="宋体"/>
              </w:rPr>
              <w:t>税费负担</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286B25D">
            <w:pPr>
              <w:rPr>
                <w:rFonts w:hint="eastAsia" w:ascii="宋体" w:hAnsi="宋体" w:eastAsia="宋体" w:cs="宋体"/>
              </w:rPr>
            </w:pPr>
            <w:r>
              <w:rPr>
                <w:rFonts w:hint="eastAsia" w:ascii="宋体" w:hAnsi="宋体" w:eastAsia="宋体" w:cs="宋体"/>
              </w:rPr>
              <w:t>竞价成交时，拍卖标的物的各项过户、登记等手续由买受人自行办理并承担相应风险。买受人应当及时办理过户、登记等手续，如买受人怠于办理相应手续导致管理人产生损失的，全部由买受人承担。拍卖标的物具体情况以实物为准，如有违章记录、年检、过户、单证补换、违章处理、相应罚款及停车费、拖车费、修理费、手续费、保险费等所涉及的一切费用均由买受人自行承担。过户提档是否有限制（限牌、环保）的相关事宜请竞买人自行咨询落户地、提档地市车管所。请竞买人实地看车，了解具体情况后慎重决定是否购买，管理人对此不负责任。标的物转让登记所涉及的一切税费及明确的或潜在的一切关联费用均由买受人承担，买受人在竞买前应向所涉</w:t>
            </w:r>
            <w:r>
              <w:rPr>
                <w:rFonts w:hint="eastAsia" w:ascii="宋体" w:hAnsi="宋体" w:eastAsia="宋体" w:cs="宋体"/>
                <w:lang w:eastAsia="zh-CN"/>
              </w:rPr>
              <w:t>税务</w:t>
            </w:r>
            <w:r>
              <w:rPr>
                <w:rFonts w:hint="eastAsia" w:ascii="宋体" w:hAnsi="宋体" w:eastAsia="宋体" w:cs="宋体"/>
              </w:rPr>
              <w:t>部门确认成交后应缴纳的税费标准。未明确缴费义务人的费用由买受人承担，具体费用请买受人到相关部门自行咨询。</w:t>
            </w:r>
          </w:p>
        </w:tc>
      </w:tr>
      <w:tr w14:paraId="4C14ADA3">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4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9CC41FF">
            <w:pPr>
              <w:rPr>
                <w:rFonts w:hint="eastAsia" w:ascii="宋体" w:hAnsi="宋体" w:eastAsia="宋体" w:cs="宋体"/>
              </w:rPr>
            </w:pPr>
            <w:r>
              <w:rPr>
                <w:rFonts w:hint="eastAsia" w:ascii="宋体" w:hAnsi="宋体" w:eastAsia="宋体" w:cs="宋体"/>
              </w:rPr>
              <w:t>瑕疵说明</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7044653">
            <w:pPr>
              <w:rPr>
                <w:rFonts w:hint="eastAsia" w:ascii="宋体" w:hAnsi="宋体" w:eastAsia="宋体" w:cs="宋体"/>
              </w:rPr>
            </w:pPr>
            <w:r>
              <w:rPr>
                <w:rFonts w:hint="eastAsia" w:ascii="宋体" w:hAnsi="宋体" w:eastAsia="宋体" w:cs="宋体"/>
              </w:rPr>
              <w:t>除拍卖文件披露外，竞买人应对拍卖标的的实际状况以及瑕疵（含显性、隐性瑕疵）等自行调查核实，并承担全部风险。</w:t>
            </w:r>
          </w:p>
        </w:tc>
      </w:tr>
      <w:tr w14:paraId="093DF7E3">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80" w:hRule="atLeast"/>
          <w:jc w:val="center"/>
        </w:trPr>
        <w:tc>
          <w:tcPr>
            <w:tcW w:w="113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72DF1CC">
            <w:pPr>
              <w:rPr>
                <w:rFonts w:hint="eastAsia" w:ascii="宋体" w:hAnsi="宋体" w:eastAsia="宋体" w:cs="宋体"/>
              </w:rPr>
            </w:pPr>
            <w:r>
              <w:rPr>
                <w:rFonts w:hint="eastAsia" w:ascii="宋体" w:hAnsi="宋体" w:eastAsia="宋体" w:cs="宋体"/>
              </w:rPr>
              <w:t>特别提醒</w:t>
            </w:r>
          </w:p>
        </w:tc>
        <w:tc>
          <w:tcPr>
            <w:tcW w:w="726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EFB10B6">
            <w:pPr>
              <w:rPr>
                <w:rFonts w:hint="eastAsia" w:ascii="宋体" w:hAnsi="宋体" w:eastAsia="宋体" w:cs="宋体"/>
              </w:rPr>
            </w:pPr>
            <w:r>
              <w:rPr>
                <w:rFonts w:hint="eastAsia" w:ascii="宋体" w:hAnsi="宋体" w:eastAsia="宋体" w:cs="宋体"/>
              </w:rPr>
              <w:t>在拍卖竞价前请务必再仔细阅读本管理人发布的《竞买公告</w:t>
            </w:r>
            <w:r>
              <w:rPr>
                <w:rFonts w:hint="eastAsia" w:ascii="宋体" w:hAnsi="宋体" w:eastAsia="宋体" w:cs="宋体"/>
                <w:lang w:eastAsia="zh-CN"/>
              </w:rPr>
              <w:t>》《</w:t>
            </w:r>
            <w:r>
              <w:rPr>
                <w:rFonts w:hint="eastAsia" w:ascii="宋体" w:hAnsi="宋体" w:eastAsia="宋体" w:cs="宋体"/>
              </w:rPr>
              <w:t>竞买须知</w:t>
            </w:r>
            <w:r>
              <w:rPr>
                <w:rFonts w:hint="eastAsia" w:ascii="宋体" w:hAnsi="宋体" w:eastAsia="宋体" w:cs="宋体"/>
                <w:lang w:eastAsia="zh-CN"/>
              </w:rPr>
              <w:t>》《</w:t>
            </w:r>
            <w:r>
              <w:rPr>
                <w:rFonts w:hint="eastAsia" w:ascii="宋体" w:hAnsi="宋体" w:eastAsia="宋体" w:cs="宋体"/>
              </w:rPr>
              <w:t>标的物介绍》。</w:t>
            </w:r>
          </w:p>
        </w:tc>
      </w:tr>
    </w:tbl>
    <w:p w14:paraId="738E9E5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hint="default" w:ascii="宋体" w:hAnsi="宋体" w:eastAsia="宋体" w:cs="宋体"/>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383548"/>
    <w:rsid w:val="08D73477"/>
    <w:rsid w:val="1403484E"/>
    <w:rsid w:val="30B40550"/>
    <w:rsid w:val="354E3F3E"/>
    <w:rsid w:val="37E82C48"/>
    <w:rsid w:val="3D8B32B6"/>
    <w:rsid w:val="4FF65D82"/>
    <w:rsid w:val="515406D7"/>
    <w:rsid w:val="5AF51648"/>
    <w:rsid w:val="5C41066B"/>
    <w:rsid w:val="6EF03395"/>
    <w:rsid w:val="71383548"/>
    <w:rsid w:val="71DD14ED"/>
    <w:rsid w:val="773A2B5A"/>
    <w:rsid w:val="777875A9"/>
    <w:rsid w:val="78311D3B"/>
    <w:rsid w:val="7F734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5">
    <w:name w:val="font21"/>
    <w:basedOn w:val="4"/>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7391</Words>
  <Characters>7954</Characters>
  <Lines>0</Lines>
  <Paragraphs>0</Paragraphs>
  <TotalTime>6</TotalTime>
  <ScaleCrop>false</ScaleCrop>
  <LinksUpToDate>false</LinksUpToDate>
  <CharactersWithSpaces>7970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2025-08-28T10:02:00Z</dcterms:created>
  <dc:creator>微信用户</dc:creator>
  <cp:lastModifiedBy>崔永鹏</cp:lastModifiedBy>
  <dcterms:modified xsi:type="dcterms:W3CDTF">2025-09-22T10:52:32Z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ECA3BEC5A3F84690A467C3BC8A6CE12A_11</vt:lpwstr>
  </property>
  <property fmtid="{D5CDD505-2E9C-101B-9397-08002B2CF9AE}" pid="4" name="KSOTemplateDocerSaveRecord">
    <vt:lpwstr>eyJoZGlkIjoiOGRkNTVhNzc2MjRkOTk2YWNmOTMwYzk3ODQ2N2ZhYzQiLCJ1c2VySWQiOiIyNTg3NDUxODEifQ==</vt:lpwstr>
  </property>
</Properties>
</file>