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F5686">
      <w:pPr>
        <w:spacing w:line="360" w:lineRule="auto"/>
        <w:jc w:val="center"/>
        <w:rPr>
          <w:rFonts w:asciiTheme="minorEastAsia" w:hAnsiTheme="minorEastAsia"/>
          <w:b/>
          <w:sz w:val="36"/>
          <w:szCs w:val="36"/>
        </w:rPr>
      </w:pPr>
      <w:r>
        <w:rPr>
          <w:rFonts w:hint="eastAsia" w:asciiTheme="minorEastAsia" w:hAnsiTheme="minorEastAsia"/>
          <w:b/>
          <w:sz w:val="36"/>
          <w:szCs w:val="36"/>
        </w:rPr>
        <w:t>关于</w:t>
      </w:r>
      <w:bookmarkStart w:id="0" w:name="_Hlk191381784"/>
      <w:r>
        <w:rPr>
          <w:rFonts w:hint="eastAsia" w:asciiTheme="minorEastAsia" w:hAnsiTheme="minorEastAsia"/>
          <w:b/>
          <w:sz w:val="36"/>
          <w:szCs w:val="36"/>
        </w:rPr>
        <w:t>北京联绿技术集团有限公司、北京新奥混凝土集团有限公司名下建筑物、构筑物、机器设备、电子设备、车俩、存货、无形资产、在建工程等资产一批</w:t>
      </w:r>
      <w:bookmarkEnd w:id="0"/>
      <w:r>
        <w:rPr>
          <w:rFonts w:hint="eastAsia" w:asciiTheme="minorEastAsia" w:hAnsiTheme="minorEastAsia"/>
          <w:b/>
          <w:sz w:val="36"/>
          <w:szCs w:val="36"/>
        </w:rPr>
        <w:t>的竞买公告</w:t>
      </w:r>
    </w:p>
    <w:p w14:paraId="0F274373">
      <w:pPr>
        <w:spacing w:line="360" w:lineRule="auto"/>
        <w:jc w:val="center"/>
        <w:rPr>
          <w:rFonts w:asciiTheme="minorEastAsia" w:hAnsiTheme="minorEastAsia"/>
          <w:sz w:val="24"/>
          <w:szCs w:val="24"/>
        </w:rPr>
      </w:pPr>
    </w:p>
    <w:p w14:paraId="7053547D">
      <w:pPr>
        <w:spacing w:line="360" w:lineRule="auto"/>
        <w:ind w:firstLine="480" w:firstLineChars="200"/>
        <w:rPr>
          <w:rFonts w:asciiTheme="minorEastAsia" w:hAnsiTheme="minorEastAsia"/>
          <w:sz w:val="24"/>
          <w:szCs w:val="24"/>
        </w:rPr>
      </w:pP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（以下简称“联绿、新奥”）破产管理人将于</w:t>
      </w:r>
      <w:r>
        <w:rPr>
          <w:rFonts w:asciiTheme="minorEastAsia" w:hAnsiTheme="minorEastAsia"/>
          <w:sz w:val="24"/>
          <w:szCs w:val="24"/>
        </w:rPr>
        <w:t>202</w:t>
      </w:r>
      <w:r>
        <w:rPr>
          <w:rFonts w:hint="eastAsia" w:asciiTheme="minorEastAsia" w:hAnsiTheme="minorEastAsia"/>
          <w:sz w:val="24"/>
          <w:szCs w:val="24"/>
        </w:rPr>
        <w:t>5</w:t>
      </w:r>
      <w:r>
        <w:rPr>
          <w:rFonts w:asciiTheme="minorEastAsia" w:hAnsiTheme="minorEastAsia"/>
          <w:sz w:val="24"/>
          <w:szCs w:val="24"/>
        </w:rPr>
        <w:t>年</w:t>
      </w:r>
      <w:r>
        <w:rPr>
          <w:rFonts w:hint="eastAsia" w:asciiTheme="minorEastAsia" w:hAnsiTheme="minorEastAsia"/>
          <w:sz w:val="24"/>
          <w:szCs w:val="24"/>
          <w:lang w:val="en-US" w:eastAsia="zh-CN"/>
        </w:rPr>
        <w:t>11</w:t>
      </w:r>
      <w:r>
        <w:rPr>
          <w:rFonts w:asciiTheme="minorEastAsia" w:hAnsiTheme="minorEastAsia"/>
          <w:sz w:val="24"/>
          <w:szCs w:val="24"/>
        </w:rPr>
        <w:t>月</w:t>
      </w:r>
      <w:r>
        <w:rPr>
          <w:rFonts w:hint="eastAsia" w:asciiTheme="minorEastAsia" w:hAnsiTheme="minorEastAsia"/>
          <w:sz w:val="24"/>
          <w:szCs w:val="24"/>
          <w:lang w:val="en-US" w:eastAsia="zh-CN"/>
        </w:rPr>
        <w:t>4</w:t>
      </w:r>
      <w:r>
        <w:rPr>
          <w:rFonts w:asciiTheme="minorEastAsia" w:hAnsiTheme="minorEastAsia"/>
          <w:sz w:val="24"/>
          <w:szCs w:val="24"/>
        </w:rPr>
        <w:t>日10时至202</w:t>
      </w:r>
      <w:r>
        <w:rPr>
          <w:rFonts w:hint="eastAsia" w:asciiTheme="minorEastAsia" w:hAnsiTheme="minorEastAsia"/>
          <w:sz w:val="24"/>
          <w:szCs w:val="24"/>
        </w:rPr>
        <w:t>5</w:t>
      </w:r>
      <w:r>
        <w:rPr>
          <w:rFonts w:asciiTheme="minorEastAsia" w:hAnsiTheme="minorEastAsia"/>
          <w:sz w:val="24"/>
          <w:szCs w:val="24"/>
        </w:rPr>
        <w:t>年</w:t>
      </w:r>
      <w:r>
        <w:rPr>
          <w:rFonts w:hint="eastAsia" w:asciiTheme="minorEastAsia" w:hAnsiTheme="minorEastAsia"/>
          <w:sz w:val="24"/>
          <w:szCs w:val="24"/>
          <w:lang w:val="en-US" w:eastAsia="zh-CN"/>
        </w:rPr>
        <w:t>11</w:t>
      </w:r>
      <w:r>
        <w:rPr>
          <w:rFonts w:asciiTheme="minorEastAsia" w:hAnsiTheme="minorEastAsia"/>
          <w:sz w:val="24"/>
          <w:szCs w:val="24"/>
        </w:rPr>
        <w:t>月</w:t>
      </w:r>
      <w:r>
        <w:rPr>
          <w:rFonts w:hint="eastAsia" w:asciiTheme="minorEastAsia" w:hAnsiTheme="minorEastAsia"/>
          <w:sz w:val="24"/>
          <w:szCs w:val="24"/>
          <w:lang w:val="en-US" w:eastAsia="zh-CN"/>
        </w:rPr>
        <w:t>5</w:t>
      </w:r>
      <w:r>
        <w:rPr>
          <w:rFonts w:asciiTheme="minorEastAsia" w:hAnsiTheme="minorEastAsia"/>
          <w:sz w:val="24"/>
          <w:szCs w:val="24"/>
        </w:rPr>
        <w:t>日10时止</w:t>
      </w:r>
      <w:r>
        <w:rPr>
          <w:rFonts w:hint="eastAsia" w:asciiTheme="minorEastAsia" w:hAnsiTheme="minorEastAsia"/>
          <w:sz w:val="24"/>
          <w:szCs w:val="24"/>
        </w:rPr>
        <w:t>（延时的除外）在京东拍卖破产强清平台（处置单位：</w:t>
      </w: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破产管理人），监督单位：北京市昌平区人民法院，网址：https://auction.jd.com/bankrupt.html）进行公开拍卖活动，现公告如下：</w:t>
      </w:r>
    </w:p>
    <w:p w14:paraId="47DD24B7">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09D64A2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标的物地址：北京</w:t>
      </w:r>
    </w:p>
    <w:p w14:paraId="7CE6E964">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：北京联绿技术集团有限公司、北京新奥混凝土集团有限公司名下资产一批</w:t>
      </w:r>
    </w:p>
    <w:p w14:paraId="4194A8E0">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rPr>
        <w:t>18,533,916.76</w:t>
      </w:r>
      <w:r>
        <w:rPr>
          <w:rFonts w:hint="eastAsia" w:asciiTheme="minorEastAsia" w:hAnsiTheme="minorEastAsia"/>
          <w:sz w:val="24"/>
          <w:szCs w:val="24"/>
        </w:rPr>
        <w:t>元，保证金：</w:t>
      </w:r>
      <w:r>
        <w:rPr>
          <w:rFonts w:hint="eastAsia" w:asciiTheme="minorEastAsia" w:hAnsiTheme="minorEastAsia"/>
          <w:b/>
          <w:bCs/>
          <w:color w:val="FF0000"/>
          <w:sz w:val="24"/>
          <w:szCs w:val="24"/>
          <w:highlight w:val="none"/>
        </w:rPr>
        <w:t>1,853,392.00</w:t>
      </w:r>
      <w:r>
        <w:rPr>
          <w:rFonts w:hint="eastAsia" w:asciiTheme="minorEastAsia" w:hAnsiTheme="minorEastAsia"/>
          <w:sz w:val="24"/>
          <w:szCs w:val="24"/>
        </w:rPr>
        <w:t>元，增价幅度：</w:t>
      </w:r>
      <w:r>
        <w:rPr>
          <w:rFonts w:asciiTheme="minorEastAsia" w:hAnsiTheme="minorEastAsia"/>
          <w:b/>
          <w:bCs/>
          <w:color w:val="FF0000"/>
          <w:sz w:val="24"/>
          <w:szCs w:val="24"/>
        </w:rPr>
        <w:t>1,000,000.00</w:t>
      </w:r>
      <w:r>
        <w:rPr>
          <w:rFonts w:hint="eastAsia" w:asciiTheme="minorEastAsia" w:hAnsiTheme="minorEastAsia"/>
          <w:sz w:val="24"/>
          <w:szCs w:val="24"/>
        </w:rPr>
        <w:t>元(或整倍数)。</w:t>
      </w:r>
    </w:p>
    <w:p w14:paraId="7F1F637A">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723831CF">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1、本次拍卖标的物建筑物、构筑物主要为厂区内的建筑物与构筑物（均系建造于租赁的土地上，无产权证书），围栏、宿舍楼、车间等等具体情况以现场实际为准。</w:t>
      </w:r>
    </w:p>
    <w:p w14:paraId="70DBC104">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2、本次拍卖标的物机器设备为厂区内的搅拌机组、生产设备、研发中心设备、生产车间设备，办公设备、实验车间等等具体情况以现场实际为准。</w:t>
      </w:r>
    </w:p>
    <w:p w14:paraId="3988A92B">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3、本次拍卖标的物车辆为自卸车、洒水车、面包车等具体情况以现场实际为准。</w:t>
      </w:r>
    </w:p>
    <w:p w14:paraId="4ACEB40E">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4、本次拍卖标的物存货为陶粒、钢纤维、硅灰等等具体情况以现场实际为准。</w:t>
      </w:r>
    </w:p>
    <w:p w14:paraId="76DE6A54">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5、本次拍卖标的物中无形资产主要包括：专利权、商标权、软件著作权。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4DA21246">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6、</w:t>
      </w:r>
      <w:r>
        <w:rPr>
          <w:rFonts w:hint="eastAsia" w:asciiTheme="minorEastAsia" w:hAnsiTheme="minorEastAsia"/>
          <w:sz w:val="24"/>
          <w:szCs w:val="24"/>
        </w:rPr>
        <w:t>北京新奥混凝土集团有限公司是</w:t>
      </w:r>
      <w:r>
        <w:rPr>
          <w:rFonts w:hint="eastAsia" w:asciiTheme="minorEastAsia" w:hAnsiTheme="minorEastAsia"/>
          <w:b/>
          <w:bCs/>
          <w:color w:val="000000" w:themeColor="text1"/>
          <w:sz w:val="24"/>
          <w:szCs w:val="24"/>
          <w14:textFill>
            <w14:solidFill>
              <w14:schemeClr w14:val="tx1"/>
            </w14:solidFill>
          </w14:textFill>
        </w:rPr>
        <w:t>（2021）京0105执恢2009号案件的被执行人，该案申请执行人已申请朝阳区人民法院强制执行，朝阳区人民法院责令</w:t>
      </w:r>
      <w:r>
        <w:rPr>
          <w:rFonts w:hint="eastAsia" w:asciiTheme="minorEastAsia" w:hAnsiTheme="minorEastAsia"/>
          <w:sz w:val="24"/>
          <w:szCs w:val="24"/>
        </w:rPr>
        <w:t>北京新奥混凝土集团有限公司</w:t>
      </w:r>
      <w:r>
        <w:rPr>
          <w:rFonts w:hint="eastAsia" w:asciiTheme="minorEastAsia" w:hAnsiTheme="minorEastAsia"/>
          <w:b/>
          <w:bCs/>
          <w:color w:val="000000" w:themeColor="text1"/>
          <w:sz w:val="24"/>
          <w:szCs w:val="24"/>
          <w14:textFill>
            <w14:solidFill>
              <w14:schemeClr w14:val="tx1"/>
            </w14:solidFill>
          </w14:textFill>
        </w:rPr>
        <w:t>将北京市朝阳区小红门乡三台山甲1号面积3050.5平方米库房及面积66.85亩货场腾退给北京祥龙三台山物流有限公司。</w:t>
      </w:r>
    </w:p>
    <w:p w14:paraId="5DA3E7B6">
      <w:pPr>
        <w:spacing w:before="100" w:after="100" w:line="360" w:lineRule="auto"/>
        <w:ind w:firstLine="480"/>
        <w:jc w:val="left"/>
        <w:rPr>
          <w:rFonts w:asciiTheme="minorEastAsia" w:hAnsiTheme="minorEastAsia"/>
          <w:b/>
          <w:bCs/>
          <w:color w:val="FF0000"/>
          <w:sz w:val="24"/>
          <w:szCs w:val="24"/>
        </w:rPr>
      </w:pPr>
      <w:r>
        <w:rPr>
          <w:rFonts w:hint="eastAsia" w:asciiTheme="minorEastAsia" w:hAnsiTheme="minorEastAsia"/>
          <w:b/>
          <w:bCs/>
          <w:color w:val="FF0000"/>
          <w:sz w:val="24"/>
          <w:szCs w:val="24"/>
        </w:rPr>
        <w:t>重要提示：</w:t>
      </w:r>
    </w:p>
    <w:p w14:paraId="73FD1A9D">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标的成交后拆除机器设备过程中买受人应自行做好安全管理，同时接受破产管理人及国家相关安监部门监督，相关作业须完全符合国家和地方法律法规、国家及行业规范，及其他规范性文件和操作流程，以确保作业过程合法、安全、环保，并不得对拍卖标的所在地、相邻地及周围环境造成不良影响，不得损害现场内其他资产或第三人权益，不得对建筑物造成毁损；拍卖成交后买受人须在十日内，除标的物尾款外，另行缴纳200万元“提货安全保证金”至破产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4FF2EFA5">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2、本次拍卖要求买受人在成交之日起30日内将标的物全部拆除并搬离厂区，如30日内未搬离厂区的管理人将在“提货安全保证金”中每日扣除2万元作为超期搬离违约金；若超过约定期限后30日还未将全部标的搬离厂区的，标的物剩余部分视为买受人自动放弃，管理人有权对剩余标的物另行处置。</w:t>
      </w:r>
    </w:p>
    <w:p w14:paraId="35E07B76">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3、本次拍卖标的物中北京联绿技术集团有限公司、北京新奥混凝土集团有限公司名下建筑物、构筑物、机器设备等拆除工程需严格遵守北京市相关环保要求执行，拆除过程中应采取湿法作业，设置围挡，防止扬尘污染，确保施工现场符合绿色施工要求，拆除产生的建筑垃圾、废水及固体废物需按照环保要求分类存放、集中处理，相关处理费用由买受人承担，不得随意丢弃或排放，拆除工程需编制施工方案及应急预案，明确环保措施，并在施工结束后清理现场，恢复场地原貌。如买受人在拆除过程中违反相关部门环保要求或其他相关法律法规，由此产生的法律责任、经济损失及行政处罚等均由买受人自行承担，破产管理人及拍卖辅助机构不承担任何责任。</w:t>
      </w:r>
    </w:p>
    <w:p w14:paraId="7FED34A1">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 xml:space="preserve">4、标的物状况以标的物现状为准，标的物中设备可能存在老化、毁损、灭失或不能正常使用的情况。破产管理人及拍卖辅助机构不承担本标的物瑕疵保证和质量保修，具体以实物及实际情况为准。除拍卖文件披露外，竞买人应对拍卖标的物的实际状况以及瑕疵（含显性、隐性瑕疵）等自行调查核实，并承担全部风险。破产管理人及拍卖辅助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 </w:t>
      </w:r>
    </w:p>
    <w:p w14:paraId="4A0911BA">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5、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破产管理人对此不负责任。</w:t>
      </w:r>
    </w:p>
    <w:p w14:paraId="58F9F58B">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6、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084DC1B2">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7、</w:t>
      </w:r>
      <w:r>
        <w:rPr>
          <w:rFonts w:asciiTheme="minorEastAsia" w:hAnsiTheme="minorEastAsia"/>
          <w:b/>
          <w:color w:val="000000" w:themeColor="text1"/>
          <w:sz w:val="24"/>
          <w:szCs w:val="24"/>
          <w14:textFill>
            <w14:solidFill>
              <w14:schemeClr w14:val="tx1"/>
            </w14:solidFill>
          </w14:textFill>
        </w:rPr>
        <w:t>标的物以实物现状进行交付，标的物的现状、数量、质量、型号及使用状态等以拍卖成交后移交时的现状、数量、质量、型号及使用状态等为准。若标的物交付时与拍卖公告载明的现状、数量、质量、型号及使用状态等有出入，拍卖成交价不作调整。本次拍卖标的物若有已嵌入建筑物墙体或地面下，标的物移交过程中不得破坏现场（设备基础拆除后需回填土方）及建筑物本身；若因拆卸标的物需对现场或建筑物进行破坏的，买受人需先承担相应恢复原状费用。</w:t>
      </w:r>
      <w:r>
        <w:rPr>
          <w:rFonts w:asciiTheme="minorEastAsia" w:hAnsiTheme="minorEastAsia"/>
          <w:b/>
          <w:bCs/>
          <w:color w:val="000000" w:themeColor="text1"/>
          <w:sz w:val="24"/>
          <w:szCs w:val="24"/>
          <w14:textFill>
            <w14:solidFill>
              <w14:schemeClr w14:val="tx1"/>
            </w14:solidFill>
          </w14:textFill>
        </w:rPr>
        <w:t>标的物因嵌入建筑物内，买受人放弃拆卸的视为放弃对相应标的物所有权，拍卖成交价不作调整。</w:t>
      </w:r>
      <w:r>
        <w:rPr>
          <w:rFonts w:asciiTheme="minorEastAsia" w:hAnsiTheme="minorEastAsia"/>
          <w:b/>
          <w:color w:val="000000" w:themeColor="text1"/>
          <w:sz w:val="24"/>
          <w:szCs w:val="24"/>
          <w14:textFill>
            <w14:solidFill>
              <w14:schemeClr w14:val="tx1"/>
            </w14:solidFill>
          </w14:textFill>
        </w:rPr>
        <w:t>拍卖标的如有其它瑕疵，由买受人自行了解，并承担相应的风险。</w:t>
      </w:r>
    </w:p>
    <w:p w14:paraId="2A0C883B">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8、关于无形资产，拍卖成交后以现状进行交付。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做担保，亦不能保证拍卖标的物及其附属权利的有效性、完整性、完好性；管理人不能保证拍卖标的物能够正常使用，亦不提供任何形式的售后服务。</w:t>
      </w:r>
    </w:p>
    <w:p w14:paraId="3DD30C9C">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9、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由交易各方按照相关法律规定各自承担。可能产生的其他费用等均由买受人自行承担。</w:t>
      </w:r>
    </w:p>
    <w:p w14:paraId="649799F5">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10、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管理人提供材料后，买受人不能办理过户的，拍卖价款不予退还。</w:t>
      </w:r>
    </w:p>
    <w:p w14:paraId="26FA2B51">
      <w:pPr>
        <w:spacing w:before="100" w:after="100" w:line="360" w:lineRule="auto"/>
        <w:ind w:firstLine="480"/>
        <w:jc w:val="left"/>
        <w:rPr>
          <w:rFonts w:ascii="宋体" w:hAnsi="宋体"/>
          <w:color w:val="000000" w:themeColor="text1"/>
          <w:sz w:val="24"/>
          <w:shd w:val="clear" w:color="auto" w:fill="FFFFFF"/>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11、其他未尽事宜由买受人自行了解。</w:t>
      </w:r>
    </w:p>
    <w:p w14:paraId="665C77B3">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0468ED7D">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自公告之日起至拍卖结束之日</w:t>
      </w:r>
      <w:r>
        <w:rPr>
          <w:rFonts w:asciiTheme="minorEastAsia" w:hAnsiTheme="minorEastAsia"/>
          <w:sz w:val="24"/>
          <w:szCs w:val="24"/>
        </w:rPr>
        <w:t>止</w:t>
      </w:r>
      <w:r>
        <w:rPr>
          <w:rFonts w:hint="eastAsia" w:asciiTheme="minorEastAsia" w:hAnsiTheme="minorEastAsia"/>
          <w:sz w:val="24"/>
          <w:szCs w:val="24"/>
        </w:rPr>
        <w:t>接受咨询（工作时间内），统一安排现场看样。本破产管理人已委托北京嘉运亨通拍卖有限公司协助办理咨询、预展事务，有意者请与联系（联系电话：刘先生：15901366440，李先生：13552572522）。</w:t>
      </w:r>
      <w:r>
        <w:rPr>
          <w:rFonts w:hint="eastAsia" w:asciiTheme="minorEastAsia" w:hAnsiTheme="minorEastAsia"/>
          <w:b/>
          <w:color w:val="FF0000"/>
          <w:sz w:val="24"/>
          <w:szCs w:val="24"/>
        </w:rPr>
        <w:t>有意者请亲自实地看样，详细情况可向相关部门了解或自行进行调查，未看样的竞买人视为对本标的实物现状的确认，责任自负，请谨慎参拍。竞买人一旦作出竞买决定，即表明已完全了解，并接受标的物的现状和一切已知及未知的瑕疵。</w:t>
      </w:r>
    </w:p>
    <w:p w14:paraId="486B979F">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62A485F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CB4B22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破产管理人沟通办理委托手续；竞买成功后，竞买人（公民、法人和其他组织）或其委托代理人应到破产管理人处办理交付或权属转移手续。如委托手续不全，竞买活动认定为委托代理人的个人行为。因不符合条件参加竞买的，由竞买人自行承担相应的法律责任。</w:t>
      </w:r>
    </w:p>
    <w:p w14:paraId="1B23059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99B3F8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43E0588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10B05DD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1、本标的优先购买权人：</w:t>
      </w:r>
    </w:p>
    <w:p w14:paraId="590D39E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优先购买权人应于本公告发布之日起3日内向破产管理人联系，提供相关证明材料，办理相关手续。逾期未提供材料或办理手续者，视为自动放弃优先购买权。</w:t>
      </w:r>
    </w:p>
    <w:p w14:paraId="6B7243B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破产管理人提交合法有效的证明，经破产管理人确认资格及顺位后才能参与竞买，逾期不提交的，视为放弃对标的物享有优先购买权。破产管理人在正式拍卖日前将经确认的优先权购买人资格和顺位信息，审报网络平台技术部门，录入平台系统。</w:t>
      </w:r>
    </w:p>
    <w:p w14:paraId="199D325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3EA1833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破产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53454C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53A5818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0F660D9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5923A6D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47C3F87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441FEB2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178E50E1">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 xml:space="preserve">标的物拆除、搬运期间所涉及的一切费用及明确的或潜在的一切关联费用(包括但不限于装卸费、人工费、运输费、场地费、应由买受人承担的税费及拆迁中标的物自身的损毁、灭失，赔偿因拆迁、拆卸、搬运过程中给他人人身或者财产安全造成的损害；防范或者消除拆迁、拆卸、搬运过程中涉及的环境污染问题或者消防安全问题等而支出的费用等等)由买受人自行承担。 </w:t>
      </w:r>
    </w:p>
    <w:p w14:paraId="49C1834E">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1FD730B0">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买受人须在拍卖成交之日起三日内（遇节假日顺延）凭缴纳拍卖保证金平台生成的竞买号及相关身份材料到破产管理人处签署拍卖成交确认文件。</w:t>
      </w:r>
    </w:p>
    <w:p w14:paraId="1D73924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75BE719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破产管理人指定账户；竞价结束后，未能竞得者的保证金以及竞价未成交的（即流拍的）竞买人的保证金在竞价活动结束后即时解冻，保证金冻结期间不计利息。</w:t>
      </w:r>
    </w:p>
    <w:p w14:paraId="2617E37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竞价成交后，标的物竞得者原锁定的保证金自动转入破产管理人指定账户。买受人应于成交之时起十日内将竞价成交价余款（扣除保证金后的余款）缴入破产管理人指定账户（</w:t>
      </w:r>
      <w:r>
        <w:rPr>
          <w:rFonts w:hint="eastAsia" w:asciiTheme="minorEastAsia" w:hAnsiTheme="minorEastAsia"/>
          <w:b/>
          <w:bCs/>
          <w:color w:val="FF0000"/>
          <w:sz w:val="24"/>
          <w:szCs w:val="24"/>
        </w:rPr>
        <w:t>户名：北京联绿技术集团有限公司、北京新奥混凝土集团有限公司破产管理人；账号：</w:t>
      </w:r>
      <w:r>
        <w:rPr>
          <w:rFonts w:asciiTheme="minorEastAsia" w:hAnsiTheme="minorEastAsia"/>
          <w:b/>
          <w:bCs/>
          <w:color w:val="FF0000"/>
          <w:sz w:val="24"/>
          <w:szCs w:val="24"/>
        </w:rPr>
        <w:t>811070</w:t>
      </w:r>
      <w:r>
        <w:rPr>
          <w:rFonts w:hint="eastAsia" w:asciiTheme="minorEastAsia" w:hAnsiTheme="minorEastAsia"/>
          <w:b/>
          <w:bCs/>
          <w:color w:val="FF0000"/>
          <w:sz w:val="24"/>
          <w:szCs w:val="24"/>
        </w:rPr>
        <w:t>1012102588445；开户行：中信银行股份有限公司北京和平里支行</w:t>
      </w:r>
      <w:r>
        <w:rPr>
          <w:rFonts w:hint="eastAsia" w:asciiTheme="minorEastAsia" w:hAnsiTheme="minorEastAsia"/>
          <w:sz w:val="24"/>
          <w:szCs w:val="24"/>
        </w:rPr>
        <w:t>）。逾期则视为买受人悔拍，拍卖成交后买受人悔拍的，交纳的保证金不予退还，计入债务人财产。保证金数额不足以弥补拍卖费用损失以及重新拍卖价款低于原拍卖价款的差价的，破产管理人可向悔拍人追索。</w:t>
      </w:r>
    </w:p>
    <w:p w14:paraId="7D7DA4E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582BB12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1F389FA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5A51AC1F">
      <w:pPr>
        <w:spacing w:line="360" w:lineRule="auto"/>
        <w:ind w:firstLine="482" w:firstLineChars="200"/>
        <w:rPr>
          <w:rFonts w:asciiTheme="minorEastAsia" w:hAnsiTheme="minorEastAsia"/>
          <w:b/>
          <w:bCs/>
          <w:sz w:val="24"/>
          <w:szCs w:val="24"/>
          <w:u w:val="single"/>
        </w:rPr>
      </w:pPr>
      <w:r>
        <w:rPr>
          <w:rFonts w:asciiTheme="minorEastAsia" w:hAnsiTheme="minorEastAsia"/>
          <w:b/>
          <w:bCs/>
          <w:sz w:val="24"/>
          <w:szCs w:val="24"/>
          <w:u w:val="single"/>
        </w:rPr>
        <w:t>1、买受人在缴纳完全部拍卖款项后，持有效身份证明及签署好的拍卖成交文件前往标的物存放地办理交割手续，并于缴纳尾款后</w:t>
      </w:r>
      <w:r>
        <w:rPr>
          <w:rFonts w:hint="eastAsia" w:asciiTheme="minorEastAsia" w:hAnsiTheme="minorEastAsia"/>
          <w:b/>
          <w:bCs/>
          <w:sz w:val="24"/>
          <w:szCs w:val="24"/>
          <w:u w:val="single"/>
        </w:rPr>
        <w:t>30</w:t>
      </w:r>
      <w:r>
        <w:rPr>
          <w:rFonts w:asciiTheme="minorEastAsia" w:hAnsiTheme="minorEastAsia"/>
          <w:b/>
          <w:bCs/>
          <w:sz w:val="24"/>
          <w:szCs w:val="24"/>
          <w:u w:val="single"/>
        </w:rPr>
        <w:t>日内完成标的提货，将标的物搬离标的物存放地。如</w:t>
      </w:r>
      <w:r>
        <w:rPr>
          <w:rFonts w:hint="eastAsia" w:asciiTheme="minorEastAsia" w:hAnsiTheme="minorEastAsia"/>
          <w:b/>
          <w:bCs/>
          <w:sz w:val="24"/>
          <w:szCs w:val="24"/>
          <w:u w:val="single"/>
        </w:rPr>
        <w:t>3</w:t>
      </w:r>
      <w:r>
        <w:rPr>
          <w:rFonts w:asciiTheme="minorEastAsia" w:hAnsiTheme="minorEastAsia"/>
          <w:b/>
          <w:bCs/>
          <w:sz w:val="24"/>
          <w:szCs w:val="24"/>
          <w:u w:val="single"/>
        </w:rPr>
        <w:t>0日内未搬离厂区的破产管理人将在“提货安全保证金”中每日扣除2万元作为</w:t>
      </w:r>
      <w:r>
        <w:rPr>
          <w:rFonts w:hint="eastAsia" w:asciiTheme="minorEastAsia" w:hAnsiTheme="minorEastAsia"/>
          <w:b/>
          <w:bCs/>
          <w:sz w:val="24"/>
          <w:szCs w:val="24"/>
          <w:u w:val="single"/>
        </w:rPr>
        <w:t>超期搬离违约金</w:t>
      </w:r>
      <w:r>
        <w:rPr>
          <w:rFonts w:asciiTheme="minorEastAsia" w:hAnsiTheme="minorEastAsia"/>
          <w:b/>
          <w:bCs/>
          <w:sz w:val="24"/>
          <w:szCs w:val="24"/>
          <w:u w:val="single"/>
        </w:rPr>
        <w:t>； 若超</w:t>
      </w:r>
      <w:r>
        <w:rPr>
          <w:rFonts w:hint="eastAsia" w:asciiTheme="minorEastAsia" w:hAnsiTheme="minorEastAsia"/>
          <w:b/>
          <w:bCs/>
          <w:sz w:val="24"/>
          <w:szCs w:val="24"/>
          <w:u w:val="single"/>
        </w:rPr>
        <w:t>过期限后</w:t>
      </w:r>
      <w:r>
        <w:rPr>
          <w:rFonts w:asciiTheme="minorEastAsia" w:hAnsiTheme="minorEastAsia"/>
          <w:b/>
          <w:bCs/>
          <w:sz w:val="24"/>
          <w:szCs w:val="24"/>
          <w:u w:val="single"/>
        </w:rPr>
        <w:t>30日还未将全部标的搬离厂区的，标的物剩余部分视为买受人自动放弃，破产管理人有权对剩余标的物另行处置。未按期支付拍卖款、办理交割手续或未及时将标的物存放地的，由此产生的全部责任、损失和风险（包括但不限于支付场地费、保管费、标的物损毁或灭失等）由买受人自行负责。</w:t>
      </w:r>
    </w:p>
    <w:p w14:paraId="0A451508">
      <w:pPr>
        <w:spacing w:line="360" w:lineRule="auto"/>
        <w:ind w:firstLine="482" w:firstLineChars="200"/>
        <w:rPr>
          <w:rFonts w:asciiTheme="minorEastAsia" w:hAnsiTheme="minorEastAsia"/>
          <w:b/>
          <w:bCs/>
          <w:sz w:val="24"/>
          <w:szCs w:val="24"/>
          <w:u w:val="single"/>
        </w:rPr>
      </w:pPr>
      <w:r>
        <w:rPr>
          <w:rFonts w:asciiTheme="minorEastAsia" w:hAnsiTheme="minorEastAsia"/>
          <w:b/>
          <w:bCs/>
          <w:sz w:val="24"/>
          <w:szCs w:val="24"/>
          <w:u w:val="single"/>
        </w:rPr>
        <w:t>2、如本次拍卖标的物由于不确定因素或自然灾害等不可抗力因素或破产管理人未能掌握的情形等原因致使拍卖标的物不能如期交付的，破产管理人和拍辅公司概不承担任何责任。</w:t>
      </w:r>
    </w:p>
    <w:p w14:paraId="17447960">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如标的物存在冻结、查封、质押等权利限制、政策原因或存在隐性瑕疵导致债权变更手续办理延长或者受阻等情况的，管理人和拍卖辅助机构不保证买受人可避免上述情况，亦不就上述情况的发生承担任何法律责任。</w:t>
      </w:r>
    </w:p>
    <w:p w14:paraId="38F1047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1144D94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竞买人在拍卖竞价前请务必再仔细阅读《竞买须知》、《拍卖标的物调查情况表》。本《竞买公告》其他未尽事宜，请向破产管理人咨询；拍卖标的物详情请咨询破产管理人。</w:t>
      </w:r>
    </w:p>
    <w:p w14:paraId="194FDA99">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破产案件监督单位：北京市昌平区人民法院;</w:t>
      </w:r>
    </w:p>
    <w:p w14:paraId="2781F1B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咨询电话：刘先生：15901366440，李先生：13552572522；</w:t>
      </w:r>
    </w:p>
    <w:p w14:paraId="3F22633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京东技术咨询电话：4006229586；</w:t>
      </w:r>
    </w:p>
    <w:p w14:paraId="254583E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法院监督电话：010-80122022。</w:t>
      </w:r>
    </w:p>
    <w:p w14:paraId="76E335D2">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本次拍卖活动最终解释权归北京联绿技术集团有限公司、北京新奥混凝土集团有限公司破产管理人所有。</w:t>
      </w:r>
    </w:p>
    <w:p w14:paraId="0594BCDE">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361E42A0">
      <w:pPr>
        <w:spacing w:line="360" w:lineRule="auto"/>
        <w:ind w:firstLine="480" w:firstLineChars="200"/>
        <w:jc w:val="right"/>
        <w:rPr>
          <w:rFonts w:asciiTheme="minorEastAsia" w:hAnsiTheme="minorEastAsia"/>
          <w:sz w:val="24"/>
          <w:szCs w:val="24"/>
        </w:rPr>
      </w:pP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破产管理人</w:t>
      </w:r>
    </w:p>
    <w:p w14:paraId="41EED3E2">
      <w:pPr>
        <w:spacing w:line="360" w:lineRule="auto"/>
        <w:ind w:firstLine="480" w:firstLineChars="200"/>
        <w:jc w:val="right"/>
        <w:rPr>
          <w:rFonts w:asciiTheme="minorEastAsia" w:hAnsiTheme="minorEastAsia"/>
          <w:sz w:val="24"/>
          <w:szCs w:val="24"/>
        </w:rPr>
      </w:pPr>
    </w:p>
    <w:p w14:paraId="02436431">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二〇二五年十月</w:t>
      </w:r>
      <w:r>
        <w:rPr>
          <w:rFonts w:hint="eastAsia" w:asciiTheme="minorEastAsia" w:hAnsiTheme="minorEastAsia"/>
          <w:sz w:val="24"/>
          <w:szCs w:val="24"/>
          <w:lang w:val="en-US" w:eastAsia="zh-CN"/>
        </w:rPr>
        <w:t>二十七</w:t>
      </w:r>
      <w:r>
        <w:rPr>
          <w:rFonts w:hint="eastAsia" w:asciiTheme="minorEastAsia" w:hAnsiTheme="minorEastAsia"/>
          <w:sz w:val="24"/>
          <w:szCs w:val="24"/>
        </w:rPr>
        <w:t>日</w:t>
      </w:r>
    </w:p>
    <w:p w14:paraId="6E674C2B">
      <w:pPr>
        <w:widowControl/>
        <w:jc w:val="left"/>
        <w:rPr>
          <w:rFonts w:asciiTheme="minorEastAsia" w:hAnsiTheme="minorEastAsia"/>
          <w:b/>
          <w:sz w:val="44"/>
          <w:szCs w:val="44"/>
        </w:rPr>
      </w:pPr>
      <w:r>
        <w:rPr>
          <w:rFonts w:asciiTheme="minorEastAsia" w:hAnsiTheme="minorEastAsia"/>
          <w:b/>
          <w:sz w:val="44"/>
          <w:szCs w:val="44"/>
        </w:rPr>
        <w:br w:type="page"/>
      </w:r>
    </w:p>
    <w:p w14:paraId="0BE1F973">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772B6380">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56952494">
      <w:pPr>
        <w:spacing w:line="360" w:lineRule="auto"/>
        <w:ind w:firstLine="480" w:firstLineChars="200"/>
        <w:rPr>
          <w:rFonts w:asciiTheme="minorEastAsia" w:hAnsiTheme="minorEastAsia"/>
          <w:sz w:val="24"/>
          <w:szCs w:val="24"/>
        </w:rPr>
      </w:pP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（以下简称“联绿、新奥”）破产管理人将于</w:t>
      </w:r>
      <w:r>
        <w:rPr>
          <w:rFonts w:asciiTheme="minorEastAsia" w:hAnsiTheme="minorEastAsia"/>
          <w:sz w:val="24"/>
          <w:szCs w:val="24"/>
        </w:rPr>
        <w:t>202</w:t>
      </w:r>
      <w:r>
        <w:rPr>
          <w:rFonts w:hint="eastAsia" w:asciiTheme="minorEastAsia" w:hAnsiTheme="minorEastAsia"/>
          <w:sz w:val="24"/>
          <w:szCs w:val="24"/>
        </w:rPr>
        <w:t>5</w:t>
      </w:r>
      <w:r>
        <w:rPr>
          <w:rFonts w:asciiTheme="minorEastAsia" w:hAnsiTheme="minorEastAsia"/>
          <w:sz w:val="24"/>
          <w:szCs w:val="24"/>
        </w:rPr>
        <w:t>年</w:t>
      </w:r>
      <w:r>
        <w:rPr>
          <w:rFonts w:hint="eastAsia" w:asciiTheme="minorEastAsia" w:hAnsiTheme="minorEastAsia"/>
          <w:sz w:val="24"/>
          <w:szCs w:val="24"/>
          <w:lang w:val="en-US" w:eastAsia="zh-CN"/>
        </w:rPr>
        <w:t>11</w:t>
      </w:r>
      <w:r>
        <w:rPr>
          <w:rFonts w:asciiTheme="minorEastAsia" w:hAnsiTheme="minorEastAsia"/>
          <w:sz w:val="24"/>
          <w:szCs w:val="24"/>
        </w:rPr>
        <w:t>月</w:t>
      </w:r>
      <w:r>
        <w:rPr>
          <w:rFonts w:hint="eastAsia" w:asciiTheme="minorEastAsia" w:hAnsiTheme="minorEastAsia"/>
          <w:sz w:val="24"/>
          <w:szCs w:val="24"/>
          <w:lang w:val="en-US" w:eastAsia="zh-CN"/>
        </w:rPr>
        <w:t>4</w:t>
      </w:r>
      <w:r>
        <w:rPr>
          <w:rFonts w:asciiTheme="minorEastAsia" w:hAnsiTheme="minorEastAsia"/>
          <w:sz w:val="24"/>
          <w:szCs w:val="24"/>
        </w:rPr>
        <w:t>日10时至202</w:t>
      </w:r>
      <w:r>
        <w:rPr>
          <w:rFonts w:hint="eastAsia" w:asciiTheme="minorEastAsia" w:hAnsiTheme="minorEastAsia"/>
          <w:sz w:val="24"/>
          <w:szCs w:val="24"/>
        </w:rPr>
        <w:t>5</w:t>
      </w:r>
      <w:r>
        <w:rPr>
          <w:rFonts w:asciiTheme="minorEastAsia" w:hAnsiTheme="minorEastAsia"/>
          <w:sz w:val="24"/>
          <w:szCs w:val="24"/>
        </w:rPr>
        <w:t>年</w:t>
      </w:r>
      <w:r>
        <w:rPr>
          <w:rFonts w:hint="eastAsia" w:asciiTheme="minorEastAsia" w:hAnsiTheme="minorEastAsia"/>
          <w:sz w:val="24"/>
          <w:szCs w:val="24"/>
          <w:lang w:val="en-US" w:eastAsia="zh-CN"/>
        </w:rPr>
        <w:t>11</w:t>
      </w:r>
      <w:r>
        <w:rPr>
          <w:rFonts w:asciiTheme="minorEastAsia" w:hAnsiTheme="minorEastAsia"/>
          <w:sz w:val="24"/>
          <w:szCs w:val="24"/>
        </w:rPr>
        <w:t>月</w:t>
      </w:r>
      <w:r>
        <w:rPr>
          <w:rFonts w:hint="eastAsia" w:asciiTheme="minorEastAsia" w:hAnsiTheme="minorEastAsia"/>
          <w:sz w:val="24"/>
          <w:szCs w:val="24"/>
          <w:lang w:val="en-US" w:eastAsia="zh-CN"/>
        </w:rPr>
        <w:t>5</w:t>
      </w:r>
      <w:r>
        <w:rPr>
          <w:rFonts w:asciiTheme="minorEastAsia" w:hAnsiTheme="minorEastAsia"/>
          <w:sz w:val="24"/>
          <w:szCs w:val="24"/>
        </w:rPr>
        <w:t>日10时止</w:t>
      </w:r>
      <w:r>
        <w:rPr>
          <w:rFonts w:hint="eastAsia" w:asciiTheme="minorEastAsia" w:hAnsiTheme="minorEastAsia"/>
          <w:sz w:val="24"/>
          <w:szCs w:val="24"/>
        </w:rPr>
        <w:t>（延时的除外）在京东拍卖破产强清平台（处置单位：</w:t>
      </w: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破产管理人），监督单位：北京市昌平区人民法院，网址：https://auction.jd.com/bankrupt.html）进行公开拍卖活动，现就网上拍卖有关事宜敬告各位竞买人：</w:t>
      </w:r>
    </w:p>
    <w:p w14:paraId="32A91E01">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CF0D6D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5E6EE51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5F56E41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37A210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破产管理人沟通办理委托手续；竞买成功后，竞买人（公民、法人和其他组织）或其委托代理人应到破产管理人处办理交付或权属转移手续。如委托手续不全，竞买活动认定为委托代理人的个人行为。因不符合条件参加竞买的，由竞买人自行承担相应的法律责任。</w:t>
      </w:r>
    </w:p>
    <w:p w14:paraId="1F52B48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42E3AF5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33C9E3A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632FA26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1、本标的优先购买权人：</w:t>
      </w:r>
    </w:p>
    <w:p w14:paraId="3577669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优先购买权人应于本公告发布之日起3日内向破产管理人联系，提供相关证明材料，办理相关手续。逾期未提供材料或办理手续者，视为自动放弃优先购买权。</w:t>
      </w:r>
    </w:p>
    <w:p w14:paraId="40A6DE9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破产管理人提交合法有效的证明，经破产管理人确认资格及顺位后才能参与竞买，逾期不提交的，视为放弃对标的物享有优先购买权。破产管理人在正式拍卖日前将经确认的优先权购买人资格和顺位信息，审报网络平台技术部门，录入平台系统。</w:t>
      </w:r>
    </w:p>
    <w:p w14:paraId="5CB6CBE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6BB956D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破产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044CAC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2A24CE8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6114B3EA">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七、保证金</w:t>
      </w:r>
    </w:p>
    <w:p w14:paraId="7246F6CA">
      <w:pPr>
        <w:spacing w:line="360" w:lineRule="auto"/>
        <w:ind w:firstLine="480" w:firstLineChars="200"/>
        <w:rPr>
          <w:rFonts w:asciiTheme="minorEastAsia" w:hAnsiTheme="minorEastAsia"/>
          <w:sz w:val="24"/>
          <w:szCs w:val="24"/>
        </w:rPr>
      </w:pPr>
      <w:r>
        <w:rPr>
          <w:rFonts w:hint="eastAsia" w:asciiTheme="minorEastAsia" w:hAnsiTheme="minorEastAsia"/>
          <w:bCs/>
          <w:sz w:val="24"/>
          <w:szCs w:val="24"/>
        </w:rPr>
        <w:t>1、</w:t>
      </w:r>
      <w:r>
        <w:rPr>
          <w:rFonts w:hint="eastAsia" w:asciiTheme="minorEastAsia" w:hAnsiTheme="minorEastAsia"/>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破产管理人指定账户，其他竞买人的保证金在竞价后即时解冻。竞价结束后，未能竞得者的保证金以及竞价未成交的（即流拍的）竞买人的保证金在竞价活动结束后即时解冻，保证金冻结期间不计利息。</w:t>
      </w:r>
    </w:p>
    <w:p w14:paraId="27769AF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破产管理人、京东平台均不就此承担任何责任。</w:t>
      </w:r>
    </w:p>
    <w:p w14:paraId="0C23F20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A092A3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银行支付限额：https://help.jd.com/user/issue/359-1659.html</w:t>
      </w:r>
    </w:p>
    <w:p w14:paraId="2CA5963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个人/企业参拍流程：https://auction.jd.com/bankrupt.html</w:t>
      </w:r>
    </w:p>
    <w:p w14:paraId="678076B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在参拍、缴纳保证金过程中，如有疑问，请拨打京东拍卖服务热线：4006229586。</w:t>
      </w:r>
    </w:p>
    <w:p w14:paraId="465780A2">
      <w:pPr>
        <w:numPr>
          <w:ilvl w:val="0"/>
          <w:numId w:val="2"/>
        </w:numPr>
        <w:spacing w:line="360" w:lineRule="auto"/>
        <w:ind w:firstLine="482"/>
        <w:rPr>
          <w:rFonts w:ascii="宋体" w:hAnsi="宋体"/>
          <w:b/>
          <w:sz w:val="24"/>
        </w:rPr>
      </w:pPr>
      <w:bookmarkStart w:id="1" w:name="_Hlk90236605"/>
      <w:r>
        <w:rPr>
          <w:rFonts w:ascii="宋体" w:hAnsi="宋体"/>
          <w:sz w:val="24"/>
        </w:rPr>
        <w:t>本次拍卖是经法定公告期和展示期后才举行的，就拍卖标的物已知及可能存在的瑕疵已在本次拍</w:t>
      </w:r>
      <w:r>
        <w:rPr>
          <w:rFonts w:hint="eastAsia" w:ascii="宋体" w:hAnsi="宋体"/>
          <w:sz w:val="24"/>
        </w:rPr>
        <w:t>卖</w:t>
      </w:r>
      <w:r>
        <w:rPr>
          <w:rFonts w:ascii="宋体" w:hAnsi="宋体"/>
          <w:sz w:val="24"/>
        </w:rPr>
        <w:t>资料中作了详尽的说明。破产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竞买人一旦作出竞买决定，即表明已完全了解，并接受标的物的现状和一切已知及未知的瑕疵。</w:t>
      </w:r>
    </w:p>
    <w:p w14:paraId="25EE902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4C1C348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买受人须在拍卖成交之日起三日内（遇节假日顺延）凭缴纳拍卖保证金平台生成的竞买号及相关身份材料到破产管理人处签署拍卖成交确认文件。</w:t>
      </w:r>
    </w:p>
    <w:bookmarkEnd w:id="1"/>
    <w:p w14:paraId="7118FB0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十日</w:t>
      </w:r>
      <w:r>
        <w:rPr>
          <w:rFonts w:hint="eastAsia" w:asciiTheme="minorEastAsia" w:hAnsiTheme="minorEastAsia"/>
          <w:sz w:val="24"/>
          <w:szCs w:val="24"/>
        </w:rPr>
        <w:t>内将拍卖成交价余款（扣除保证金后的余款）缴纳至破产管理人指定账户:</w:t>
      </w:r>
    </w:p>
    <w:p w14:paraId="66626A3E">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户名：北京联绿技术集团有限公司、北京新奥混凝土集团有限公司破产管理人；</w:t>
      </w:r>
    </w:p>
    <w:p w14:paraId="6892C9BA">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账号：8110701012102588445；</w:t>
      </w:r>
    </w:p>
    <w:p w14:paraId="6251D26A">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开户行：中信银行股份有限公司北京和平里支行</w:t>
      </w:r>
    </w:p>
    <w:p w14:paraId="78021149">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b/>
          <w:sz w:val="24"/>
          <w:szCs w:val="24"/>
        </w:rPr>
        <w:t>十</w:t>
      </w:r>
      <w:r>
        <w:rPr>
          <w:rFonts w:hint="eastAsia" w:asciiTheme="minorEastAsia" w:hAnsiTheme="minorEastAsia"/>
          <w:b/>
          <w:bCs/>
          <w:sz w:val="24"/>
          <w:szCs w:val="24"/>
        </w:rPr>
        <w:t>日</w:t>
      </w:r>
      <w:r>
        <w:rPr>
          <w:rFonts w:hint="eastAsia" w:asciiTheme="minorEastAsia" w:hAnsiTheme="minorEastAsia"/>
          <w:sz w:val="24"/>
          <w:szCs w:val="24"/>
        </w:rPr>
        <w:t>内将拍卖成交全部余款缴入指定账户，以及买受人明示或暗示其悔拍等情形）的，破产管理人可重新委托拍卖，买受人交纳的保证金不予退还。用于弥补重新拍卖的成交价低于原拍卖成交价造成的差价、费用损失等。重新拍卖时，原买受人不得参加竞买。</w:t>
      </w:r>
    </w:p>
    <w:p w14:paraId="025E032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十二、拍品交付</w:t>
      </w:r>
    </w:p>
    <w:p w14:paraId="6BAAA1CA">
      <w:pPr>
        <w:spacing w:line="360" w:lineRule="auto"/>
        <w:ind w:firstLine="482" w:firstLineChars="200"/>
        <w:rPr>
          <w:rFonts w:asciiTheme="minorEastAsia" w:hAnsiTheme="minorEastAsia"/>
          <w:b/>
          <w:bCs/>
          <w:sz w:val="24"/>
          <w:szCs w:val="24"/>
          <w:u w:val="single"/>
        </w:rPr>
      </w:pPr>
      <w:r>
        <w:rPr>
          <w:rFonts w:asciiTheme="minorEastAsia" w:hAnsiTheme="minorEastAsia"/>
          <w:b/>
          <w:bCs/>
          <w:sz w:val="24"/>
          <w:szCs w:val="24"/>
          <w:u w:val="single"/>
        </w:rPr>
        <w:t>1、买受人在缴纳完全部拍卖款项后，持有效身份证明及签署好的拍卖成交文件前往标的物存放地办理交割手续，并于缴纳尾款后</w:t>
      </w:r>
      <w:r>
        <w:rPr>
          <w:rFonts w:hint="eastAsia" w:asciiTheme="minorEastAsia" w:hAnsiTheme="minorEastAsia"/>
          <w:b/>
          <w:bCs/>
          <w:sz w:val="24"/>
          <w:szCs w:val="24"/>
          <w:u w:val="single"/>
        </w:rPr>
        <w:t>30</w:t>
      </w:r>
      <w:r>
        <w:rPr>
          <w:rFonts w:asciiTheme="minorEastAsia" w:hAnsiTheme="minorEastAsia"/>
          <w:b/>
          <w:bCs/>
          <w:sz w:val="24"/>
          <w:szCs w:val="24"/>
          <w:u w:val="single"/>
        </w:rPr>
        <w:t>日内完成标的提货，将标的物搬离标的物存放地。如</w:t>
      </w:r>
      <w:r>
        <w:rPr>
          <w:rFonts w:hint="eastAsia" w:asciiTheme="minorEastAsia" w:hAnsiTheme="minorEastAsia"/>
          <w:b/>
          <w:bCs/>
          <w:sz w:val="24"/>
          <w:szCs w:val="24"/>
          <w:u w:val="single"/>
        </w:rPr>
        <w:t>3</w:t>
      </w:r>
      <w:r>
        <w:rPr>
          <w:rFonts w:asciiTheme="minorEastAsia" w:hAnsiTheme="minorEastAsia"/>
          <w:b/>
          <w:bCs/>
          <w:sz w:val="24"/>
          <w:szCs w:val="24"/>
          <w:u w:val="single"/>
        </w:rPr>
        <w:t>0日内未搬离厂区的破产管理人将在“提货安全保证金”中每日扣除2万元作为</w:t>
      </w:r>
      <w:r>
        <w:rPr>
          <w:rFonts w:hint="eastAsia" w:asciiTheme="minorEastAsia" w:hAnsiTheme="minorEastAsia"/>
          <w:b/>
          <w:bCs/>
          <w:sz w:val="24"/>
          <w:szCs w:val="24"/>
          <w:u w:val="single"/>
        </w:rPr>
        <w:t>超期搬离违约金</w:t>
      </w:r>
      <w:r>
        <w:rPr>
          <w:rFonts w:asciiTheme="minorEastAsia" w:hAnsiTheme="minorEastAsia"/>
          <w:b/>
          <w:bCs/>
          <w:sz w:val="24"/>
          <w:szCs w:val="24"/>
          <w:u w:val="single"/>
        </w:rPr>
        <w:t>； 若超</w:t>
      </w:r>
      <w:r>
        <w:rPr>
          <w:rFonts w:hint="eastAsia" w:asciiTheme="minorEastAsia" w:hAnsiTheme="minorEastAsia"/>
          <w:b/>
          <w:bCs/>
          <w:sz w:val="24"/>
          <w:szCs w:val="24"/>
          <w:u w:val="single"/>
        </w:rPr>
        <w:t>过期限后</w:t>
      </w:r>
      <w:r>
        <w:rPr>
          <w:rFonts w:asciiTheme="minorEastAsia" w:hAnsiTheme="minorEastAsia"/>
          <w:b/>
          <w:bCs/>
          <w:sz w:val="24"/>
          <w:szCs w:val="24"/>
          <w:u w:val="single"/>
        </w:rPr>
        <w:t>30日还未将全部标的搬离厂区的，标的物剩余部分视为买受人自动放弃，破产管理人有权对剩余标的物另行处置。未按期支付拍卖款、办理交割手续或未及时将标的物存放地的，由此产生的全部责任、损失和风险（包括但不限于支付场地费、保管费、标的物损毁或灭失等）由买受人自行负责。</w:t>
      </w:r>
    </w:p>
    <w:p w14:paraId="0C0DA0F3">
      <w:pPr>
        <w:spacing w:line="360" w:lineRule="auto"/>
        <w:ind w:firstLine="482" w:firstLineChars="200"/>
        <w:rPr>
          <w:rFonts w:asciiTheme="minorEastAsia" w:hAnsiTheme="minorEastAsia"/>
          <w:b/>
          <w:bCs/>
          <w:sz w:val="24"/>
          <w:szCs w:val="24"/>
          <w:u w:val="single"/>
        </w:rPr>
      </w:pPr>
      <w:r>
        <w:rPr>
          <w:rFonts w:asciiTheme="minorEastAsia" w:hAnsiTheme="minorEastAsia"/>
          <w:b/>
          <w:bCs/>
          <w:sz w:val="24"/>
          <w:szCs w:val="24"/>
          <w:u w:val="single"/>
        </w:rPr>
        <w:t>2、如本次拍卖标的物由于不确定因素或自然灾害等不可抗力因素或破产管理人未能掌握的情形等原因致使拍卖标的物不能如期交付的，破产管理人和拍辅公司概不承担任何责任。</w:t>
      </w:r>
    </w:p>
    <w:p w14:paraId="01E43750">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3、如标的物存在冻结、查封、质押等权利限制、政策原因或存在隐性瑕疵导致债权变更手续办理延长或者受阻等情况的，管理人和拍卖辅助机构不保证买受人可避免上述情况，亦不就上述情况的发生承担任何法律责任。</w:t>
      </w:r>
    </w:p>
    <w:p w14:paraId="2B2AB1E9">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1FF7F3D1">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 xml:space="preserve">标的物拆除、搬运期间所涉及的一切费用及明确的或潜在的一切关联费用(包括但不限于装卸费、人工费、运输费、场地费、应由买受人承担的税费及拆迁中标的物自身的损毁、灭失，赔偿因拆迁、拆卸、搬运过程中给他人人身或者财产安全造成的损害；防范或者消除拆迁、拆卸、搬运过程中涉及的环境污染问题或者消防安全问题等而支出的费用等等)由买受人自行承担。 </w:t>
      </w:r>
    </w:p>
    <w:p w14:paraId="06515DF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7A8D7ED3">
      <w:pPr>
        <w:spacing w:line="360" w:lineRule="auto"/>
        <w:ind w:firstLine="480" w:firstLineChars="200"/>
        <w:rPr>
          <w:rFonts w:asciiTheme="minorEastAsia" w:hAnsiTheme="minorEastAsia"/>
          <w:sz w:val="24"/>
          <w:szCs w:val="24"/>
        </w:rPr>
      </w:pPr>
      <w:bookmarkStart w:id="2" w:name="_Hlk167805465"/>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21475F2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拍卖标的物竞拍成功后，平台系统会在线上生成一笔待支付的技术服务费，买受人通过线上全额支付完成费用后拍卖标的保证金将转至处置主体的银行账户(若买受人未支付技术服务费的，平台将延迟推送竞拍保证金直至买受人线上完成技术服务费订单的支付)。</w:t>
      </w:r>
      <w:bookmarkEnd w:id="2"/>
    </w:p>
    <w:p w14:paraId="4A1A812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5D8DC0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1B7CE65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相关的法律文书及通知，竞买人在竞价前如实向京东网络竞价平台提供确切的送达地址或者主动与破产管理人联系。如需更改地址，买受人应及时与破产管理人联系确认更改。因提供的送达地址不确切，或未及时告知变更地址，导致有关法律文书及通知无法送达的，由竞买人自行承担由此可能产生的法律后果。</w:t>
      </w:r>
    </w:p>
    <w:p w14:paraId="219E22BA">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十七、</w:t>
      </w:r>
      <w:r>
        <w:rPr>
          <w:rFonts w:hint="eastAsia" w:asciiTheme="minorEastAsia" w:hAnsiTheme="minorEastAsia"/>
          <w:sz w:val="24"/>
          <w:szCs w:val="24"/>
        </w:rPr>
        <w:t>竞买人在竞价前请务必仔细阅读公告、须知、标的物详情。本规则其他未尽事宜，请予咨询。</w:t>
      </w:r>
    </w:p>
    <w:p w14:paraId="4AA7021A">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十八、</w:t>
      </w:r>
      <w:r>
        <w:rPr>
          <w:rFonts w:hint="eastAsia" w:asciiTheme="minorEastAsia" w:hAnsiTheme="minorEastAsia"/>
          <w:bCs/>
          <w:sz w:val="24"/>
          <w:szCs w:val="24"/>
        </w:rPr>
        <w:t>破产案件监督单位：北京市昌平区人民法院;</w:t>
      </w:r>
    </w:p>
    <w:p w14:paraId="040872B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咨询电话：刘先生：15901366440，李先生：13552572522；</w:t>
      </w:r>
    </w:p>
    <w:p w14:paraId="5324C29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京东技术咨询电话：4006229586；</w:t>
      </w:r>
      <w:bookmarkStart w:id="3" w:name="_GoBack"/>
      <w:bookmarkEnd w:id="3"/>
    </w:p>
    <w:p w14:paraId="444945D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w:t>
      </w:r>
      <w:r>
        <w:rPr>
          <w:rFonts w:asciiTheme="minorEastAsia" w:hAnsiTheme="minorEastAsia"/>
          <w:sz w:val="24"/>
          <w:szCs w:val="24"/>
        </w:rPr>
        <w:t>010-80122022</w:t>
      </w:r>
      <w:r>
        <w:rPr>
          <w:rFonts w:hint="eastAsia" w:asciiTheme="minorEastAsia" w:hAnsiTheme="minorEastAsia"/>
          <w:sz w:val="24"/>
          <w:szCs w:val="24"/>
        </w:rPr>
        <w:t>。</w:t>
      </w:r>
    </w:p>
    <w:p w14:paraId="4A08102F">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本次拍卖活动最终解释权归北京联绿技术集团有限公司、北京新奥混凝土集团有限公司破产管理人所有。</w:t>
      </w:r>
    </w:p>
    <w:p w14:paraId="3261A9D3">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67BCD9D1">
      <w:pPr>
        <w:spacing w:line="360" w:lineRule="auto"/>
        <w:ind w:firstLine="480" w:firstLineChars="200"/>
        <w:jc w:val="right"/>
        <w:rPr>
          <w:rFonts w:asciiTheme="minorEastAsia" w:hAnsiTheme="minorEastAsia"/>
          <w:sz w:val="24"/>
          <w:szCs w:val="24"/>
        </w:rPr>
      </w:pPr>
      <w:r>
        <w:rPr>
          <w:rFonts w:hint="eastAsia" w:ascii="宋体" w:hAnsi="宋体" w:eastAsia="宋体" w:cs="微软雅黑"/>
          <w:sz w:val="24"/>
          <w:szCs w:val="24"/>
        </w:rPr>
        <w:t>北京联绿技术集团有限公司、北京新奥混凝土集团有限公司</w:t>
      </w:r>
      <w:r>
        <w:rPr>
          <w:rFonts w:hint="eastAsia" w:asciiTheme="minorEastAsia" w:hAnsiTheme="minorEastAsia"/>
          <w:sz w:val="24"/>
          <w:szCs w:val="24"/>
        </w:rPr>
        <w:t>破产管理人</w:t>
      </w:r>
    </w:p>
    <w:p w14:paraId="52FD22C8">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二〇二五年十月</w:t>
      </w:r>
      <w:r>
        <w:rPr>
          <w:rFonts w:hint="eastAsia" w:asciiTheme="minorEastAsia" w:hAnsiTheme="minorEastAsia"/>
          <w:sz w:val="24"/>
          <w:szCs w:val="24"/>
          <w:lang w:val="en-US" w:eastAsia="zh-CN"/>
        </w:rPr>
        <w:t>二十七</w:t>
      </w:r>
      <w:r>
        <w:rPr>
          <w:rFonts w:hint="eastAsia" w:asciiTheme="minorEastAsia" w:hAnsiTheme="minorEastAsia"/>
          <w:sz w:val="24"/>
          <w:szCs w:val="24"/>
        </w:rPr>
        <w:t>日</w:t>
      </w:r>
    </w:p>
    <w:p w14:paraId="542C3629">
      <w:pPr>
        <w:spacing w:line="360" w:lineRule="auto"/>
        <w:ind w:right="960"/>
        <w:rPr>
          <w:rFonts w:asciiTheme="minorEastAsia" w:hAnsiTheme="minorEastAsia"/>
          <w:sz w:val="24"/>
          <w:szCs w:val="24"/>
        </w:rPr>
      </w:pPr>
    </w:p>
    <w:tbl>
      <w:tblPr>
        <w:tblStyle w:val="7"/>
        <w:tblW w:w="5000" w:type="pct"/>
        <w:jc w:val="center"/>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576"/>
        <w:gridCol w:w="6760"/>
      </w:tblGrid>
      <w:tr w14:paraId="48999B7C">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36" w:hRule="atLeast"/>
          <w:jc w:val="center"/>
        </w:trPr>
        <w:tc>
          <w:tcPr>
            <w:tcW w:w="5000" w:type="pct"/>
            <w:gridSpan w:val="2"/>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3F26A520">
            <w:pPr>
              <w:widowControl/>
              <w:spacing w:line="360" w:lineRule="auto"/>
              <w:jc w:val="center"/>
              <w:rPr>
                <w:rFonts w:cs="Helvetica" w:asciiTheme="minorEastAsia" w:hAnsiTheme="minorEastAsia"/>
                <w:b/>
                <w:bCs/>
                <w:color w:val="000000" w:themeColor="text1"/>
                <w:kern w:val="0"/>
                <w:sz w:val="24"/>
                <w:szCs w:val="24"/>
                <w14:textFill>
                  <w14:solidFill>
                    <w14:schemeClr w14:val="tx1"/>
                  </w14:solidFill>
                </w14:textFill>
              </w:rPr>
            </w:pPr>
            <w:r>
              <w:rPr>
                <w:rFonts w:hint="eastAsia" w:cs="Helvetica" w:asciiTheme="minorEastAsia" w:hAnsiTheme="minorEastAsia"/>
                <w:b/>
                <w:bCs/>
                <w:color w:val="000000" w:themeColor="text1"/>
                <w:kern w:val="0"/>
                <w:sz w:val="24"/>
                <w:szCs w:val="24"/>
                <w14:textFill>
                  <w14:solidFill>
                    <w14:schemeClr w14:val="tx1"/>
                  </w14:solidFill>
                </w14:textFill>
              </w:rPr>
              <w:t>标的物调查表</w:t>
            </w:r>
          </w:p>
        </w:tc>
      </w:tr>
      <w:tr w14:paraId="33C82183">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821" w:hRule="atLeast"/>
          <w:jc w:val="center"/>
        </w:trPr>
        <w:tc>
          <w:tcPr>
            <w:tcW w:w="94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47EEBC3D">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拍品名称</w:t>
            </w:r>
          </w:p>
        </w:tc>
        <w:tc>
          <w:tcPr>
            <w:tcW w:w="405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CB841FC">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北京联绿技术集团有限公司、北京新奥混凝土集团有限公司名下建筑物、构筑物、机器设备、电子设备、车俩、存货、无形资产、在建工程等资产一批</w:t>
            </w:r>
          </w:p>
        </w:tc>
      </w:tr>
      <w:tr w14:paraId="4354B437">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22" w:hRule="atLeast"/>
          <w:jc w:val="center"/>
        </w:trPr>
        <w:tc>
          <w:tcPr>
            <w:tcW w:w="94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1FBA6493">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拍品所有人</w:t>
            </w:r>
          </w:p>
        </w:tc>
        <w:tc>
          <w:tcPr>
            <w:tcW w:w="405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4CB127E7">
            <w:pPr>
              <w:widowControl/>
              <w:spacing w:line="360" w:lineRule="auto"/>
              <w:jc w:val="center"/>
              <w:rPr>
                <w:rFonts w:asciiTheme="minorEastAsia" w:hAnsiTheme="minorEastAsia"/>
                <w:sz w:val="24"/>
                <w:szCs w:val="24"/>
              </w:rPr>
            </w:pPr>
            <w:r>
              <w:rPr>
                <w:rFonts w:hint="eastAsia" w:asciiTheme="minorEastAsia" w:hAnsiTheme="minorEastAsia"/>
                <w:color w:val="000000" w:themeColor="text1"/>
                <w:sz w:val="24"/>
                <w:szCs w:val="24"/>
                <w14:textFill>
                  <w14:solidFill>
                    <w14:schemeClr w14:val="tx1"/>
                  </w14:solidFill>
                </w14:textFill>
              </w:rPr>
              <w:t>北京联绿技术集团有限公司、北京新奥混凝土集团有限公司</w:t>
            </w:r>
          </w:p>
        </w:tc>
      </w:tr>
      <w:tr w14:paraId="0456F8A3">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3" w:hRule="atLeast"/>
          <w:jc w:val="center"/>
        </w:trPr>
        <w:tc>
          <w:tcPr>
            <w:tcW w:w="94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23928004">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提供的文件</w:t>
            </w:r>
          </w:p>
        </w:tc>
        <w:tc>
          <w:tcPr>
            <w:tcW w:w="4055" w:type="pct"/>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4645F1B8">
            <w:pPr>
              <w:widowControl/>
              <w:spacing w:line="360" w:lineRule="auto"/>
              <w:jc w:val="center"/>
              <w:rPr>
                <w:rFonts w:cs="Helvetica" w:asciiTheme="minorEastAsia" w:hAnsiTheme="minorEastAsia"/>
                <w:color w:val="000000" w:themeColor="text1"/>
                <w:kern w:val="0"/>
                <w:sz w:val="24"/>
                <w:szCs w:val="24"/>
                <w14:textFill>
                  <w14:solidFill>
                    <w14:schemeClr w14:val="tx1"/>
                  </w14:solidFill>
                </w14:textFill>
              </w:rPr>
            </w:pPr>
            <w:r>
              <w:rPr>
                <w:rFonts w:cs="Helvetica" w:asciiTheme="minorEastAsia" w:hAnsiTheme="minorEastAsia"/>
                <w:color w:val="000000" w:themeColor="text1"/>
                <w:kern w:val="0"/>
                <w:sz w:val="24"/>
                <w:szCs w:val="24"/>
                <w14:textFill>
                  <w14:solidFill>
                    <w14:schemeClr w14:val="tx1"/>
                  </w14:solidFill>
                </w14:textFill>
              </w:rPr>
              <w:t>1、《拍卖成交确认书》</w:t>
            </w:r>
          </w:p>
        </w:tc>
      </w:tr>
      <w:tr w14:paraId="6AB642BA">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shd w:val="clear" w:color="auto" w:fill="FFFFFF"/>
          <w:tblCellMar>
            <w:top w:w="0" w:type="dxa"/>
            <w:left w:w="0" w:type="dxa"/>
            <w:bottom w:w="0" w:type="dxa"/>
            <w:right w:w="0" w:type="dxa"/>
          </w:tblCellMar>
        </w:tblPrEx>
        <w:trPr>
          <w:trHeight w:val="2108" w:hRule="atLeast"/>
          <w:jc w:val="center"/>
        </w:trPr>
        <w:tc>
          <w:tcPr>
            <w:tcW w:w="5000" w:type="pct"/>
            <w:gridSpan w:val="2"/>
            <w:tcBorders>
              <w:top w:val="single" w:color="auto" w:sz="8" w:space="0"/>
              <w:left w:val="single" w:color="auto" w:sz="8" w:space="0"/>
              <w:right w:val="single" w:color="auto" w:sz="8" w:space="0"/>
            </w:tcBorders>
            <w:shd w:val="clear" w:color="auto" w:fill="FFFFFF"/>
            <w:tcMar>
              <w:top w:w="15" w:type="dxa"/>
              <w:left w:w="15" w:type="dxa"/>
              <w:bottom w:w="150" w:type="dxa"/>
              <w:right w:w="15" w:type="dxa"/>
            </w:tcMar>
            <w:vAlign w:val="center"/>
          </w:tcPr>
          <w:p w14:paraId="178D420F">
            <w:pPr>
              <w:widowControl/>
              <w:spacing w:line="360" w:lineRule="auto"/>
              <w:jc w:val="center"/>
              <w:rPr>
                <w:rFonts w:cs="Helvetica" w:asciiTheme="minorEastAsia" w:hAnsiTheme="minorEastAsia"/>
                <w:b/>
                <w:bCs/>
                <w:color w:val="FF0000"/>
                <w:kern w:val="0"/>
                <w:sz w:val="24"/>
                <w:szCs w:val="24"/>
              </w:rPr>
            </w:pPr>
            <w:r>
              <w:rPr>
                <w:rFonts w:cs="Helvetica" w:asciiTheme="minorEastAsia" w:hAnsiTheme="minorEastAsia"/>
                <w:b/>
                <w:bCs/>
                <w:color w:val="FF0000"/>
                <w:kern w:val="0"/>
                <w:sz w:val="24"/>
                <w:szCs w:val="24"/>
              </w:rPr>
              <w:t>拍品介绍</w:t>
            </w:r>
          </w:p>
          <w:p w14:paraId="212BFFCF">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1、本次拍卖标的物建筑物、构筑物主要为厂区内的建筑物（系建造于租赁的土地上，无产权证书），围栏、宿舍楼、车间等等具体情况以现场实际为准。</w:t>
            </w:r>
          </w:p>
          <w:p w14:paraId="3001712E">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2、本次拍卖标的物机器设备为厂区内的搅拌机组、生产设备、研发中心设备、生产车间设备，办公设备、实验车间等等具体情况以现场实际为准。</w:t>
            </w:r>
          </w:p>
          <w:p w14:paraId="425FC867">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3、本次拍卖标的物车辆为自卸车、洒水车、面包车等具体情况以现场实际为准。</w:t>
            </w:r>
          </w:p>
          <w:p w14:paraId="6F97F753">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4、本次拍卖标的物存货为陶粒、钢纤维、硅灰等等具体情况以现场实际为准。</w:t>
            </w:r>
          </w:p>
          <w:p w14:paraId="33F8182D">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5、本次拍卖标的物中无形资产主要包括：专利权、商标权、软件著作权。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4FC434EA">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6、</w:t>
            </w:r>
            <w:r>
              <w:rPr>
                <w:rFonts w:hint="eastAsia" w:asciiTheme="minorEastAsia" w:hAnsiTheme="minorEastAsia"/>
                <w:color w:val="FF0000"/>
                <w:sz w:val="24"/>
                <w:szCs w:val="24"/>
              </w:rPr>
              <w:t>北京新奥混凝土集团有限公司是</w:t>
            </w:r>
            <w:r>
              <w:rPr>
                <w:rFonts w:hint="eastAsia" w:asciiTheme="minorEastAsia" w:hAnsiTheme="minorEastAsia"/>
                <w:b/>
                <w:bCs/>
                <w:color w:val="FF0000"/>
                <w:sz w:val="24"/>
                <w:szCs w:val="24"/>
              </w:rPr>
              <w:t>（2021）京0105执恢2009号案件的被执行人，该案申请执行人已申请朝阳区人民法院强制执行，朝阳区人民法院责令</w:t>
            </w:r>
            <w:r>
              <w:rPr>
                <w:rFonts w:hint="eastAsia" w:asciiTheme="minorEastAsia" w:hAnsiTheme="minorEastAsia"/>
                <w:color w:val="FF0000"/>
                <w:sz w:val="24"/>
                <w:szCs w:val="24"/>
              </w:rPr>
              <w:t>北京新奥混凝土集团有限公司</w:t>
            </w:r>
            <w:r>
              <w:rPr>
                <w:rFonts w:hint="eastAsia" w:asciiTheme="minorEastAsia" w:hAnsiTheme="minorEastAsia"/>
                <w:b/>
                <w:bCs/>
                <w:color w:val="FF0000"/>
                <w:sz w:val="24"/>
                <w:szCs w:val="24"/>
              </w:rPr>
              <w:t>将北京市朝阳区小红门乡三台山甲1号面积3050.5平方米库房及面积66.85亩货场腾退给北京祥龙三台山物流有限公司。</w:t>
            </w:r>
          </w:p>
          <w:p w14:paraId="352EC22F">
            <w:pPr>
              <w:spacing w:line="360" w:lineRule="auto"/>
              <w:ind w:firstLine="482" w:firstLineChars="200"/>
              <w:rPr>
                <w:rFonts w:asciiTheme="minorEastAsia" w:hAnsiTheme="minorEastAsia"/>
                <w:b/>
                <w:bCs/>
                <w:color w:val="FF0000"/>
                <w:sz w:val="24"/>
                <w:szCs w:val="24"/>
              </w:rPr>
            </w:pPr>
          </w:p>
          <w:p w14:paraId="5DDC625C">
            <w:pPr>
              <w:spacing w:line="360" w:lineRule="auto"/>
              <w:jc w:val="center"/>
              <w:rPr>
                <w:rFonts w:cs="Helvetica" w:asciiTheme="minorEastAsia" w:hAnsiTheme="minorEastAsia"/>
                <w:b/>
                <w:bCs/>
                <w:color w:val="FF0000"/>
                <w:kern w:val="0"/>
                <w:sz w:val="24"/>
                <w:szCs w:val="24"/>
              </w:rPr>
            </w:pPr>
            <w:r>
              <w:rPr>
                <w:rFonts w:cs="Helvetica" w:asciiTheme="minorEastAsia" w:hAnsiTheme="minorEastAsia"/>
                <w:b/>
                <w:bCs/>
                <w:color w:val="FF0000"/>
                <w:kern w:val="0"/>
                <w:sz w:val="24"/>
                <w:szCs w:val="24"/>
              </w:rPr>
              <w:t>（该信息仅供参考，具体以标的物现状为准。）</w:t>
            </w:r>
          </w:p>
        </w:tc>
      </w:tr>
      <w:tr w14:paraId="04C8239B">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1525" w:hRule="atLeast"/>
          <w:jc w:val="center"/>
        </w:trPr>
        <w:tc>
          <w:tcPr>
            <w:tcW w:w="5000" w:type="pct"/>
            <w:gridSpan w:val="2"/>
            <w:tcBorders>
              <w:top w:val="single" w:color="auto" w:sz="8" w:space="0"/>
              <w:left w:val="single" w:color="auto" w:sz="8" w:space="0"/>
              <w:bottom w:val="single" w:color="auto" w:sz="8" w:space="0"/>
              <w:right w:val="single" w:color="auto" w:sz="8" w:space="0"/>
            </w:tcBorders>
            <w:shd w:val="clear" w:color="auto" w:fill="FFFFFF"/>
            <w:tcMar>
              <w:top w:w="15" w:type="dxa"/>
              <w:left w:w="15" w:type="dxa"/>
              <w:bottom w:w="150" w:type="dxa"/>
              <w:right w:w="15" w:type="dxa"/>
            </w:tcMar>
            <w:vAlign w:val="center"/>
          </w:tcPr>
          <w:p w14:paraId="6D2ADB92">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标的成交后拆除机器设备过程中买受人应自行做好安全管理，同时接受破产管理人及国家相关安监部门监督，相关作业须完全符合国家和地方法律法规、国家及行业规范，及其他规范性文件和操作流程，以确保作业过程合法、安全、环保，并不得对拍卖标的所在地、相邻地及周围环境造成不良影响，不得损害现场内其他资产或第三人权益，不得对建筑物造成毁损；拍卖成交后买受人须在十日内，除标的物尾款外，另行缴纳200万元“提货安全保证金”至破产管理人账户。用于担保作业过程中不产生任何影响环境、损害其他资产或第三人权益的情况以及安全事故，如作业中产生前述或相类似的情况或事故的，安全保证金将用于弥补相关损失，不足部分由买受人另行承担，如未发生，安全保证金于作业完成后5日内，全额无息将退至原账户。打款时请备注：提货安全保证金；</w:t>
            </w:r>
          </w:p>
          <w:p w14:paraId="20364F80">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2、本次拍卖要求买受人在成交之日起30日内将标的物全部拆除并搬离厂区，如30日内未搬离厂区的管理人将在“提货安全保证金”中每日扣除2万元作为超期搬离违约金；若超过约定期限后30日还未将全部标的搬离厂区的，标的物剩余部分视为买受人自动放弃，管理人有权对剩余标的物另行处置。</w:t>
            </w:r>
          </w:p>
          <w:p w14:paraId="5E94A4DC">
            <w:pPr>
              <w:spacing w:before="100" w:after="100" w:line="360" w:lineRule="auto"/>
              <w:ind w:firstLine="480"/>
              <w:jc w:val="left"/>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3、本次拍卖标的物中北京联绿技术集团有限公司、北京新奥混凝土集团有限公司名下建筑物、构筑物、机器设备等拆除工程需严格遵守北京市相关环保要求执行，拆除过程中应采取湿法作业，设置围挡，防止扬尘污染，确保施工现场符合绿色施工要求，拆除产生的建筑垃圾、废水及固体废物需按照环保要求分类存放、集中处理，相关处理费用由买受人承担，不得随意丢弃或排放，拆除工程需编制施工方案及应急预案，明确环保措施，并在施工结束后清理现场，恢复场地原貌。如买受人在拆除过程中违反相关部门环保要求或其他相关法律法规，由此产生的法律责任、经济损失及行政处罚等均由买受人自行承担，破产管理人及拍卖辅助机构不承担任何责任。</w:t>
            </w:r>
          </w:p>
          <w:p w14:paraId="07857114">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 xml:space="preserve">4、标的物状况以标的物现状为准，标的物中设备可能存在老化、毁损、灭失或不能正常使用的情况。破产管理人及拍卖辅助机构不承担本标的物瑕疵保证和质量保修，具体以实物及实际情况为准。除拍卖文件披露外，竞买人应对拍卖标的物的实际状况以及瑕疵（含显性、隐性瑕疵）等自行调查核实，并承担全部风险。破产管理人及拍卖辅助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 </w:t>
            </w:r>
          </w:p>
          <w:p w14:paraId="254FC7FC">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5、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破产管理人对此不负责任。</w:t>
            </w:r>
          </w:p>
          <w:p w14:paraId="00B7DF79">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6、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2904DF07">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7、</w:t>
            </w:r>
            <w:r>
              <w:rPr>
                <w:rFonts w:asciiTheme="minorEastAsia" w:hAnsiTheme="minorEastAsia"/>
                <w:b/>
                <w:color w:val="000000" w:themeColor="text1"/>
                <w:sz w:val="24"/>
                <w:szCs w:val="24"/>
                <w14:textFill>
                  <w14:solidFill>
                    <w14:schemeClr w14:val="tx1"/>
                  </w14:solidFill>
                </w14:textFill>
              </w:rPr>
              <w:t>标的物以实物现状进行交付，标的物的现状、数量、质量、型号及使用状态等以拍卖成交后移交时的现状、数量、质量、型号及使用状态等为准。若标的物交付时与拍卖公告载明的现状、数量、质量、型号及使用状态等有出入，拍卖成交价不作调整。本次拍卖标的物若有已嵌入建筑物墙体或地面下，标的物移交过程中不得破坏现场（设备基础拆除后需回填土方）及建筑物本身；若因拆卸标的物需对现场或建筑物进行破坏的，买受人需先承担相应恢复原状费用。</w:t>
            </w:r>
            <w:r>
              <w:rPr>
                <w:rFonts w:asciiTheme="minorEastAsia" w:hAnsiTheme="minorEastAsia"/>
                <w:b/>
                <w:bCs/>
                <w:color w:val="000000" w:themeColor="text1"/>
                <w:sz w:val="24"/>
                <w:szCs w:val="24"/>
                <w14:textFill>
                  <w14:solidFill>
                    <w14:schemeClr w14:val="tx1"/>
                  </w14:solidFill>
                </w14:textFill>
              </w:rPr>
              <w:t>标的物因嵌入建筑物内，买受人放弃拆卸的视为放弃对相应标的物所有权，拍卖成交价不作调整。</w:t>
            </w:r>
            <w:r>
              <w:rPr>
                <w:rFonts w:asciiTheme="minorEastAsia" w:hAnsiTheme="minorEastAsia"/>
                <w:b/>
                <w:color w:val="000000" w:themeColor="text1"/>
                <w:sz w:val="24"/>
                <w:szCs w:val="24"/>
                <w14:textFill>
                  <w14:solidFill>
                    <w14:schemeClr w14:val="tx1"/>
                  </w14:solidFill>
                </w14:textFill>
              </w:rPr>
              <w:t>拍卖标的如有其它瑕疵，由买受人自行了解，并承担相应的风险。</w:t>
            </w:r>
          </w:p>
          <w:p w14:paraId="3AECE09E">
            <w:pPr>
              <w:spacing w:line="360" w:lineRule="auto"/>
              <w:ind w:firstLine="482" w:firstLineChars="200"/>
              <w:rPr>
                <w:rFonts w:asciiTheme="minorEastAsia" w:hAnsiTheme="minorEastAsia"/>
                <w:b/>
                <w:color w:val="000000" w:themeColor="text1"/>
                <w:sz w:val="24"/>
                <w:szCs w:val="24"/>
                <w14:textFill>
                  <w14:solidFill>
                    <w14:schemeClr w14:val="tx1"/>
                  </w14:solidFill>
                </w14:textFill>
              </w:rPr>
            </w:pPr>
            <w:r>
              <w:rPr>
                <w:rFonts w:hint="eastAsia" w:asciiTheme="minorEastAsia" w:hAnsiTheme="minorEastAsia"/>
                <w:b/>
                <w:color w:val="000000" w:themeColor="text1"/>
                <w:sz w:val="24"/>
                <w:szCs w:val="24"/>
                <w14:textFill>
                  <w14:solidFill>
                    <w14:schemeClr w14:val="tx1"/>
                  </w14:solidFill>
                </w14:textFill>
              </w:rPr>
              <w:t>8、关于无形资产，拍卖成交后以现状进行交付。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做担保，亦不能保证拍卖标的物及其附属权利的有效性、完整性、完好性；管理人不能保证拍卖标的物能够正常使用，亦不提供任何形式的售后服务。</w:t>
            </w:r>
          </w:p>
          <w:p w14:paraId="2C71E0E8">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9、拍卖成交后，本拍卖标的物的转让登记、过户、补证、续展、抗辩、答辩等手续由买受人自行办理（请自行向有关部门咨询补证、转让、续展、登记、撤三答辩等手续，并请立即办理相应手续），管理人不承诺可以办理成功。如果不能办理成功的，买受人自行承担风险，已经支付的成交款不予返还。办理上述手续所涉及的一切税费、由交易各方按照相关法律规定各自承担。可能产生的其他费用等均由买受人自行承担。</w:t>
            </w:r>
          </w:p>
          <w:p w14:paraId="27CDFBCD">
            <w:pPr>
              <w:spacing w:line="360" w:lineRule="auto"/>
              <w:ind w:firstLine="482" w:firstLineChars="200"/>
              <w:rPr>
                <w:rFonts w:asciiTheme="minorEastAsia" w:hAnsiTheme="minorEastAsia"/>
                <w:b/>
                <w:bCs/>
                <w:color w:val="000000" w:themeColor="text1"/>
                <w:sz w:val="24"/>
                <w:szCs w:val="24"/>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10、拍卖成交后，买受人不得以拍卖标的物不存在、名称等信息不准确、权利已丧失（含被撤销、无效、被宣告无效、失效）或有瑕疵、数量存在短缺、欠缴税/费、司法查封、权利凭证缺失、无法正常使用、无法过户等方面存在问题或公告规则不合理、不公平等为由提出异议、主张竞价无效、悔拍、向管理人及拍卖辅助机构索偿。拍卖标的物成交后，前述相关状况由买受人负责解决，所有责任由买受人承担，所产生的费用由买受人自行承担，管理人不做任何担保或承诺，亦不承担披露信息不准确或不全等情形的后果。管理人提供材料后，买受人不能办理过户的，拍卖价款不予退还。</w:t>
            </w:r>
          </w:p>
          <w:p w14:paraId="2441A0F2">
            <w:pPr>
              <w:spacing w:before="100" w:after="100" w:line="360" w:lineRule="auto"/>
              <w:ind w:firstLine="480"/>
              <w:jc w:val="left"/>
              <w:rPr>
                <w:rFonts w:ascii="宋体" w:hAnsi="宋体"/>
                <w:color w:val="000000" w:themeColor="text1"/>
                <w:sz w:val="24"/>
                <w:shd w:val="clear" w:color="auto" w:fill="FFFFFF"/>
                <w14:textFill>
                  <w14:solidFill>
                    <w14:schemeClr w14:val="tx1"/>
                  </w14:solidFill>
                </w14:textFill>
              </w:rPr>
            </w:pPr>
            <w:r>
              <w:rPr>
                <w:rFonts w:hint="eastAsia" w:asciiTheme="minorEastAsia" w:hAnsiTheme="minorEastAsia"/>
                <w:b/>
                <w:bCs/>
                <w:color w:val="000000" w:themeColor="text1"/>
                <w:sz w:val="24"/>
                <w:szCs w:val="24"/>
                <w14:textFill>
                  <w14:solidFill>
                    <w14:schemeClr w14:val="tx1"/>
                  </w14:solidFill>
                </w14:textFill>
              </w:rPr>
              <w:t>11、其他未尽事宜由买受人自行了解。</w:t>
            </w:r>
          </w:p>
        </w:tc>
      </w:tr>
    </w:tbl>
    <w:p w14:paraId="0D0AB3EC">
      <w:pPr>
        <w:spacing w:line="360" w:lineRule="auto"/>
        <w:ind w:firstLine="480" w:firstLineChars="200"/>
        <w:jc w:val="right"/>
        <w:rPr>
          <w:rFonts w:asciiTheme="minorEastAsia" w:hAnsiTheme="minorEastAsia"/>
          <w:sz w:val="24"/>
          <w:szCs w:val="24"/>
        </w:rPr>
      </w:pPr>
    </w:p>
    <w:p w14:paraId="6EA52A91">
      <w:pPr>
        <w:spacing w:line="360" w:lineRule="auto"/>
        <w:ind w:firstLine="480" w:firstLineChars="200"/>
        <w:jc w:val="right"/>
        <w:rPr>
          <w:rFonts w:asciiTheme="minorEastAsia" w:hAnsiTheme="minorEastAsia"/>
          <w:sz w:val="24"/>
          <w:szCs w:val="24"/>
        </w:rPr>
      </w:pPr>
    </w:p>
    <w:p w14:paraId="515EE19A">
      <w:pPr>
        <w:spacing w:line="360" w:lineRule="auto"/>
        <w:ind w:firstLine="480" w:firstLineChars="200"/>
        <w:jc w:val="right"/>
        <w:rPr>
          <w:rFonts w:asciiTheme="minorEastAsia" w:hAnsiTheme="minorEastAsia"/>
          <w:sz w:val="24"/>
          <w:szCs w:val="24"/>
        </w:rPr>
      </w:pPr>
    </w:p>
    <w:p w14:paraId="4001C48F">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1EDE8635">
      <w:pPr>
        <w:spacing w:line="360" w:lineRule="auto"/>
        <w:jc w:val="left"/>
        <w:rPr>
          <w:rFonts w:asciiTheme="minorEastAsia" w:hAnsiTheme="minorEastAsia"/>
          <w:sz w:val="24"/>
          <w:szCs w:val="24"/>
        </w:rPr>
      </w:pPr>
    </w:p>
    <w:p w14:paraId="59CF5414">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abstractNum w:abstractNumId="1">
    <w:nsid w:val="38FC4E75"/>
    <w:multiLevelType w:val="singleLevel"/>
    <w:tmpl w:val="38FC4E75"/>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00003AA3"/>
    <w:rsid w:val="000134B2"/>
    <w:rsid w:val="0002393B"/>
    <w:rsid w:val="000345F8"/>
    <w:rsid w:val="00046729"/>
    <w:rsid w:val="000505EB"/>
    <w:rsid w:val="00051E02"/>
    <w:rsid w:val="0005677F"/>
    <w:rsid w:val="00061D2E"/>
    <w:rsid w:val="00065677"/>
    <w:rsid w:val="00087E11"/>
    <w:rsid w:val="00090CCA"/>
    <w:rsid w:val="0009418A"/>
    <w:rsid w:val="000A0642"/>
    <w:rsid w:val="000A2090"/>
    <w:rsid w:val="000A33CA"/>
    <w:rsid w:val="000A527A"/>
    <w:rsid w:val="000B0A3F"/>
    <w:rsid w:val="000B1587"/>
    <w:rsid w:val="000B3110"/>
    <w:rsid w:val="000C5FC8"/>
    <w:rsid w:val="000C608D"/>
    <w:rsid w:val="000D4284"/>
    <w:rsid w:val="000D5FB3"/>
    <w:rsid w:val="000D639B"/>
    <w:rsid w:val="000E3E65"/>
    <w:rsid w:val="000E4F2A"/>
    <w:rsid w:val="000E5C61"/>
    <w:rsid w:val="000F58A1"/>
    <w:rsid w:val="000F7438"/>
    <w:rsid w:val="00104AEB"/>
    <w:rsid w:val="00114A15"/>
    <w:rsid w:val="001206E4"/>
    <w:rsid w:val="00122E94"/>
    <w:rsid w:val="00124E8B"/>
    <w:rsid w:val="001324EB"/>
    <w:rsid w:val="00142839"/>
    <w:rsid w:val="001506F7"/>
    <w:rsid w:val="00151626"/>
    <w:rsid w:val="0015590E"/>
    <w:rsid w:val="00156667"/>
    <w:rsid w:val="00157EDB"/>
    <w:rsid w:val="00162B04"/>
    <w:rsid w:val="00175DC8"/>
    <w:rsid w:val="00192B14"/>
    <w:rsid w:val="001A4B03"/>
    <w:rsid w:val="001B706C"/>
    <w:rsid w:val="001C3B00"/>
    <w:rsid w:val="001C7094"/>
    <w:rsid w:val="001D79AA"/>
    <w:rsid w:val="001D7A05"/>
    <w:rsid w:val="001D7F80"/>
    <w:rsid w:val="001E2F01"/>
    <w:rsid w:val="001E7B17"/>
    <w:rsid w:val="001F53A3"/>
    <w:rsid w:val="0021232E"/>
    <w:rsid w:val="002168E3"/>
    <w:rsid w:val="00217414"/>
    <w:rsid w:val="00223A3F"/>
    <w:rsid w:val="00224C38"/>
    <w:rsid w:val="0025240A"/>
    <w:rsid w:val="00252D9D"/>
    <w:rsid w:val="002556C1"/>
    <w:rsid w:val="0025586F"/>
    <w:rsid w:val="00266827"/>
    <w:rsid w:val="002749EF"/>
    <w:rsid w:val="00281631"/>
    <w:rsid w:val="00282335"/>
    <w:rsid w:val="00286172"/>
    <w:rsid w:val="00286D8E"/>
    <w:rsid w:val="00294F47"/>
    <w:rsid w:val="00295C8B"/>
    <w:rsid w:val="002A4426"/>
    <w:rsid w:val="002B655B"/>
    <w:rsid w:val="002B6F1B"/>
    <w:rsid w:val="002C2F87"/>
    <w:rsid w:val="002D647C"/>
    <w:rsid w:val="002D6CB6"/>
    <w:rsid w:val="002E4FD4"/>
    <w:rsid w:val="003016D9"/>
    <w:rsid w:val="00305174"/>
    <w:rsid w:val="00311A3E"/>
    <w:rsid w:val="003159B6"/>
    <w:rsid w:val="003242AB"/>
    <w:rsid w:val="00325429"/>
    <w:rsid w:val="00326BBB"/>
    <w:rsid w:val="00326FEE"/>
    <w:rsid w:val="00327492"/>
    <w:rsid w:val="00350DA2"/>
    <w:rsid w:val="003528CD"/>
    <w:rsid w:val="003538B5"/>
    <w:rsid w:val="003571DB"/>
    <w:rsid w:val="003609DD"/>
    <w:rsid w:val="00365E3C"/>
    <w:rsid w:val="0036783A"/>
    <w:rsid w:val="00387D3D"/>
    <w:rsid w:val="003A5EC6"/>
    <w:rsid w:val="003A6E3E"/>
    <w:rsid w:val="003B0D10"/>
    <w:rsid w:val="003B17D2"/>
    <w:rsid w:val="003B3810"/>
    <w:rsid w:val="003B6E94"/>
    <w:rsid w:val="003B7226"/>
    <w:rsid w:val="003C0B4E"/>
    <w:rsid w:val="003C3522"/>
    <w:rsid w:val="003C3D69"/>
    <w:rsid w:val="003C6B6C"/>
    <w:rsid w:val="003C6EBB"/>
    <w:rsid w:val="003C7CB6"/>
    <w:rsid w:val="003D7227"/>
    <w:rsid w:val="003E0A6E"/>
    <w:rsid w:val="003E13F6"/>
    <w:rsid w:val="003E3A56"/>
    <w:rsid w:val="003F2A41"/>
    <w:rsid w:val="004049A9"/>
    <w:rsid w:val="004070B4"/>
    <w:rsid w:val="00422112"/>
    <w:rsid w:val="00426B1C"/>
    <w:rsid w:val="00432721"/>
    <w:rsid w:val="00434EE9"/>
    <w:rsid w:val="004405BB"/>
    <w:rsid w:val="00440FEA"/>
    <w:rsid w:val="00443386"/>
    <w:rsid w:val="00447E03"/>
    <w:rsid w:val="004562F8"/>
    <w:rsid w:val="00460443"/>
    <w:rsid w:val="00462220"/>
    <w:rsid w:val="00463AAE"/>
    <w:rsid w:val="004721F8"/>
    <w:rsid w:val="00481B85"/>
    <w:rsid w:val="00482372"/>
    <w:rsid w:val="0049611D"/>
    <w:rsid w:val="004A1BD2"/>
    <w:rsid w:val="004B6DA4"/>
    <w:rsid w:val="004B785C"/>
    <w:rsid w:val="004D2AAD"/>
    <w:rsid w:val="004E2BC3"/>
    <w:rsid w:val="004E34D6"/>
    <w:rsid w:val="004E6252"/>
    <w:rsid w:val="004F4650"/>
    <w:rsid w:val="004F53A7"/>
    <w:rsid w:val="004F7138"/>
    <w:rsid w:val="00500AEE"/>
    <w:rsid w:val="0050228E"/>
    <w:rsid w:val="00503173"/>
    <w:rsid w:val="00515436"/>
    <w:rsid w:val="00526757"/>
    <w:rsid w:val="005425B1"/>
    <w:rsid w:val="00547C55"/>
    <w:rsid w:val="005545E2"/>
    <w:rsid w:val="0055574E"/>
    <w:rsid w:val="00566AEA"/>
    <w:rsid w:val="0056710D"/>
    <w:rsid w:val="005714AC"/>
    <w:rsid w:val="00572BF7"/>
    <w:rsid w:val="00573892"/>
    <w:rsid w:val="005964C1"/>
    <w:rsid w:val="005A10DA"/>
    <w:rsid w:val="005A488E"/>
    <w:rsid w:val="005A5FFB"/>
    <w:rsid w:val="005A6E8D"/>
    <w:rsid w:val="005B0D5B"/>
    <w:rsid w:val="005C3BC6"/>
    <w:rsid w:val="005C6CF4"/>
    <w:rsid w:val="005D0597"/>
    <w:rsid w:val="005D0905"/>
    <w:rsid w:val="005D6FFF"/>
    <w:rsid w:val="005E1744"/>
    <w:rsid w:val="005F557F"/>
    <w:rsid w:val="005F5E23"/>
    <w:rsid w:val="005F6202"/>
    <w:rsid w:val="005F66CA"/>
    <w:rsid w:val="00602FC9"/>
    <w:rsid w:val="0060711C"/>
    <w:rsid w:val="00607854"/>
    <w:rsid w:val="00614ADA"/>
    <w:rsid w:val="00621387"/>
    <w:rsid w:val="00630929"/>
    <w:rsid w:val="00634749"/>
    <w:rsid w:val="00640E85"/>
    <w:rsid w:val="00642EF7"/>
    <w:rsid w:val="00647971"/>
    <w:rsid w:val="00660A2C"/>
    <w:rsid w:val="00660E79"/>
    <w:rsid w:val="006705CC"/>
    <w:rsid w:val="00681EB6"/>
    <w:rsid w:val="00682C88"/>
    <w:rsid w:val="0068497C"/>
    <w:rsid w:val="00692E3E"/>
    <w:rsid w:val="00695CE3"/>
    <w:rsid w:val="006A08CE"/>
    <w:rsid w:val="006A2DF8"/>
    <w:rsid w:val="006A6AB5"/>
    <w:rsid w:val="006C4FC7"/>
    <w:rsid w:val="006C7DDB"/>
    <w:rsid w:val="006D518E"/>
    <w:rsid w:val="006E1CA3"/>
    <w:rsid w:val="006E3AAF"/>
    <w:rsid w:val="00703938"/>
    <w:rsid w:val="00711055"/>
    <w:rsid w:val="00712119"/>
    <w:rsid w:val="007227D7"/>
    <w:rsid w:val="00722D29"/>
    <w:rsid w:val="00722F51"/>
    <w:rsid w:val="00723533"/>
    <w:rsid w:val="00724A7D"/>
    <w:rsid w:val="00725E01"/>
    <w:rsid w:val="007336E1"/>
    <w:rsid w:val="00744702"/>
    <w:rsid w:val="00750459"/>
    <w:rsid w:val="00752568"/>
    <w:rsid w:val="00754289"/>
    <w:rsid w:val="007612A9"/>
    <w:rsid w:val="0076296E"/>
    <w:rsid w:val="007715E7"/>
    <w:rsid w:val="00771872"/>
    <w:rsid w:val="0077240D"/>
    <w:rsid w:val="00785D6A"/>
    <w:rsid w:val="00797413"/>
    <w:rsid w:val="007A6F25"/>
    <w:rsid w:val="007B0CB7"/>
    <w:rsid w:val="007B282D"/>
    <w:rsid w:val="007B4810"/>
    <w:rsid w:val="007B5604"/>
    <w:rsid w:val="007B7150"/>
    <w:rsid w:val="007B7A00"/>
    <w:rsid w:val="007C1EEF"/>
    <w:rsid w:val="007D4282"/>
    <w:rsid w:val="007E5167"/>
    <w:rsid w:val="007F1380"/>
    <w:rsid w:val="007F6DE8"/>
    <w:rsid w:val="008075C1"/>
    <w:rsid w:val="00807F0E"/>
    <w:rsid w:val="00826999"/>
    <w:rsid w:val="00826CE0"/>
    <w:rsid w:val="00842B8B"/>
    <w:rsid w:val="008448A0"/>
    <w:rsid w:val="00850F3A"/>
    <w:rsid w:val="00855563"/>
    <w:rsid w:val="00865D20"/>
    <w:rsid w:val="00867981"/>
    <w:rsid w:val="00875907"/>
    <w:rsid w:val="008837A0"/>
    <w:rsid w:val="00892143"/>
    <w:rsid w:val="008948BB"/>
    <w:rsid w:val="008A7B35"/>
    <w:rsid w:val="008B1086"/>
    <w:rsid w:val="008B684D"/>
    <w:rsid w:val="008B73C2"/>
    <w:rsid w:val="008C0324"/>
    <w:rsid w:val="008C6236"/>
    <w:rsid w:val="008C6877"/>
    <w:rsid w:val="008C7C40"/>
    <w:rsid w:val="008D07BD"/>
    <w:rsid w:val="008D4415"/>
    <w:rsid w:val="008D6C43"/>
    <w:rsid w:val="008E3903"/>
    <w:rsid w:val="008F5105"/>
    <w:rsid w:val="008F795F"/>
    <w:rsid w:val="00900FDF"/>
    <w:rsid w:val="009055FB"/>
    <w:rsid w:val="00905E85"/>
    <w:rsid w:val="00924B2A"/>
    <w:rsid w:val="00925CD2"/>
    <w:rsid w:val="009278C3"/>
    <w:rsid w:val="009314BF"/>
    <w:rsid w:val="00931975"/>
    <w:rsid w:val="00933CEC"/>
    <w:rsid w:val="0093506B"/>
    <w:rsid w:val="009643F7"/>
    <w:rsid w:val="009662BA"/>
    <w:rsid w:val="00967F81"/>
    <w:rsid w:val="00967FC5"/>
    <w:rsid w:val="0098790D"/>
    <w:rsid w:val="00991612"/>
    <w:rsid w:val="00997C8F"/>
    <w:rsid w:val="009A29D0"/>
    <w:rsid w:val="009A415F"/>
    <w:rsid w:val="009A44B4"/>
    <w:rsid w:val="009A58C9"/>
    <w:rsid w:val="009A710C"/>
    <w:rsid w:val="009C0090"/>
    <w:rsid w:val="009D1030"/>
    <w:rsid w:val="009E1E20"/>
    <w:rsid w:val="009E7943"/>
    <w:rsid w:val="009F4B58"/>
    <w:rsid w:val="009F5731"/>
    <w:rsid w:val="00A10AA7"/>
    <w:rsid w:val="00A10BC2"/>
    <w:rsid w:val="00A116C6"/>
    <w:rsid w:val="00A13D27"/>
    <w:rsid w:val="00A51E75"/>
    <w:rsid w:val="00A57FE0"/>
    <w:rsid w:val="00A763AC"/>
    <w:rsid w:val="00A77A96"/>
    <w:rsid w:val="00A86A9F"/>
    <w:rsid w:val="00A950E2"/>
    <w:rsid w:val="00A95637"/>
    <w:rsid w:val="00A97DF1"/>
    <w:rsid w:val="00AA02DB"/>
    <w:rsid w:val="00AA3DD0"/>
    <w:rsid w:val="00AA58EF"/>
    <w:rsid w:val="00AB1824"/>
    <w:rsid w:val="00AD19B8"/>
    <w:rsid w:val="00AD648B"/>
    <w:rsid w:val="00AD6809"/>
    <w:rsid w:val="00AE53BD"/>
    <w:rsid w:val="00B04443"/>
    <w:rsid w:val="00B13426"/>
    <w:rsid w:val="00B13EC3"/>
    <w:rsid w:val="00B16476"/>
    <w:rsid w:val="00B30199"/>
    <w:rsid w:val="00B410CE"/>
    <w:rsid w:val="00B50838"/>
    <w:rsid w:val="00B51292"/>
    <w:rsid w:val="00B55178"/>
    <w:rsid w:val="00B55EB3"/>
    <w:rsid w:val="00B66F4B"/>
    <w:rsid w:val="00B7255A"/>
    <w:rsid w:val="00B7580F"/>
    <w:rsid w:val="00B83D57"/>
    <w:rsid w:val="00B83D7F"/>
    <w:rsid w:val="00B8481A"/>
    <w:rsid w:val="00B87A8D"/>
    <w:rsid w:val="00B91B66"/>
    <w:rsid w:val="00BA0EB3"/>
    <w:rsid w:val="00BA3FBE"/>
    <w:rsid w:val="00BC3120"/>
    <w:rsid w:val="00BC43EC"/>
    <w:rsid w:val="00BC7580"/>
    <w:rsid w:val="00BD53F6"/>
    <w:rsid w:val="00BD77BE"/>
    <w:rsid w:val="00BE6F9A"/>
    <w:rsid w:val="00BF6406"/>
    <w:rsid w:val="00C02618"/>
    <w:rsid w:val="00C14E9A"/>
    <w:rsid w:val="00C1585D"/>
    <w:rsid w:val="00C279F7"/>
    <w:rsid w:val="00C33D08"/>
    <w:rsid w:val="00C42247"/>
    <w:rsid w:val="00C43086"/>
    <w:rsid w:val="00C53436"/>
    <w:rsid w:val="00C63FCE"/>
    <w:rsid w:val="00C6555E"/>
    <w:rsid w:val="00C664F4"/>
    <w:rsid w:val="00C8402E"/>
    <w:rsid w:val="00C93046"/>
    <w:rsid w:val="00C93BC9"/>
    <w:rsid w:val="00CA014A"/>
    <w:rsid w:val="00CA12D9"/>
    <w:rsid w:val="00CB1753"/>
    <w:rsid w:val="00CB2D9A"/>
    <w:rsid w:val="00CB42BA"/>
    <w:rsid w:val="00CB696E"/>
    <w:rsid w:val="00CC1726"/>
    <w:rsid w:val="00CC3989"/>
    <w:rsid w:val="00CC567C"/>
    <w:rsid w:val="00CF00C1"/>
    <w:rsid w:val="00D0736B"/>
    <w:rsid w:val="00D3181B"/>
    <w:rsid w:val="00D534E9"/>
    <w:rsid w:val="00D5502D"/>
    <w:rsid w:val="00D6015C"/>
    <w:rsid w:val="00D63424"/>
    <w:rsid w:val="00D65849"/>
    <w:rsid w:val="00D65BB2"/>
    <w:rsid w:val="00D75774"/>
    <w:rsid w:val="00D842AC"/>
    <w:rsid w:val="00D85EB3"/>
    <w:rsid w:val="00DB2B6D"/>
    <w:rsid w:val="00DB2F04"/>
    <w:rsid w:val="00DB3E4A"/>
    <w:rsid w:val="00DB4681"/>
    <w:rsid w:val="00DC7749"/>
    <w:rsid w:val="00E00537"/>
    <w:rsid w:val="00E03910"/>
    <w:rsid w:val="00E043F9"/>
    <w:rsid w:val="00E12626"/>
    <w:rsid w:val="00E151E1"/>
    <w:rsid w:val="00E2235E"/>
    <w:rsid w:val="00E42BF5"/>
    <w:rsid w:val="00E47EF5"/>
    <w:rsid w:val="00E517D1"/>
    <w:rsid w:val="00E5365D"/>
    <w:rsid w:val="00E57A6B"/>
    <w:rsid w:val="00E63039"/>
    <w:rsid w:val="00E65D57"/>
    <w:rsid w:val="00E663A6"/>
    <w:rsid w:val="00E66AED"/>
    <w:rsid w:val="00E80ED2"/>
    <w:rsid w:val="00E85E0C"/>
    <w:rsid w:val="00E86F12"/>
    <w:rsid w:val="00E950B5"/>
    <w:rsid w:val="00EA382A"/>
    <w:rsid w:val="00EB19FE"/>
    <w:rsid w:val="00EB4FD1"/>
    <w:rsid w:val="00EF3598"/>
    <w:rsid w:val="00F12437"/>
    <w:rsid w:val="00F124F0"/>
    <w:rsid w:val="00F147E0"/>
    <w:rsid w:val="00F15297"/>
    <w:rsid w:val="00F343FC"/>
    <w:rsid w:val="00F42605"/>
    <w:rsid w:val="00F4643F"/>
    <w:rsid w:val="00F47913"/>
    <w:rsid w:val="00F53899"/>
    <w:rsid w:val="00F5403D"/>
    <w:rsid w:val="00F6033F"/>
    <w:rsid w:val="00F65AFB"/>
    <w:rsid w:val="00F7584F"/>
    <w:rsid w:val="00F76566"/>
    <w:rsid w:val="00F85F7A"/>
    <w:rsid w:val="00F87DBF"/>
    <w:rsid w:val="00F93B7F"/>
    <w:rsid w:val="00FA3512"/>
    <w:rsid w:val="00FB6CDB"/>
    <w:rsid w:val="00FD420B"/>
    <w:rsid w:val="00FE0B68"/>
    <w:rsid w:val="00FE77D9"/>
    <w:rsid w:val="00FF5422"/>
    <w:rsid w:val="00FF59BB"/>
    <w:rsid w:val="00FF6E80"/>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13847"/>
    <w:rsid w:val="1DF61EC7"/>
    <w:rsid w:val="1E043040"/>
    <w:rsid w:val="1E1B192D"/>
    <w:rsid w:val="1E674B72"/>
    <w:rsid w:val="1E965203"/>
    <w:rsid w:val="1E9A6CF6"/>
    <w:rsid w:val="1EAE09F3"/>
    <w:rsid w:val="1EEE2B9E"/>
    <w:rsid w:val="1FC009DE"/>
    <w:rsid w:val="20C462AC"/>
    <w:rsid w:val="20C938C2"/>
    <w:rsid w:val="20CB0BD7"/>
    <w:rsid w:val="2130749E"/>
    <w:rsid w:val="213A656E"/>
    <w:rsid w:val="21771723"/>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3FFF35AD"/>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7422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6C783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403B19"/>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C9698B"/>
    <w:rsid w:val="6CF920E8"/>
    <w:rsid w:val="6D1E328A"/>
    <w:rsid w:val="6D800432"/>
    <w:rsid w:val="6DBB590E"/>
    <w:rsid w:val="6E35746E"/>
    <w:rsid w:val="6E8C1058"/>
    <w:rsid w:val="6ED00F45"/>
    <w:rsid w:val="6EDC3D8E"/>
    <w:rsid w:val="6FEF3A2D"/>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171A23"/>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 w:val="F5EFA5BA"/>
    <w:rsid w:val="F98E4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日期 字符"/>
    <w:basedOn w:val="9"/>
    <w:link w:val="2"/>
    <w:semiHidden/>
    <w:qFormat/>
    <w:uiPriority w:val="99"/>
  </w:style>
  <w:style w:type="paragraph" w:styleId="14">
    <w:name w:val="List Paragraph"/>
    <w:basedOn w:val="1"/>
    <w:qFormat/>
    <w:uiPriority w:val="99"/>
    <w:pPr>
      <w:ind w:firstLine="420" w:firstLineChars="200"/>
    </w:pPr>
  </w:style>
  <w:style w:type="character" w:customStyle="1" w:styleId="15">
    <w:name w:val="批注框文本 字符"/>
    <w:basedOn w:val="9"/>
    <w:link w:val="3"/>
    <w:semiHidden/>
    <w:qFormat/>
    <w:uiPriority w:val="99"/>
    <w:rPr>
      <w:kern w:val="2"/>
      <w:sz w:val="18"/>
      <w:szCs w:val="18"/>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2"/>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18</Pages>
  <Words>10533</Words>
  <Characters>10956</Characters>
  <Lines>260</Lines>
  <Paragraphs>146</Paragraphs>
  <TotalTime>76</TotalTime>
  <ScaleCrop>false</ScaleCrop>
  <LinksUpToDate>false</LinksUpToDate>
  <CharactersWithSpaces>11113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2025-02-20T10:31:00Z</dcterms:created>
  <dc:creator>Administrator</dc:creator>
  <cp:lastModifiedBy>给我加仨鸡蛋</cp:lastModifiedBy>
  <dcterms:modified xsi:type="dcterms:W3CDTF">2025-10-27T07:47:36Z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F4C847B46B21E1A8FE85F46751CC04BE_43</vt:lpwstr>
  </property>
  <property fmtid="{D5CDD505-2E9C-101B-9397-08002B2CF9AE}" pid="4" name="KSOTemplateDocerSaveRecord">
    <vt:lpwstr>eyJoZGlkIjoiMTkwYTE3N2NjM2RkMjg4ZDViZTM5MDViNzU1NDVjN2IiLCJ1c2VySWQiOiI3MDg5OTg2MDkifQ==</vt:lpwstr>
  </property>
</Properties>
</file>