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宋体" w:hAnsi="宋体" w:cs="黑体"/>
          <w:b/>
          <w:kern w:val="0"/>
          <w:sz w:val="44"/>
          <w:szCs w:val="44"/>
        </w:rPr>
      </w:pPr>
      <w:r>
        <w:rPr>
          <w:rFonts w:hint="eastAsia" w:ascii="宋体" w:hAnsi="宋体" w:cs="黑体"/>
          <w:b/>
          <w:spacing w:val="25"/>
          <w:kern w:val="0"/>
          <w:sz w:val="44"/>
          <w:szCs w:val="44"/>
          <w:fitText w:val="4862" w:id="-144847820"/>
        </w:rPr>
        <w:t>安徽省太和县人民法</w:t>
      </w:r>
      <w:r>
        <w:rPr>
          <w:rFonts w:hint="eastAsia" w:ascii="宋体" w:hAnsi="宋体" w:cs="黑体"/>
          <w:b/>
          <w:spacing w:val="6"/>
          <w:kern w:val="0"/>
          <w:sz w:val="44"/>
          <w:szCs w:val="44"/>
          <w:fitText w:val="4862" w:id="-144847820"/>
        </w:rPr>
        <w:t>院</w:t>
      </w:r>
    </w:p>
    <w:p>
      <w:pPr>
        <w:adjustRightInd w:val="0"/>
        <w:snapToGrid w:val="0"/>
        <w:jc w:val="center"/>
        <w:rPr>
          <w:rFonts w:ascii="宋体" w:hAnsi="宋体" w:cs="黑体"/>
          <w:b/>
          <w:sz w:val="44"/>
          <w:szCs w:val="44"/>
        </w:rPr>
      </w:pPr>
      <w:r>
        <w:rPr>
          <w:rFonts w:hint="eastAsia" w:ascii="宋体" w:hAnsi="宋体" w:cs="黑体"/>
          <w:b/>
          <w:sz w:val="44"/>
          <w:szCs w:val="44"/>
        </w:rPr>
        <w:t>公 告</w:t>
      </w:r>
    </w:p>
    <w:p>
      <w:pPr>
        <w:wordWrap w:val="0"/>
        <w:spacing w:line="360" w:lineRule="auto"/>
        <w:jc w:val="right"/>
        <w:rPr>
          <w:rFonts w:hint="eastAsia" w:ascii="仿宋" w:hAnsi="仿宋" w:eastAsia="仿宋" w:cs="宋体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sz w:val="30"/>
          <w:szCs w:val="30"/>
        </w:rPr>
        <w:t>（202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sz w:val="30"/>
          <w:szCs w:val="30"/>
        </w:rPr>
        <w:t>）皖1222破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宋体"/>
          <w:sz w:val="30"/>
          <w:szCs w:val="30"/>
        </w:rPr>
        <w:t>号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之一</w:t>
      </w:r>
    </w:p>
    <w:p>
      <w:pPr>
        <w:spacing w:line="360" w:lineRule="auto"/>
        <w:ind w:firstLine="600" w:firstLineChars="200"/>
        <w:rPr>
          <w:rFonts w:hint="eastAsia" w:ascii="仿宋" w:hAnsi="仿宋" w:eastAsia="仿宋" w:cs="宋体"/>
          <w:sz w:val="30"/>
          <w:szCs w:val="30"/>
        </w:rPr>
      </w:pPr>
    </w:p>
    <w:p>
      <w:pPr>
        <w:spacing w:line="360" w:lineRule="auto"/>
        <w:ind w:firstLine="600" w:firstLineChars="200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>本院于202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sz w:val="30"/>
          <w:szCs w:val="30"/>
        </w:rPr>
        <w:t>年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宋体"/>
          <w:sz w:val="30"/>
          <w:szCs w:val="30"/>
        </w:rPr>
        <w:t>月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 w:cs="宋体"/>
          <w:sz w:val="30"/>
          <w:szCs w:val="30"/>
        </w:rPr>
        <w:t>日作出（202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sz w:val="30"/>
          <w:szCs w:val="30"/>
        </w:rPr>
        <w:t>）皖1222破申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sz w:val="30"/>
          <w:szCs w:val="30"/>
        </w:rPr>
        <w:t>号《民事裁定书》，裁定受理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李成夫</w:t>
      </w:r>
      <w:r>
        <w:rPr>
          <w:rFonts w:hint="eastAsia" w:ascii="仿宋" w:hAnsi="仿宋" w:eastAsia="仿宋" w:cs="仿宋"/>
          <w:sz w:val="30"/>
          <w:szCs w:val="30"/>
        </w:rPr>
        <w:t>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被申请人太和县鸿盛纸业</w:t>
      </w:r>
      <w:r>
        <w:rPr>
          <w:rFonts w:hint="eastAsia" w:ascii="仿宋" w:hAnsi="仿宋" w:eastAsia="仿宋" w:cs="仿宋"/>
          <w:sz w:val="30"/>
          <w:szCs w:val="30"/>
        </w:rPr>
        <w:t>有限公司</w:t>
      </w:r>
      <w:r>
        <w:rPr>
          <w:rFonts w:hint="eastAsia" w:ascii="仿宋" w:hAnsi="仿宋" w:eastAsia="仿宋" w:cs="宋体"/>
          <w:sz w:val="30"/>
          <w:szCs w:val="30"/>
        </w:rPr>
        <w:t>的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执行转破产</w:t>
      </w:r>
      <w:r>
        <w:rPr>
          <w:rFonts w:hint="eastAsia" w:ascii="仿宋" w:hAnsi="仿宋" w:eastAsia="仿宋" w:cs="宋体"/>
          <w:sz w:val="30"/>
          <w:szCs w:val="30"/>
        </w:rPr>
        <w:t>清算申请，并于202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sz w:val="30"/>
          <w:szCs w:val="30"/>
        </w:rPr>
        <w:t>年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宋体"/>
          <w:sz w:val="30"/>
          <w:szCs w:val="30"/>
        </w:rPr>
        <w:t>月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宋体"/>
          <w:sz w:val="30"/>
          <w:szCs w:val="30"/>
        </w:rPr>
        <w:t>日作出（202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sz w:val="30"/>
          <w:szCs w:val="30"/>
        </w:rPr>
        <w:t>）皖1222破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宋体"/>
          <w:sz w:val="30"/>
          <w:szCs w:val="30"/>
        </w:rPr>
        <w:t>号《决定书》，指定</w:t>
      </w:r>
      <w:r>
        <w:rPr>
          <w:rFonts w:hint="eastAsia" w:ascii="仿宋" w:hAnsi="仿宋" w:eastAsia="仿宋" w:cs="仿宋"/>
          <w:sz w:val="32"/>
          <w:szCs w:val="32"/>
        </w:rPr>
        <w:t>北京中银（合肥）律师事务所</w:t>
      </w:r>
      <w:r>
        <w:rPr>
          <w:rFonts w:hint="eastAsia" w:ascii="仿宋" w:hAnsi="仿宋" w:eastAsia="仿宋" w:cs="宋体"/>
          <w:sz w:val="30"/>
          <w:szCs w:val="30"/>
        </w:rPr>
        <w:t>担任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太和县鸿盛纸业</w:t>
      </w:r>
      <w:r>
        <w:rPr>
          <w:rFonts w:hint="eastAsia" w:ascii="仿宋" w:hAnsi="仿宋" w:eastAsia="仿宋" w:cs="宋体"/>
          <w:sz w:val="30"/>
          <w:szCs w:val="30"/>
        </w:rPr>
        <w:t>有限公司破产清算一案的管理人。</w:t>
      </w:r>
    </w:p>
    <w:p>
      <w:pPr>
        <w:spacing w:line="360" w:lineRule="auto"/>
        <w:ind w:firstLine="600" w:firstLineChars="200"/>
        <w:rPr>
          <w:rFonts w:hint="eastAsia" w:ascii="仿宋" w:hAnsi="仿宋" w:eastAsia="仿宋" w:cs="宋体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太和县鸿盛纸业</w:t>
      </w:r>
      <w:r>
        <w:rPr>
          <w:rFonts w:hint="eastAsia" w:ascii="仿宋" w:hAnsi="仿宋" w:eastAsia="仿宋" w:cs="宋体"/>
          <w:sz w:val="30"/>
          <w:szCs w:val="30"/>
        </w:rPr>
        <w:t>有限公司债权人应当自公告之日起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至2025年11月24</w:t>
      </w:r>
      <w:bookmarkStart w:id="0" w:name="_GoBack"/>
      <w:bookmarkEnd w:id="0"/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日止</w:t>
      </w:r>
      <w:r>
        <w:rPr>
          <w:rFonts w:hint="eastAsia" w:ascii="仿宋" w:hAnsi="仿宋" w:eastAsia="仿宋" w:cs="宋体"/>
          <w:sz w:val="30"/>
          <w:szCs w:val="30"/>
        </w:rPr>
        <w:t>向管理人申报债权，书面说明债权数额，有无财产担保及是否属于连带债权，并提供相关证据材料。管理人通讯地址：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安徽省</w:t>
      </w:r>
      <w:r>
        <w:rPr>
          <w:rFonts w:hint="eastAsia" w:ascii="仿宋" w:hAnsi="仿宋" w:eastAsia="仿宋" w:cs="宋体"/>
          <w:sz w:val="30"/>
          <w:szCs w:val="30"/>
        </w:rPr>
        <w:t>阜阳市太和县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城关镇</w:t>
      </w:r>
      <w:r>
        <w:rPr>
          <w:rFonts w:hint="eastAsia" w:ascii="仿宋" w:hAnsi="仿宋" w:eastAsia="仿宋" w:cs="宋体"/>
          <w:sz w:val="30"/>
          <w:szCs w:val="30"/>
        </w:rPr>
        <w:t>国泰广场西北角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第一户</w:t>
      </w:r>
      <w:r>
        <w:rPr>
          <w:rFonts w:hint="eastAsia" w:ascii="仿宋" w:hAnsi="仿宋" w:eastAsia="仿宋" w:cs="宋体"/>
          <w:sz w:val="30"/>
          <w:szCs w:val="30"/>
        </w:rPr>
        <w:t>F101，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管理人</w:t>
      </w:r>
      <w:r>
        <w:rPr>
          <w:rFonts w:hint="eastAsia" w:ascii="仿宋" w:hAnsi="仿宋" w:eastAsia="仿宋" w:cs="宋体"/>
          <w:sz w:val="30"/>
          <w:szCs w:val="30"/>
        </w:rPr>
        <w:t>联系人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及电话</w:t>
      </w:r>
      <w:r>
        <w:rPr>
          <w:rFonts w:hint="eastAsia" w:ascii="仿宋" w:hAnsi="仿宋" w:eastAsia="仿宋" w:cs="宋体"/>
          <w:sz w:val="30"/>
          <w:szCs w:val="30"/>
        </w:rPr>
        <w:t>：阮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阿龙</w:t>
      </w:r>
      <w:r>
        <w:rPr>
          <w:rFonts w:hint="eastAsia" w:ascii="仿宋" w:hAnsi="仿宋" w:eastAsia="仿宋" w:cs="宋体"/>
          <w:sz w:val="30"/>
          <w:szCs w:val="30"/>
        </w:rPr>
        <w:t>律师15955158712</w:t>
      </w:r>
      <w:r>
        <w:rPr>
          <w:rFonts w:hint="eastAsia" w:ascii="仿宋" w:hAnsi="仿宋" w:eastAsia="仿宋" w:cs="宋体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王豪律师13637060007</w:t>
      </w:r>
      <w:r>
        <w:rPr>
          <w:rFonts w:hint="eastAsia" w:ascii="仿宋" w:hAnsi="仿宋" w:eastAsia="仿宋" w:cs="宋体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>未在上述期限内申报债权的，可以在破产财产最后分配前补充申报，但对此前已经进行的分配无权要求补充分配，同时要承担为审查和确认补充申报债权所产生的费用。未申报债权的，不得依照《中华人民共和国企业破产法》规定的程序行使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权利</w:t>
      </w:r>
      <w:r>
        <w:rPr>
          <w:rFonts w:hint="eastAsia" w:ascii="仿宋" w:hAnsi="仿宋" w:eastAsia="仿宋" w:cs="宋体"/>
          <w:sz w:val="30"/>
          <w:szCs w:val="30"/>
        </w:rPr>
        <w:t>。</w:t>
      </w:r>
    </w:p>
    <w:p>
      <w:pPr>
        <w:spacing w:line="360" w:lineRule="auto"/>
        <w:ind w:firstLine="640"/>
        <w:rPr>
          <w:rFonts w:ascii="仿宋" w:hAnsi="仿宋" w:eastAsia="仿宋" w:cs="仿宋"/>
          <w:color w:val="000000" w:themeColor="text1"/>
          <w:sz w:val="30"/>
          <w:szCs w:val="30"/>
          <w:lang w:val="zh-TW" w:eastAsia="zh-TW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太和县鸿盛纸业</w:t>
      </w:r>
      <w:r>
        <w:rPr>
          <w:rFonts w:hint="eastAsia" w:ascii="仿宋" w:hAnsi="仿宋" w:eastAsia="仿宋" w:cs="宋体"/>
          <w:sz w:val="30"/>
          <w:szCs w:val="30"/>
        </w:rPr>
        <w:t>有限公司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zh-TW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zh-TW" w:eastAsia="zh-TW"/>
          <w14:textFill>
            <w14:solidFill>
              <w14:schemeClr w14:val="tx1"/>
            </w14:solidFill>
          </w14:textFill>
        </w:rPr>
        <w:t>债务人或者财产持有人应当向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太和县鸿盛纸业</w:t>
      </w:r>
      <w:r>
        <w:rPr>
          <w:rFonts w:hint="eastAsia" w:ascii="仿宋" w:hAnsi="仿宋" w:eastAsia="仿宋" w:cs="宋体"/>
          <w:sz w:val="30"/>
          <w:szCs w:val="30"/>
        </w:rPr>
        <w:t>有限公司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zh-TW" w:eastAsia="zh-TW"/>
          <w14:textFill>
            <w14:solidFill>
              <w14:schemeClr w14:val="tx1"/>
            </w14:solidFill>
          </w14:textFill>
        </w:rPr>
        <w:t>管理人清偿债务或交付财产。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太和县鸿盛纸业</w:t>
      </w:r>
      <w:r>
        <w:rPr>
          <w:rFonts w:hint="eastAsia" w:ascii="仿宋" w:hAnsi="仿宋" w:eastAsia="仿宋" w:cs="宋体"/>
          <w:sz w:val="30"/>
          <w:szCs w:val="30"/>
        </w:rPr>
        <w:t>有限公司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zh-TW" w:eastAsia="zh-TW"/>
          <w14:textFill>
            <w14:solidFill>
              <w14:schemeClr w14:val="tx1"/>
            </w14:solidFill>
          </w14:textFill>
        </w:rPr>
        <w:t>的股东、实际控制人、董事、监事等执行机构的成员以及其他法律、法规规定的清算义务人应配合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太和县鸿盛纸业</w:t>
      </w:r>
      <w:r>
        <w:rPr>
          <w:rFonts w:hint="eastAsia" w:ascii="仿宋" w:hAnsi="仿宋" w:eastAsia="仿宋" w:cs="宋体"/>
          <w:sz w:val="30"/>
          <w:szCs w:val="30"/>
        </w:rPr>
        <w:t>有限公司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zh-TW" w:eastAsia="zh-TW"/>
          <w14:textFill>
            <w14:solidFill>
              <w14:schemeClr w14:val="tx1"/>
            </w14:solidFill>
          </w14:textFill>
        </w:rPr>
        <w:t>管理人进行清算，否则应依法承担法律责任。</w:t>
      </w:r>
    </w:p>
    <w:p>
      <w:pPr>
        <w:spacing w:line="360" w:lineRule="auto"/>
        <w:ind w:firstLine="64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zh-TW"/>
          <w14:textFill>
            <w14:solidFill>
              <w14:schemeClr w14:val="tx1"/>
            </w14:solidFill>
          </w14:textFill>
        </w:rPr>
        <w:t>本案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zh-TW" w:eastAsia="zh-TW"/>
          <w14:textFill>
            <w14:solidFill>
              <w14:schemeClr w14:val="tx1"/>
            </w14:solidFill>
          </w14:textFill>
        </w:rPr>
        <w:t>定于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zh-TW" w:eastAsia="zh-TW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zh-TW" w:eastAsia="zh-TW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zh-TW" w:eastAsia="zh-TW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zh-TW"/>
          <w14:textFill>
            <w14:solidFill>
              <w14:schemeClr w14:val="tx1"/>
            </w14:solidFill>
          </w14:textFill>
        </w:rPr>
        <w:t>上午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zh-TW" w:eastAsia="zh-TW"/>
          <w14:textFill>
            <w14:solidFill>
              <w14:schemeClr w14:val="tx1"/>
            </w14:solidFill>
          </w14:textFill>
        </w:rPr>
        <w:t>时在安徽省太和县人民法院第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zh-TW" w:eastAsia="zh-TW"/>
          <w14:textFill>
            <w14:solidFill>
              <w14:schemeClr w14:val="tx1"/>
            </w14:solidFill>
          </w14:textFill>
        </w:rPr>
        <w:t>法庭召开第一次债权人会议。依法申报债权的债权人有权参加债权人会议，参加会议的债权人系法人或其他组织的，应提交营业执照、法定代表人或负责人身份证明书；参加会议的债权人系自然人的，应提交个人身份证明。如委托代理人出席会议，应提交特别授权委托书、委托代理人的身份证件或律师执业证，委托代理人为律师的还应提交律师事务所的指派函。</w:t>
      </w:r>
    </w:p>
    <w:p>
      <w:pPr>
        <w:spacing w:line="360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00" w:firstLineChars="200"/>
        <w:rPr>
          <w:rFonts w:hint="eastAsia"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>特此公告</w:t>
      </w:r>
    </w:p>
    <w:p>
      <w:pPr>
        <w:spacing w:line="360" w:lineRule="auto"/>
        <w:ind w:firstLine="600" w:firstLineChars="200"/>
        <w:rPr>
          <w:rFonts w:hint="eastAsia" w:ascii="仿宋" w:hAnsi="仿宋" w:eastAsia="仿宋" w:cs="宋体"/>
          <w:sz w:val="30"/>
          <w:szCs w:val="30"/>
        </w:rPr>
      </w:pPr>
    </w:p>
    <w:p>
      <w:pPr>
        <w:wordWrap w:val="0"/>
        <w:spacing w:line="360" w:lineRule="auto"/>
        <w:jc w:val="right"/>
        <w:rPr>
          <w:rFonts w:hint="default" w:ascii="仿宋" w:hAnsi="仿宋" w:eastAsia="仿宋" w:cs="宋体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安徽省太和县人民法院</w:t>
      </w:r>
    </w:p>
    <w:p>
      <w:pPr>
        <w:spacing w:line="360" w:lineRule="auto"/>
        <w:jc w:val="right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>二〇二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五</w:t>
      </w:r>
      <w:r>
        <w:rPr>
          <w:rFonts w:hint="eastAsia" w:ascii="仿宋" w:hAnsi="仿宋" w:eastAsia="仿宋" w:cs="宋体"/>
          <w:sz w:val="30"/>
          <w:szCs w:val="30"/>
        </w:rPr>
        <w:t>年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十</w:t>
      </w:r>
      <w:r>
        <w:rPr>
          <w:rFonts w:hint="eastAsia" w:ascii="仿宋" w:hAnsi="仿宋" w:eastAsia="仿宋" w:cs="宋体"/>
          <w:sz w:val="30"/>
          <w:szCs w:val="30"/>
        </w:rPr>
        <w:t>月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十四</w:t>
      </w:r>
      <w:r>
        <w:rPr>
          <w:rFonts w:hint="eastAsia" w:ascii="仿宋" w:hAnsi="仿宋" w:eastAsia="仿宋" w:cs="宋体"/>
          <w:sz w:val="30"/>
          <w:szCs w:val="30"/>
        </w:rPr>
        <w:t xml:space="preserve">日 </w:t>
      </w:r>
    </w:p>
    <w:p>
      <w:pPr>
        <w:adjustRightInd w:val="0"/>
        <w:snapToGrid w:val="0"/>
        <w:jc w:val="center"/>
        <w:rPr>
          <w:rFonts w:ascii="宋体" w:hAnsi="宋体" w:cs="黑体"/>
          <w:b/>
          <w:spacing w:val="25"/>
          <w:kern w:val="0"/>
          <w:sz w:val="44"/>
          <w:szCs w:val="44"/>
        </w:rPr>
      </w:pPr>
    </w:p>
    <w:p>
      <w:pPr>
        <w:adjustRightInd w:val="0"/>
        <w:snapToGrid w:val="0"/>
        <w:jc w:val="center"/>
        <w:rPr>
          <w:rFonts w:ascii="宋体" w:hAnsi="宋体" w:cs="黑体"/>
          <w:b/>
          <w:kern w:val="0"/>
          <w:sz w:val="44"/>
          <w:szCs w:val="44"/>
        </w:rPr>
      </w:pPr>
    </w:p>
    <w:p/>
    <w:p/>
    <w:p/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00000000" w:usb1="00000000" w:usb2="00000000" w:usb3="00000000" w:csb0="0016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6780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325AA6"/>
    <w:rsid w:val="014357CB"/>
    <w:rsid w:val="03AF16F3"/>
    <w:rsid w:val="058A5ED6"/>
    <w:rsid w:val="159B45F2"/>
    <w:rsid w:val="169E5D35"/>
    <w:rsid w:val="1E7F071D"/>
    <w:rsid w:val="1F1D5ECA"/>
    <w:rsid w:val="1F905DC0"/>
    <w:rsid w:val="207D868B"/>
    <w:rsid w:val="25626F01"/>
    <w:rsid w:val="29577725"/>
    <w:rsid w:val="3ADED5E6"/>
    <w:rsid w:val="3D7BBAC2"/>
    <w:rsid w:val="3EEB74DC"/>
    <w:rsid w:val="3EF7A6D2"/>
    <w:rsid w:val="478535DD"/>
    <w:rsid w:val="4C224362"/>
    <w:rsid w:val="5A7805F8"/>
    <w:rsid w:val="5A8E2114"/>
    <w:rsid w:val="5CEF27C8"/>
    <w:rsid w:val="5F7F50D7"/>
    <w:rsid w:val="60226826"/>
    <w:rsid w:val="622A21C9"/>
    <w:rsid w:val="67AFC80F"/>
    <w:rsid w:val="6EB60634"/>
    <w:rsid w:val="6FDFF29A"/>
    <w:rsid w:val="73325AA6"/>
    <w:rsid w:val="74EA2FF0"/>
    <w:rsid w:val="75FD138C"/>
    <w:rsid w:val="77EF60BC"/>
    <w:rsid w:val="7BED05F2"/>
    <w:rsid w:val="7DDEDDA8"/>
    <w:rsid w:val="7EFF7947"/>
    <w:rsid w:val="B3FFA439"/>
    <w:rsid w:val="BD6D32D6"/>
    <w:rsid w:val="BFD9D923"/>
    <w:rsid w:val="BFFC8FB4"/>
    <w:rsid w:val="CBFAABD3"/>
    <w:rsid w:val="CCE0CB99"/>
    <w:rsid w:val="DF3FFAF0"/>
    <w:rsid w:val="DFC3E0D1"/>
    <w:rsid w:val="EBCDFD1A"/>
    <w:rsid w:val="EDEF4719"/>
    <w:rsid w:val="F4FF27F7"/>
    <w:rsid w:val="FA7F2EB3"/>
    <w:rsid w:val="FFAF755A"/>
    <w:rsid w:val="FFFFD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2024-05-08T15:58:00Z</dcterms:created>
  <dc:creator>栾夫兴2</dc:creator>
  <cp:lastModifiedBy>ruan</cp:lastModifiedBy>
  <dcterms:modified xsi:type="dcterms:W3CDTF">2025-10-14T08:05:28Z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810F25A662884504FC88186738578460_42</vt:lpwstr>
  </property>
</Properties>
</file>